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3366"/>
          <w:sz w:val="40"/>
        </w:rPr>
        <w:t>CREDIT ASSESSMENT MEMORANDUM</w:t>
      </w:r>
    </w:p>
    <w:p/>
    <w:p>
      <w:pPr>
        <w:jc w:val="center"/>
      </w:pPr>
      <w:r>
        <w:rPr>
          <w:b/>
          <w:color w:val="336699"/>
          <w:sz w:val="28"/>
        </w:rPr>
        <w:t>Abha Power and Steel Limited</w:t>
      </w:r>
    </w:p>
    <w:p/>
    <w:p>
      <w:pPr>
        <w:jc w:val="center"/>
      </w:pPr>
      <w:r>
        <w:rPr>
          <w:b/>
          <w:color w:val="CC0000"/>
          <w:sz w:val="18"/>
        </w:rPr>
        <w:t>CONFIDENTIAL — FOR INTERNAL USE ONLY</w:t>
      </w:r>
    </w:p>
    <w:p>
      <w:r>
        <w:br w:type="page"/>
      </w:r>
    </w:p>
    <w:p>
      <w:pPr>
        <w:pStyle w:val="Heading1"/>
        <w:spacing w:before="320" w:after="160"/>
      </w:pPr>
      <w:r>
        <w:rPr>
          <w:b/>
          <w:color w:val="003366"/>
          <w:sz w:val="26"/>
        </w:rPr>
        <w:t>SECTION 1 — BORROWER OVERVIEW &amp; BACKGROUND</w:t>
      </w:r>
    </w:p>
    <w:p>
      <w:pPr>
        <w:pBdr>
          <w:bottom w:val="single" w:sz="6" w:space="1" w:color="003366"/>
        </w:pBdr>
      </w:pPr>
    </w:p>
    <w:p>
      <w:r>
        <w:rPr>
          <w:b/>
          <w:color w:val="003366"/>
          <w:sz w:val="24"/>
        </w:rPr>
        <w:t>1. Executive Summary</w:t>
      </w:r>
    </w:p>
    <w:p/>
    <w:p>
      <w:pPr>
        <w:spacing w:after="80"/>
        <w:jc w:val="both"/>
      </w:pPr>
      <w:r>
        <w:rPr>
          <w:sz w:val="21"/>
        </w:rPr>
        <w:t>Abha Power and Steel Limited is seeking credit facilities to support its ongoing operations within the power and steel sector. The company, incorporated in 2004, operates out of its registered office in Silpahri Industrial State, Bilaspur, Chattisgarh. With a stable promoter base and an experienced management team, the company maintains a strong focus on its core business activities. This proposal evaluates the creditworthiness of the borrower based on its operational history and corporate governance structure.</w:t>
      </w:r>
    </w:p>
    <w:p/>
    <w:p>
      <w:r>
        <w:rPr>
          <w:b/>
          <w:color w:val="003366"/>
          <w:sz w:val="24"/>
        </w:rPr>
        <w:t>2. Borrower Background</w:t>
      </w:r>
    </w:p>
    <w:p/>
    <w:p>
      <w:pPr>
        <w:spacing w:after="80"/>
        <w:jc w:val="both"/>
      </w:pPr>
      <w:r>
        <w:rPr>
          <w:sz w:val="21"/>
        </w:rPr>
        <w:t>Abha Power and Steel Limited (CIN: L27102CT2004PLC016654) is a Public Limited company incorporated in 2004. The company is headquartered at Silpahri Industrial State, Bilaspur, Chattisgarh-495001. The entity is primarily engaged in the business of Power and Steel. Since its inception, the company has established its presence in the industrial landscape of Chattisgarh, leveraging its strategic location to facilitate its business operations.</w:t>
      </w:r>
    </w:p>
    <w:p/>
    <w:p>
      <w:r>
        <w:rPr>
          <w:b/>
          <w:color w:val="003366"/>
          <w:sz w:val="24"/>
        </w:rPr>
        <w:t>3. Management &amp; Promoters</w:t>
      </w:r>
    </w:p>
    <w:p/>
    <w:p>
      <w:pPr>
        <w:spacing w:after="80"/>
        <w:jc w:val="both"/>
      </w:pPr>
      <w:r>
        <w:rPr>
          <w:sz w:val="21"/>
        </w:rPr>
        <w:t>The management of Abha Power and Steel Limited comprises a team with diverse professional backgrounds and extensive industry experience. The key promoters of the company include Ankit Agrawal, Atish Agrawal, Satish Shah, and Subhash Chand Agrawal.</w:t>
      </w:r>
    </w:p>
    <w:p/>
    <w:p>
      <w:r>
        <w:rPr>
          <w:b/>
          <w:color w:val="003366"/>
          <w:sz w:val="22"/>
        </w:rPr>
        <w:t>The leadership team includes:</w:t>
      </w:r>
    </w:p>
    <w:p>
      <w:pPr>
        <w:pStyle w:val="ListBullet"/>
        <w:jc w:val="both"/>
      </w:pPr>
      <w:r>
        <w:rPr>
          <w:sz w:val="21"/>
        </w:rPr>
        <w:t xml:space="preserve">  </w:t>
      </w:r>
      <w:r>
        <w:rPr>
          <w:b/>
          <w:sz w:val="21"/>
        </w:rPr>
        <w:t>Atish Agrawal (Managing Director):</w:t>
      </w:r>
      <w:r>
        <w:rPr>
          <w:sz w:val="21"/>
        </w:rPr>
        <w:t xml:space="preserve"> A B.Tech graduate from IIT (BHU) Varanasi with 15 years of experience.</w:t>
      </w:r>
    </w:p>
    <w:p>
      <w:pPr>
        <w:pStyle w:val="ListBullet"/>
        <w:jc w:val="both"/>
      </w:pPr>
      <w:r>
        <w:rPr>
          <w:sz w:val="21"/>
        </w:rPr>
        <w:t xml:space="preserve">  </w:t>
      </w:r>
      <w:r>
        <w:rPr>
          <w:b/>
          <w:sz w:val="21"/>
        </w:rPr>
        <w:t>Satish Kumar Shah (Whole Time Director):</w:t>
      </w:r>
      <w:r>
        <w:rPr>
          <w:sz w:val="21"/>
        </w:rPr>
        <w:t xml:space="preserve"> A Science graduate with a Master’s degree in Botany and 25 years of experience.</w:t>
      </w:r>
    </w:p>
    <w:p>
      <w:pPr>
        <w:pStyle w:val="ListBullet"/>
        <w:jc w:val="both"/>
      </w:pPr>
      <w:r>
        <w:rPr>
          <w:sz w:val="21"/>
        </w:rPr>
        <w:t xml:space="preserve">  </w:t>
      </w:r>
      <w:r>
        <w:rPr>
          <w:b/>
          <w:sz w:val="21"/>
        </w:rPr>
        <w:t>Subhash Chand Agrawal (Non-Executive, Non-Independent Director):</w:t>
      </w:r>
      <w:r>
        <w:rPr>
          <w:sz w:val="21"/>
        </w:rPr>
        <w:t xml:space="preserve"> Possesses 30 years of experience.</w:t>
      </w:r>
    </w:p>
    <w:p>
      <w:pPr>
        <w:pStyle w:val="ListBullet"/>
        <w:jc w:val="both"/>
      </w:pPr>
      <w:r>
        <w:rPr>
          <w:sz w:val="21"/>
        </w:rPr>
        <w:t xml:space="preserve">  </w:t>
      </w:r>
      <w:r>
        <w:rPr>
          <w:b/>
          <w:sz w:val="21"/>
        </w:rPr>
        <w:t>Shristi Garg (Independent Director):</w:t>
      </w:r>
      <w:r>
        <w:rPr>
          <w:sz w:val="21"/>
        </w:rPr>
        <w:t xml:space="preserve"> A graduate of Calcutta University and Fellow Member of ICSI with 7 years of experience.</w:t>
      </w:r>
    </w:p>
    <w:p>
      <w:pPr>
        <w:pStyle w:val="ListBullet"/>
        <w:jc w:val="both"/>
      </w:pPr>
      <w:r>
        <w:rPr>
          <w:sz w:val="21"/>
        </w:rPr>
        <w:t xml:space="preserve">  </w:t>
      </w:r>
      <w:r>
        <w:rPr>
          <w:b/>
          <w:sz w:val="21"/>
        </w:rPr>
        <w:t>Pankaj Jhawar (Independent Director):</w:t>
      </w:r>
      <w:r>
        <w:rPr>
          <w:sz w:val="21"/>
        </w:rPr>
        <w:t xml:space="preserve"> A Practicing Company Secretary with 6 years of experience.</w:t>
      </w:r>
    </w:p>
    <w:p>
      <w:pPr>
        <w:pStyle w:val="ListBullet"/>
        <w:jc w:val="both"/>
      </w:pPr>
      <w:r>
        <w:rPr>
          <w:sz w:val="21"/>
        </w:rPr>
        <w:t xml:space="preserve">  </w:t>
      </w:r>
      <w:r>
        <w:rPr>
          <w:b/>
          <w:sz w:val="21"/>
        </w:rPr>
        <w:t>Pratibha Patel (Company Secretary):</w:t>
      </w:r>
      <w:r>
        <w:rPr>
          <w:sz w:val="21"/>
        </w:rPr>
        <w:t xml:space="preserve"> An Associate Member of ICSI and holder of a Bachelor’s degree in Commerce with 3 years of experience.</w:t>
      </w:r>
    </w:p>
    <w:p>
      <w:pPr>
        <w:pStyle w:val="ListBullet"/>
        <w:jc w:val="both"/>
      </w:pPr>
      <w:r>
        <w:rPr>
          <w:sz w:val="21"/>
        </w:rPr>
        <w:t xml:space="preserve">  </w:t>
      </w:r>
      <w:r>
        <w:rPr>
          <w:b/>
          <w:sz w:val="21"/>
        </w:rPr>
        <w:t>Naleen Shah (Promoter):</w:t>
      </w:r>
      <w:r>
        <w:rPr>
          <w:sz w:val="21"/>
        </w:rPr>
        <w:t xml:space="preserve"> Holds a Bachelor’s degree in Commerce (Hons) from Christ University, Bangalore.</w:t>
      </w:r>
    </w:p>
    <w:p>
      <w:pPr>
        <w:pStyle w:val="ListBullet"/>
        <w:jc w:val="both"/>
      </w:pPr>
      <w:r>
        <w:rPr>
          <w:sz w:val="21"/>
        </w:rPr>
        <w:t xml:space="preserve">  </w:t>
      </w:r>
      <w:r>
        <w:rPr>
          <w:b/>
          <w:sz w:val="21"/>
        </w:rPr>
        <w:t>Shanky Santani (Independent Director):</w:t>
      </w:r>
      <w:r>
        <w:rPr>
          <w:sz w:val="21"/>
        </w:rPr>
        <w:t xml:space="preserve"> Serves on the board as an Independent Director.</w:t>
      </w:r>
    </w:p>
    <w:p/>
    <w:p>
      <w:r>
        <w:rPr>
          <w:b/>
          <w:color w:val="003366"/>
          <w:sz w:val="24"/>
        </w:rPr>
        <w:t>4. Ownership Structure</w:t>
      </w:r>
    </w:p>
    <w:p/>
    <w:p>
      <w:pPr>
        <w:spacing w:after="80"/>
        <w:jc w:val="both"/>
      </w:pPr>
      <w:r>
        <w:rPr>
          <w:sz w:val="21"/>
        </w:rPr>
        <w:t>The shareholding pattern of Abha Power and Steel Limited reflects a concentrated ownership structure. The promoters hold a 77.73% stake in the company. The remaining 22.27% of the shareholding is held by public non-institutional shareholders.</w:t>
      </w:r>
    </w:p>
    <w:p/>
    <w:p>
      <w:pPr>
        <w:pStyle w:val="Heading1"/>
        <w:spacing w:before="320" w:after="160"/>
      </w:pPr>
      <w:r>
        <w:rPr>
          <w:b/>
          <w:color w:val="003366"/>
          <w:sz w:val="26"/>
        </w:rPr>
        <w:t>SECTION 2 — FINANCIAL ANALYSIS</w:t>
      </w:r>
    </w:p>
    <w:p>
      <w:pPr>
        <w:pBdr>
          <w:bottom w:val="single" w:sz="6" w:space="1" w:color="003366"/>
        </w:pBdr>
      </w:pPr>
    </w:p>
    <w:p>
      <w:r>
        <w:rPr>
          <w:b/>
          <w:color w:val="003366"/>
          <w:sz w:val="24"/>
        </w:rPr>
        <w:t>2. Financial Analysis</w:t>
      </w:r>
    </w:p>
    <w:p/>
    <w:p>
      <w:r>
        <w:rPr>
          <w:b/>
          <w:color w:val="003366"/>
          <w:sz w:val="22"/>
        </w:rPr>
        <w:t>Revenue &amp; Profitability</w:t>
      </w:r>
    </w:p>
    <w:p>
      <w:pPr>
        <w:spacing w:after="80"/>
        <w:jc w:val="both"/>
      </w:pPr>
      <w:r>
        <w:rPr>
          <w:sz w:val="21"/>
        </w:rPr>
        <w:t>The company has demonstrated strong top-line growth, with revenue increasing from ₹5,174.70 Lakhs in FY2024 to ₹7,018.01 Lakhs in FY2025. Profitability metrics remain robust, reflecting efficient operational management.</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r>
        <w:tc>
          <w:tcPr>
            <w:tcW w:type="dxa" w:w="3041"/>
          </w:tcPr>
          <w:p>
            <w:r>
              <w:rPr>
                <w:color w:val="000000"/>
                <w:sz w:val="19"/>
              </w:rPr>
              <w:t>Revenue</w:t>
            </w:r>
          </w:p>
        </w:tc>
        <w:tc>
          <w:tcPr>
            <w:tcW w:type="dxa" w:w="3041"/>
          </w:tcPr>
          <w:p>
            <w:r>
              <w:rPr>
                <w:color w:val="000000"/>
                <w:sz w:val="19"/>
              </w:rPr>
              <w:t>₹5,174.70 Lakhs</w:t>
            </w:r>
          </w:p>
        </w:tc>
        <w:tc>
          <w:tcPr>
            <w:tcW w:type="dxa" w:w="3041"/>
          </w:tcPr>
          <w:p>
            <w:r>
              <w:rPr>
                <w:color w:val="000000"/>
                <w:sz w:val="19"/>
              </w:rPr>
              <w:t>₹7,018.01 Lakhs</w:t>
            </w:r>
          </w:p>
        </w:tc>
      </w:tr>
      <w:tr>
        <w:tc>
          <w:tcPr>
            <w:tcW w:type="dxa" w:w="3041"/>
            <w:shd w:val="clear" w:color="auto" w:fill="EAF0F8"/>
          </w:tcPr>
          <w:p>
            <w:r>
              <w:rPr>
                <w:color w:val="000000"/>
                <w:sz w:val="19"/>
              </w:rPr>
              <w:t>EBITDA</w:t>
            </w:r>
          </w:p>
        </w:tc>
        <w:tc>
          <w:tcPr>
            <w:tcW w:type="dxa" w:w="3041"/>
            <w:shd w:val="clear" w:color="auto" w:fill="EAF0F8"/>
          </w:tcPr>
          <w:p>
            <w:r>
              <w:rPr>
                <w:color w:val="000000"/>
                <w:sz w:val="19"/>
              </w:rPr>
              <w:t>₹688.87 Lakhs</w:t>
            </w:r>
          </w:p>
        </w:tc>
        <w:tc>
          <w:tcPr>
            <w:tcW w:type="dxa" w:w="3041"/>
            <w:shd w:val="clear" w:color="auto" w:fill="EAF0F8"/>
          </w:tcPr>
          <w:p>
            <w:r>
              <w:rPr>
                <w:color w:val="000000"/>
                <w:sz w:val="19"/>
              </w:rPr>
              <w:t>₹884.45 Lakhs</w:t>
            </w:r>
          </w:p>
        </w:tc>
      </w:tr>
      <w:tr>
        <w:tc>
          <w:tcPr>
            <w:tcW w:type="dxa" w:w="3041"/>
          </w:tcPr>
          <w:p>
            <w:r>
              <w:rPr>
                <w:color w:val="000000"/>
                <w:sz w:val="19"/>
              </w:rPr>
              <w:t>PAT</w:t>
            </w:r>
          </w:p>
        </w:tc>
        <w:tc>
          <w:tcPr>
            <w:tcW w:type="dxa" w:w="3041"/>
          </w:tcPr>
          <w:p>
            <w:r>
              <w:rPr>
                <w:color w:val="000000"/>
                <w:sz w:val="19"/>
              </w:rPr>
              <w:t>₹378.19 Lakhs</w:t>
            </w:r>
          </w:p>
        </w:tc>
        <w:tc>
          <w:tcPr>
            <w:tcW w:type="dxa" w:w="3041"/>
          </w:tcPr>
          <w:p>
            <w:r>
              <w:rPr>
                <w:color w:val="000000"/>
                <w:sz w:val="19"/>
              </w:rPr>
              <w:t>₹622.83 Lakhs</w:t>
            </w:r>
          </w:p>
        </w:tc>
      </w:tr>
      <w:tr>
        <w:tc>
          <w:tcPr>
            <w:tcW w:type="dxa" w:w="3041"/>
            <w:shd w:val="clear" w:color="auto" w:fill="EAF0F8"/>
          </w:tcPr>
          <w:p>
            <w:r>
              <w:rPr>
                <w:color w:val="000000"/>
                <w:sz w:val="19"/>
              </w:rPr>
              <w:t>EBITDA Margin</w:t>
            </w:r>
          </w:p>
        </w:tc>
        <w:tc>
          <w:tcPr>
            <w:tcW w:type="dxa" w:w="3041"/>
            <w:shd w:val="clear" w:color="auto" w:fill="EAF0F8"/>
          </w:tcPr>
          <w:p>
            <w:r>
              <w:rPr>
                <w:color w:val="000000"/>
                <w:sz w:val="19"/>
              </w:rPr>
              <w:t>13.31%</w:t>
            </w:r>
          </w:p>
        </w:tc>
        <w:tc>
          <w:tcPr>
            <w:tcW w:type="dxa" w:w="3041"/>
            <w:shd w:val="clear" w:color="auto" w:fill="EAF0F8"/>
          </w:tcPr>
          <w:p>
            <w:r>
              <w:rPr>
                <w:color w:val="000000"/>
                <w:sz w:val="19"/>
              </w:rPr>
              <w:t>12.60%</w:t>
            </w:r>
          </w:p>
        </w:tc>
      </w:tr>
      <w:tr>
        <w:tc>
          <w:tcPr>
            <w:tcW w:type="dxa" w:w="3041"/>
          </w:tcPr>
          <w:p>
            <w:r>
              <w:rPr>
                <w:color w:val="000000"/>
                <w:sz w:val="19"/>
              </w:rPr>
              <w:t>PAT Margin</w:t>
            </w:r>
          </w:p>
        </w:tc>
        <w:tc>
          <w:tcPr>
            <w:tcW w:type="dxa" w:w="3041"/>
          </w:tcPr>
          <w:p>
            <w:r>
              <w:rPr>
                <w:color w:val="000000"/>
                <w:sz w:val="19"/>
              </w:rPr>
              <w:t>7.31%</w:t>
            </w:r>
          </w:p>
        </w:tc>
        <w:tc>
          <w:tcPr>
            <w:tcW w:type="dxa" w:w="3041"/>
          </w:tcPr>
          <w:p>
            <w:r>
              <w:rPr>
                <w:color w:val="000000"/>
                <w:sz w:val="19"/>
              </w:rPr>
              <w:t>8.87%</w:t>
            </w:r>
          </w:p>
        </w:tc>
      </w:tr>
    </w:tbl>
    <w:p/>
    <w:p/>
    <w:p>
      <w:pPr>
        <w:spacing w:after="80"/>
        <w:jc w:val="both"/>
      </w:pPr>
      <w:r>
        <w:rPr>
          <w:sz w:val="21"/>
        </w:rPr>
        <w:t>While the EBITDA margin experienced a slight contraction from 13.31% to 12.60%, the PAT margin improved significantly from 7.31% to 8.87%, indicating effective control over bottom-line expenses and tax optimization.</w:t>
      </w:r>
    </w:p>
    <w:p/>
    <w:p>
      <w:r>
        <w:rPr>
          <w:b/>
          <w:color w:val="003366"/>
          <w:sz w:val="22"/>
        </w:rPr>
        <w:t>Balance Sheet Analysis</w:t>
      </w:r>
    </w:p>
    <w:p>
      <w:pPr>
        <w:spacing w:after="80"/>
        <w:jc w:val="both"/>
      </w:pPr>
      <w:r>
        <w:rPr>
          <w:sz w:val="21"/>
        </w:rPr>
        <w:t>The company’s balance sheet has strengthened considerably over the observed period, driven by a substantial increase in equity.</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r>
        <w:tc>
          <w:tcPr>
            <w:tcW w:type="dxa" w:w="3041"/>
          </w:tcPr>
          <w:p>
            <w:r>
              <w:rPr>
                <w:color w:val="000000"/>
                <w:sz w:val="19"/>
              </w:rPr>
              <w:t>Total Assets</w:t>
            </w:r>
          </w:p>
        </w:tc>
        <w:tc>
          <w:tcPr>
            <w:tcW w:type="dxa" w:w="3041"/>
          </w:tcPr>
          <w:p>
            <w:r>
              <w:rPr>
                <w:color w:val="000000"/>
                <w:sz w:val="19"/>
              </w:rPr>
              <w:t>₹6,895.82 Lakhs</w:t>
            </w:r>
          </w:p>
        </w:tc>
        <w:tc>
          <w:tcPr>
            <w:tcW w:type="dxa" w:w="3041"/>
          </w:tcPr>
          <w:p>
            <w:r>
              <w:rPr>
                <w:color w:val="000000"/>
                <w:sz w:val="19"/>
              </w:rPr>
              <w:t>₹8,913.89 Lakhs</w:t>
            </w:r>
          </w:p>
        </w:tc>
      </w:tr>
      <w:tr>
        <w:tc>
          <w:tcPr>
            <w:tcW w:type="dxa" w:w="3041"/>
            <w:shd w:val="clear" w:color="auto" w:fill="EAF0F8"/>
          </w:tcPr>
          <w:p>
            <w:r>
              <w:rPr>
                <w:color w:val="000000"/>
                <w:sz w:val="19"/>
              </w:rPr>
              <w:t>Total Equity</w:t>
            </w:r>
          </w:p>
        </w:tc>
        <w:tc>
          <w:tcPr>
            <w:tcW w:type="dxa" w:w="3041"/>
            <w:shd w:val="clear" w:color="auto" w:fill="EAF0F8"/>
          </w:tcPr>
          <w:p>
            <w:r>
              <w:rPr>
                <w:color w:val="000000"/>
                <w:sz w:val="19"/>
              </w:rPr>
              <w:t>₹1,753.66 Lakhs</w:t>
            </w:r>
          </w:p>
        </w:tc>
        <w:tc>
          <w:tcPr>
            <w:tcW w:type="dxa" w:w="3041"/>
            <w:shd w:val="clear" w:color="auto" w:fill="EAF0F8"/>
          </w:tcPr>
          <w:p>
            <w:r>
              <w:rPr>
                <w:color w:val="000000"/>
                <w:sz w:val="19"/>
              </w:rPr>
              <w:t>₹5,083.81 Lakhs</w:t>
            </w:r>
          </w:p>
        </w:tc>
      </w:tr>
      <w:tr>
        <w:tc>
          <w:tcPr>
            <w:tcW w:type="dxa" w:w="3041"/>
          </w:tcPr>
          <w:p>
            <w:r>
              <w:rPr>
                <w:color w:val="000000"/>
                <w:sz w:val="19"/>
              </w:rPr>
              <w:t>Total Borrowings</w:t>
            </w:r>
          </w:p>
        </w:tc>
        <w:tc>
          <w:tcPr>
            <w:tcW w:type="dxa" w:w="3041"/>
          </w:tcPr>
          <w:p>
            <w:r>
              <w:rPr>
                <w:color w:val="000000"/>
                <w:sz w:val="19"/>
              </w:rPr>
              <w:t>₹2,373.23 Lakhs</w:t>
            </w:r>
          </w:p>
        </w:tc>
        <w:tc>
          <w:tcPr>
            <w:tcW w:type="dxa" w:w="3041"/>
          </w:tcPr>
          <w:p>
            <w:r>
              <w:rPr>
                <w:color w:val="000000"/>
                <w:sz w:val="19"/>
              </w:rPr>
              <w:t>₹2,115.28 Lakhs</w:t>
            </w:r>
          </w:p>
        </w:tc>
      </w:tr>
    </w:tbl>
    <w:p/>
    <w:p/>
    <w:p>
      <w:pPr>
        <w:spacing w:after="80"/>
        <w:jc w:val="both"/>
      </w:pPr>
      <w:r>
        <w:rPr>
          <w:sz w:val="21"/>
        </w:rPr>
        <w:t>Total assets grew by approximately 29% year-on-year. Notably, the company successfully reduced its total borrowings from ₹2,373.23 Lakhs in FY2024 to ₹2,115.28 Lakhs in FY2025, while simultaneously bolstering its equity base, which reflects a conservative and healthy approach to capital structure management.</w:t>
      </w:r>
    </w:p>
    <w:p/>
    <w:p>
      <w:r>
        <w:rPr>
          <w:b/>
          <w:color w:val="003366"/>
          <w:sz w:val="22"/>
        </w:rPr>
        <w:t>Key Financial Ratios</w:t>
      </w:r>
    </w:p>
    <w:p>
      <w:pPr>
        <w:spacing w:after="80"/>
        <w:jc w:val="both"/>
      </w:pPr>
      <w:r>
        <w:rPr>
          <w:sz w:val="21"/>
        </w:rPr>
        <w:t>The following table summarizes the available key financial ratios for the company.</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Ratio</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bl>
    <w:p/>
    <w:p/>
    <w:p>
      <w:pPr>
        <w:spacing w:after="80"/>
        <w:jc w:val="both"/>
      </w:pPr>
      <w:r>
        <w:rPr>
          <w:sz w:val="21"/>
        </w:rPr>
        <w:t>*Note: Specific ratio metrics such as DSCR, ICR, Current Ratio, and Debt-Equity Ratio were not provided in the source data for the fiscal years under review; therefore, a qualitative assessment of these specific indicators cannot be performed at this time.*</w:t>
      </w:r>
    </w:p>
    <w:p/>
    <w:p>
      <w:r>
        <w:rPr>
          <w:b/>
          <w:color w:val="003366"/>
          <w:sz w:val="22"/>
        </w:rPr>
        <w:t>Cash Flow Analysis</w:t>
      </w:r>
    </w:p>
    <w:p>
      <w:pPr>
        <w:spacing w:after="80"/>
        <w:jc w:val="both"/>
      </w:pPr>
      <w:r>
        <w:rPr>
          <w:sz w:val="21"/>
        </w:rPr>
        <w:t>The cash flow position indicates a transition toward significant capital investment and financing activities.</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Metric</w:t>
            </w:r>
          </w:p>
        </w:tc>
        <w:tc>
          <w:tcPr>
            <w:tcW w:type="dxa" w:w="3041"/>
            <w:shd w:val="clear" w:color="auto" w:fill="003366"/>
          </w:tcPr>
          <w:p>
            <w:r>
              <w:rPr>
                <w:b/>
                <w:color w:val="FFFFFF"/>
                <w:sz w:val="19"/>
              </w:rPr>
              <w:t>FY2024</w:t>
            </w:r>
          </w:p>
        </w:tc>
        <w:tc>
          <w:tcPr>
            <w:tcW w:type="dxa" w:w="3041"/>
            <w:shd w:val="clear" w:color="auto" w:fill="003366"/>
          </w:tcPr>
          <w:p>
            <w:r>
              <w:rPr>
                <w:b/>
                <w:color w:val="FFFFFF"/>
                <w:sz w:val="19"/>
              </w:rPr>
              <w:t>FY2025</w:t>
            </w:r>
          </w:p>
        </w:tc>
      </w:tr>
      <w:tr>
        <w:tc>
          <w:tcPr>
            <w:tcW w:type="dxa" w:w="3041"/>
          </w:tcPr>
          <w:p>
            <w:r>
              <w:rPr>
                <w:color w:val="000000"/>
                <w:sz w:val="19"/>
              </w:rPr>
              <w:t>Cash from Operations</w:t>
            </w:r>
          </w:p>
        </w:tc>
        <w:tc>
          <w:tcPr>
            <w:tcW w:type="dxa" w:w="3041"/>
          </w:tcPr>
          <w:p>
            <w:r>
              <w:rPr>
                <w:color w:val="000000"/>
                <w:sz w:val="19"/>
              </w:rPr>
              <w:t>₹589.04 Lakhs</w:t>
            </w:r>
          </w:p>
        </w:tc>
        <w:tc>
          <w:tcPr>
            <w:tcW w:type="dxa" w:w="3041"/>
          </w:tcPr>
          <w:p>
            <w:r>
              <w:rPr>
                <w:color w:val="000000"/>
                <w:sz w:val="19"/>
              </w:rPr>
              <w:t>₹448.85 Lakhs</w:t>
            </w:r>
          </w:p>
        </w:tc>
      </w:tr>
      <w:tr>
        <w:tc>
          <w:tcPr>
            <w:tcW w:type="dxa" w:w="3041"/>
            <w:shd w:val="clear" w:color="auto" w:fill="EAF0F8"/>
          </w:tcPr>
          <w:p>
            <w:r>
              <w:rPr>
                <w:color w:val="000000"/>
                <w:sz w:val="19"/>
              </w:rPr>
              <w:t>Cash from Investing</w:t>
            </w:r>
          </w:p>
        </w:tc>
        <w:tc>
          <w:tcPr>
            <w:tcW w:type="dxa" w:w="3041"/>
            <w:shd w:val="clear" w:color="auto" w:fill="EAF0F8"/>
          </w:tcPr>
          <w:p>
            <w:r>
              <w:rPr>
                <w:color w:val="000000"/>
                <w:sz w:val="19"/>
              </w:rPr>
              <w:t>-₹92.08 Lakhs</w:t>
            </w:r>
          </w:p>
        </w:tc>
        <w:tc>
          <w:tcPr>
            <w:tcW w:type="dxa" w:w="3041"/>
            <w:shd w:val="clear" w:color="auto" w:fill="EAF0F8"/>
          </w:tcPr>
          <w:p>
            <w:r>
              <w:rPr>
                <w:color w:val="000000"/>
                <w:sz w:val="19"/>
              </w:rPr>
              <w:t>-₹1,074.37 Lakhs</w:t>
            </w:r>
          </w:p>
        </w:tc>
      </w:tr>
      <w:tr>
        <w:tc>
          <w:tcPr>
            <w:tcW w:type="dxa" w:w="3041"/>
          </w:tcPr>
          <w:p>
            <w:r>
              <w:rPr>
                <w:color w:val="000000"/>
                <w:sz w:val="19"/>
              </w:rPr>
              <w:t>Cash from Financing</w:t>
            </w:r>
          </w:p>
        </w:tc>
        <w:tc>
          <w:tcPr>
            <w:tcW w:type="dxa" w:w="3041"/>
          </w:tcPr>
          <w:p>
            <w:r>
              <w:rPr>
                <w:color w:val="000000"/>
                <w:sz w:val="19"/>
              </w:rPr>
              <w:t>-₹85.67 Lakhs</w:t>
            </w:r>
          </w:p>
        </w:tc>
        <w:tc>
          <w:tcPr>
            <w:tcW w:type="dxa" w:w="3041"/>
          </w:tcPr>
          <w:p>
            <w:r>
              <w:rPr>
                <w:color w:val="000000"/>
                <w:sz w:val="19"/>
              </w:rPr>
              <w:t>₹2,136.47 Lakhs</w:t>
            </w:r>
          </w:p>
        </w:tc>
      </w:tr>
      <w:tr>
        <w:tc>
          <w:tcPr>
            <w:tcW w:type="dxa" w:w="3041"/>
            <w:shd w:val="clear" w:color="auto" w:fill="EAF0F8"/>
          </w:tcPr>
          <w:p>
            <w:r>
              <w:rPr>
                <w:color w:val="000000"/>
                <w:sz w:val="19"/>
              </w:rPr>
              <w:t>Closing Cash Position</w:t>
            </w:r>
          </w:p>
        </w:tc>
        <w:tc>
          <w:tcPr>
            <w:tcW w:type="dxa" w:w="3041"/>
            <w:shd w:val="clear" w:color="auto" w:fill="EAF0F8"/>
          </w:tcPr>
          <w:p>
            <w:r>
              <w:rPr>
                <w:color w:val="000000"/>
                <w:sz w:val="19"/>
              </w:rPr>
              <w:t>₹31.17 Lakhs</w:t>
            </w:r>
          </w:p>
        </w:tc>
        <w:tc>
          <w:tcPr>
            <w:tcW w:type="dxa" w:w="3041"/>
            <w:shd w:val="clear" w:color="auto" w:fill="EAF0F8"/>
          </w:tcPr>
          <w:p>
            <w:r>
              <w:rPr>
                <w:color w:val="000000"/>
                <w:sz w:val="19"/>
              </w:rPr>
              <w:t>₹1,542.12 Lakhs</w:t>
            </w:r>
          </w:p>
        </w:tc>
      </w:tr>
    </w:tbl>
    <w:p/>
    <w:p/>
    <w:p>
      <w:pPr>
        <w:spacing w:after="80"/>
        <w:jc w:val="both"/>
      </w:pPr>
      <w:r>
        <w:rPr>
          <w:sz w:val="21"/>
        </w:rPr>
        <w:t>Operating cash flows remain positive, providing a stable foundation for the business. The substantial outflow in investing activities during FY2025 (-₹1,074.37 Lakhs) suggests significant capital expenditure or asset acquisition. The financing cash flow of ₹2,136.47 Lakhs in FY2025, coupled with the increase in closing cash to ₹1,542.12 Lakhs, indicates a strong liquidity position to support future operational requirements.</w:t>
      </w:r>
    </w:p>
    <w:p/>
    <w:p>
      <w:pPr>
        <w:pStyle w:val="Heading1"/>
        <w:spacing w:before="320" w:after="160"/>
      </w:pPr>
      <w:r>
        <w:rPr>
          <w:b/>
          <w:color w:val="003366"/>
          <w:sz w:val="26"/>
        </w:rPr>
        <w:t>SECTION 3 — EXISTING DEBT &amp; CREDIT PROFILE</w:t>
      </w:r>
    </w:p>
    <w:p>
      <w:pPr>
        <w:pBdr>
          <w:bottom w:val="single" w:sz="6" w:space="1" w:color="003366"/>
        </w:pBdr>
      </w:pPr>
    </w:p>
    <w:p>
      <w:r>
        <w:rPr>
          <w:b/>
          <w:color w:val="003366"/>
          <w:sz w:val="24"/>
        </w:rPr>
        <w:t>3. Existing Debt &amp; Credit Profile</w:t>
      </w:r>
    </w:p>
    <w:p/>
    <w:p>
      <w:r>
        <w:rPr>
          <w:b/>
          <w:color w:val="003366"/>
          <w:sz w:val="22"/>
        </w:rPr>
        <w:t>3.1 Existing Debt Instruments</w:t>
      </w:r>
    </w:p>
    <w:p>
      <w:pPr>
        <w:spacing w:after="80"/>
        <w:jc w:val="both"/>
      </w:pPr>
      <w:r>
        <w:rPr>
          <w:sz w:val="21"/>
        </w:rPr>
        <w:t>Abha Power and Steel Limited maintains a diversified debt portfolio comprising term loans from institutional lenders and private parties, alongside working capital facilities. The company’s borrowing structure includes project-specific financing, solar plant funding, and general working capital support.</w:t>
      </w:r>
    </w:p>
    <w:p/>
    <w:p>
      <w:r>
        <w:rPr>
          <w:b/>
          <w:color w:val="003366"/>
          <w:sz w:val="22"/>
        </w:rPr>
        <w:t>3.2 Debt Terms &amp; Structure</w:t>
      </w:r>
    </w:p>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1520"/>
            <w:shd w:val="clear" w:color="auto" w:fill="003366"/>
          </w:tcPr>
          <w:p>
            <w:r>
              <w:rPr>
                <w:b/>
                <w:color w:val="FFFFFF"/>
                <w:sz w:val="19"/>
              </w:rPr>
              <w:t>Instrument Type</w:t>
            </w:r>
          </w:p>
        </w:tc>
        <w:tc>
          <w:tcPr>
            <w:tcW w:type="dxa" w:w="1520"/>
            <w:shd w:val="clear" w:color="auto" w:fill="003366"/>
          </w:tcPr>
          <w:p>
            <w:r>
              <w:rPr>
                <w:b/>
                <w:color w:val="FFFFFF"/>
                <w:sz w:val="19"/>
              </w:rPr>
              <w:t>Counterparty</w:t>
            </w:r>
          </w:p>
        </w:tc>
        <w:tc>
          <w:tcPr>
            <w:tcW w:type="dxa" w:w="1520"/>
            <w:shd w:val="clear" w:color="auto" w:fill="003366"/>
          </w:tcPr>
          <w:p>
            <w:r>
              <w:rPr>
                <w:b/>
                <w:color w:val="FFFFFF"/>
                <w:sz w:val="19"/>
              </w:rPr>
              <w:t>Purpose</w:t>
            </w:r>
          </w:p>
        </w:tc>
        <w:tc>
          <w:tcPr>
            <w:tcW w:type="dxa" w:w="1520"/>
            <w:shd w:val="clear" w:color="auto" w:fill="003366"/>
          </w:tcPr>
          <w:p>
            <w:r>
              <w:rPr>
                <w:b/>
                <w:color w:val="FFFFFF"/>
                <w:sz w:val="19"/>
              </w:rPr>
              <w:t>Interest Rate</w:t>
            </w:r>
          </w:p>
        </w:tc>
        <w:tc>
          <w:tcPr>
            <w:tcW w:type="dxa" w:w="1520"/>
            <w:shd w:val="clear" w:color="auto" w:fill="003366"/>
          </w:tcPr>
          <w:p>
            <w:r>
              <w:rPr>
                <w:b/>
                <w:color w:val="FFFFFF"/>
                <w:sz w:val="19"/>
              </w:rPr>
              <w:t>Outstanding Amount</w:t>
            </w:r>
          </w:p>
        </w:tc>
        <w:tc>
          <w:tcPr>
            <w:tcW w:type="dxa" w:w="1520"/>
            <w:shd w:val="clear" w:color="auto" w:fill="003366"/>
          </w:tcPr>
          <w:p>
            <w:r>
              <w:rPr>
                <w:b/>
                <w:color w:val="FFFFFF"/>
                <w:sz w:val="19"/>
              </w:rPr>
              <w:t>Maturity Date</w:t>
            </w:r>
          </w:p>
        </w:tc>
      </w:tr>
      <w:tr>
        <w:tc>
          <w:tcPr>
            <w:tcW w:type="dxa" w:w="1520"/>
          </w:tcPr>
          <w:p>
            <w:r>
              <w:rPr>
                <w:color w:val="000000"/>
                <w:sz w:val="19"/>
              </w:rPr>
              <w:t>Term Loan</w:t>
            </w:r>
          </w:p>
        </w:tc>
        <w:tc>
          <w:tcPr>
            <w:tcW w:type="dxa" w:w="1520"/>
          </w:tcPr>
          <w:p>
            <w:r>
              <w:rPr>
                <w:color w:val="000000"/>
                <w:sz w:val="19"/>
              </w:rPr>
              <w:t>ICICI Bank Ltd.</w:t>
            </w:r>
          </w:p>
        </w:tc>
        <w:tc>
          <w:tcPr>
            <w:tcW w:type="dxa" w:w="1520"/>
          </w:tcPr>
          <w:p>
            <w:r>
              <w:rPr>
                <w:color w:val="000000"/>
                <w:sz w:val="19"/>
              </w:rPr>
              <w:t>Working capital</w:t>
            </w:r>
          </w:p>
        </w:tc>
        <w:tc>
          <w:tcPr>
            <w:tcW w:type="dxa" w:w="1520"/>
          </w:tcPr>
          <w:p>
            <w:r>
              <w:rPr>
                <w:color w:val="000000"/>
                <w:sz w:val="19"/>
              </w:rPr>
              <w:t>9.25%</w:t>
            </w:r>
          </w:p>
        </w:tc>
        <w:tc>
          <w:tcPr>
            <w:tcW w:type="dxa" w:w="1520"/>
          </w:tcPr>
          <w:p>
            <w:r>
              <w:rPr>
                <w:color w:val="000000"/>
                <w:sz w:val="19"/>
              </w:rPr>
              <w:t>Rs 31.11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8.50%</w:t>
            </w:r>
          </w:p>
        </w:tc>
        <w:tc>
          <w:tcPr>
            <w:tcW w:type="dxa" w:w="1520"/>
            <w:shd w:val="clear" w:color="auto" w:fill="EAF0F8"/>
          </w:tcPr>
          <w:p>
            <w:r>
              <w:rPr>
                <w:color w:val="000000"/>
                <w:sz w:val="19"/>
              </w:rPr>
              <w:t>Rs 129.32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Not Available</w:t>
            </w:r>
          </w:p>
        </w:tc>
        <w:tc>
          <w:tcPr>
            <w:tcW w:type="dxa" w:w="1520"/>
          </w:tcPr>
          <w:p>
            <w:r>
              <w:rPr>
                <w:color w:val="000000"/>
                <w:sz w:val="19"/>
              </w:rPr>
              <w:t>8.35%</w:t>
            </w:r>
          </w:p>
        </w:tc>
        <w:tc>
          <w:tcPr>
            <w:tcW w:type="dxa" w:w="1520"/>
          </w:tcPr>
          <w:p>
            <w:r>
              <w:rPr>
                <w:color w:val="000000"/>
                <w:sz w:val="19"/>
              </w:rPr>
              <w:t>Rs 74.71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Solar plant</w:t>
            </w:r>
          </w:p>
        </w:tc>
        <w:tc>
          <w:tcPr>
            <w:tcW w:type="dxa" w:w="1520"/>
            <w:shd w:val="clear" w:color="auto" w:fill="EAF0F8"/>
          </w:tcPr>
          <w:p>
            <w:r>
              <w:rPr>
                <w:color w:val="000000"/>
                <w:sz w:val="19"/>
              </w:rPr>
              <w:t>5.65%</w:t>
            </w:r>
          </w:p>
        </w:tc>
        <w:tc>
          <w:tcPr>
            <w:tcW w:type="dxa" w:w="1520"/>
            <w:shd w:val="clear" w:color="auto" w:fill="EAF0F8"/>
          </w:tcPr>
          <w:p>
            <w:r>
              <w:rPr>
                <w:color w:val="000000"/>
                <w:sz w:val="19"/>
              </w:rPr>
              <w:t>Rs 529.60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Solar plant</w:t>
            </w:r>
          </w:p>
        </w:tc>
        <w:tc>
          <w:tcPr>
            <w:tcW w:type="dxa" w:w="1520"/>
          </w:tcPr>
          <w:p>
            <w:r>
              <w:rPr>
                <w:color w:val="000000"/>
                <w:sz w:val="19"/>
              </w:rPr>
              <w:t>7.29%</w:t>
            </w:r>
          </w:p>
        </w:tc>
        <w:tc>
          <w:tcPr>
            <w:tcW w:type="dxa" w:w="1520"/>
          </w:tcPr>
          <w:p>
            <w:r>
              <w:rPr>
                <w:color w:val="000000"/>
                <w:sz w:val="19"/>
              </w:rPr>
              <w:t>Rs 340.40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SIDBI</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7.00%</w:t>
            </w:r>
          </w:p>
        </w:tc>
        <w:tc>
          <w:tcPr>
            <w:tcW w:type="dxa" w:w="1520"/>
            <w:shd w:val="clear" w:color="auto" w:fill="EAF0F8"/>
          </w:tcPr>
          <w:p>
            <w:r>
              <w:rPr>
                <w:color w:val="000000"/>
                <w:sz w:val="19"/>
              </w:rPr>
              <w:t>Rs 113.82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SIDBI</w:t>
            </w:r>
          </w:p>
        </w:tc>
        <w:tc>
          <w:tcPr>
            <w:tcW w:type="dxa" w:w="1520"/>
          </w:tcPr>
          <w:p>
            <w:r>
              <w:rPr>
                <w:color w:val="000000"/>
                <w:sz w:val="19"/>
              </w:rPr>
              <w:t>ECLGS</w:t>
            </w:r>
          </w:p>
        </w:tc>
        <w:tc>
          <w:tcPr>
            <w:tcW w:type="dxa" w:w="1520"/>
          </w:tcPr>
          <w:p>
            <w:r>
              <w:rPr>
                <w:color w:val="000000"/>
                <w:sz w:val="19"/>
              </w:rPr>
              <w:t>6.00%</w:t>
            </w:r>
          </w:p>
        </w:tc>
        <w:tc>
          <w:tcPr>
            <w:tcW w:type="dxa" w:w="1520"/>
          </w:tcPr>
          <w:p>
            <w:r>
              <w:rPr>
                <w:color w:val="000000"/>
                <w:sz w:val="19"/>
              </w:rPr>
              <w:t>Rs 2.33 million</w:t>
            </w:r>
          </w:p>
        </w:tc>
        <w:tc>
          <w:tcPr>
            <w:tcW w:type="dxa" w:w="1520"/>
          </w:tcPr>
          <w:p>
            <w:r>
              <w:rPr>
                <w:color w:val="000000"/>
                <w:sz w:val="19"/>
              </w:rPr>
              <w:t>Not Available</w:t>
            </w:r>
          </w:p>
        </w:tc>
      </w:tr>
      <w:tr>
        <w:tc>
          <w:tcPr>
            <w:tcW w:type="dxa" w:w="1520"/>
            <w:shd w:val="clear" w:color="auto" w:fill="EAF0F8"/>
          </w:tcPr>
          <w:p>
            <w:r>
              <w:rPr>
                <w:color w:val="000000"/>
                <w:sz w:val="19"/>
              </w:rPr>
              <w:t>Cash Credit</w:t>
            </w:r>
          </w:p>
        </w:tc>
        <w:tc>
          <w:tcPr>
            <w:tcW w:type="dxa" w:w="1520"/>
            <w:shd w:val="clear" w:color="auto" w:fill="EAF0F8"/>
          </w:tcPr>
          <w:p>
            <w:r>
              <w:rPr>
                <w:color w:val="000000"/>
                <w:sz w:val="19"/>
              </w:rPr>
              <w:t>ICICI Bank Ltd.</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8.15%</w:t>
            </w:r>
          </w:p>
        </w:tc>
        <w:tc>
          <w:tcPr>
            <w:tcW w:type="dxa" w:w="1520"/>
            <w:shd w:val="clear" w:color="auto" w:fill="EAF0F8"/>
          </w:tcPr>
          <w:p>
            <w:r>
              <w:rPr>
                <w:color w:val="000000"/>
                <w:sz w:val="19"/>
              </w:rPr>
              <w:t>Rs 738.68 million</w:t>
            </w:r>
          </w:p>
        </w:tc>
        <w:tc>
          <w:tcPr>
            <w:tcW w:type="dxa" w:w="1520"/>
            <w:shd w:val="clear" w:color="auto" w:fill="EAF0F8"/>
          </w:tcPr>
          <w:p>
            <w:r>
              <w:rPr>
                <w:color w:val="000000"/>
                <w:sz w:val="19"/>
              </w:rPr>
              <w:t>Not Available</w:t>
            </w:r>
          </w:p>
        </w:tc>
      </w:tr>
      <w:tr>
        <w:tc>
          <w:tcPr>
            <w:tcW w:type="dxa" w:w="1520"/>
          </w:tcPr>
          <w:p>
            <w:r>
              <w:rPr>
                <w:color w:val="000000"/>
                <w:sz w:val="19"/>
              </w:rPr>
              <w:t>Overdraft</w:t>
            </w:r>
          </w:p>
        </w:tc>
        <w:tc>
          <w:tcPr>
            <w:tcW w:type="dxa" w:w="1520"/>
          </w:tcPr>
          <w:p>
            <w:r>
              <w:rPr>
                <w:color w:val="000000"/>
                <w:sz w:val="19"/>
              </w:rPr>
              <w:t>ICICI Bank Ltd.</w:t>
            </w:r>
          </w:p>
        </w:tc>
        <w:tc>
          <w:tcPr>
            <w:tcW w:type="dxa" w:w="1520"/>
          </w:tcPr>
          <w:p>
            <w:r>
              <w:rPr>
                <w:color w:val="000000"/>
                <w:sz w:val="19"/>
              </w:rPr>
              <w:t>Not Available</w:t>
            </w:r>
          </w:p>
        </w:tc>
        <w:tc>
          <w:tcPr>
            <w:tcW w:type="dxa" w:w="1520"/>
          </w:tcPr>
          <w:p>
            <w:r>
              <w:rPr>
                <w:color w:val="000000"/>
                <w:sz w:val="19"/>
              </w:rPr>
              <w:t>7.00%</w:t>
            </w:r>
          </w:p>
        </w:tc>
        <w:tc>
          <w:tcPr>
            <w:tcW w:type="dxa" w:w="1520"/>
          </w:tcPr>
          <w:p>
            <w:r>
              <w:rPr>
                <w:color w:val="000000"/>
                <w:sz w:val="19"/>
              </w:rPr>
              <w:t>Rs 100.00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Akbar Baur Shah</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9.00%</w:t>
            </w:r>
          </w:p>
        </w:tc>
        <w:tc>
          <w:tcPr>
            <w:tcW w:type="dxa" w:w="1520"/>
            <w:shd w:val="clear" w:color="auto" w:fill="EAF0F8"/>
          </w:tcPr>
          <w:p>
            <w:r>
              <w:rPr>
                <w:color w:val="000000"/>
                <w:sz w:val="19"/>
              </w:rPr>
              <w:t>Rs 0.90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D B I A L R D A A L R S</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 D W IL A I I P N S</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8.40%</w:t>
            </w:r>
          </w:p>
        </w:tc>
        <w:tc>
          <w:tcPr>
            <w:tcW w:type="dxa" w:w="1520"/>
            <w:shd w:val="clear" w:color="auto" w:fill="EAF0F8"/>
          </w:tcPr>
          <w:p>
            <w:r>
              <w:rPr>
                <w:color w:val="000000"/>
                <w:sz w:val="19"/>
              </w:rPr>
              <w:t>Rs 0.84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NAR SA O H T U TAM S</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N B I A R R M A A L L</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9.00%</w:t>
            </w:r>
          </w:p>
        </w:tc>
        <w:tc>
          <w:tcPr>
            <w:tcW w:type="dxa" w:w="1520"/>
            <w:shd w:val="clear" w:color="auto" w:fill="EAF0F8"/>
          </w:tcPr>
          <w:p>
            <w:r>
              <w:rPr>
                <w:color w:val="000000"/>
                <w:sz w:val="19"/>
              </w:rPr>
              <w:t>Rs 0.90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RAM SA G H O U PAL</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S Y A A G D A AV R</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8.40%</w:t>
            </w:r>
          </w:p>
        </w:tc>
        <w:tc>
          <w:tcPr>
            <w:tcW w:type="dxa" w:w="1520"/>
            <w:shd w:val="clear" w:color="auto" w:fill="EAF0F8"/>
          </w:tcPr>
          <w:p>
            <w:r>
              <w:rPr>
                <w:color w:val="000000"/>
                <w:sz w:val="19"/>
              </w:rPr>
              <w:t>Rs 0.84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K S Y A U A T M D I A S A V H R</w:t>
            </w:r>
          </w:p>
        </w:tc>
        <w:tc>
          <w:tcPr>
            <w:tcW w:type="dxa" w:w="1520"/>
          </w:tcPr>
          <w:p>
            <w:r>
              <w:rPr>
                <w:color w:val="000000"/>
                <w:sz w:val="19"/>
              </w:rPr>
              <w:t>Not Available</w:t>
            </w:r>
          </w:p>
        </w:tc>
        <w:tc>
          <w:tcPr>
            <w:tcW w:type="dxa" w:w="1520"/>
          </w:tcPr>
          <w:p>
            <w:r>
              <w:rPr>
                <w:color w:val="000000"/>
                <w:sz w:val="19"/>
              </w:rPr>
              <w:t>8.40%</w:t>
            </w:r>
          </w:p>
        </w:tc>
        <w:tc>
          <w:tcPr>
            <w:tcW w:type="dxa" w:w="1520"/>
          </w:tcPr>
          <w:p>
            <w:r>
              <w:rPr>
                <w:color w:val="000000"/>
                <w:sz w:val="19"/>
              </w:rPr>
              <w:t>Rs 0.84 million</w:t>
            </w:r>
          </w:p>
        </w:tc>
        <w:tc>
          <w:tcPr>
            <w:tcW w:type="dxa" w:w="1520"/>
          </w:tcPr>
          <w:p>
            <w:r>
              <w:rPr>
                <w:color w:val="000000"/>
                <w:sz w:val="19"/>
              </w:rPr>
              <w:t>Not Available</w:t>
            </w:r>
          </w:p>
        </w:tc>
      </w:tr>
      <w:tr>
        <w:tc>
          <w:tcPr>
            <w:tcW w:type="dxa" w:w="1520"/>
            <w:shd w:val="clear" w:color="auto" w:fill="EAF0F8"/>
          </w:tcPr>
          <w:p>
            <w:r>
              <w:rPr>
                <w:color w:val="000000"/>
                <w:sz w:val="19"/>
              </w:rPr>
              <w:t>Term Loan</w:t>
            </w:r>
          </w:p>
        </w:tc>
        <w:tc>
          <w:tcPr>
            <w:tcW w:type="dxa" w:w="1520"/>
            <w:shd w:val="clear" w:color="auto" w:fill="EAF0F8"/>
          </w:tcPr>
          <w:p>
            <w:r>
              <w:rPr>
                <w:color w:val="000000"/>
                <w:sz w:val="19"/>
              </w:rPr>
              <w:t>MOHAM- H M A A U D D B D A IN</w:t>
            </w:r>
          </w:p>
        </w:tc>
        <w:tc>
          <w:tcPr>
            <w:tcW w:type="dxa" w:w="1520"/>
            <w:shd w:val="clear" w:color="auto" w:fill="EAF0F8"/>
          </w:tcPr>
          <w:p>
            <w:r>
              <w:rPr>
                <w:color w:val="000000"/>
                <w:sz w:val="19"/>
              </w:rPr>
              <w:t>Not Available</w:t>
            </w:r>
          </w:p>
        </w:tc>
        <w:tc>
          <w:tcPr>
            <w:tcW w:type="dxa" w:w="1520"/>
            <w:shd w:val="clear" w:color="auto" w:fill="EAF0F8"/>
          </w:tcPr>
          <w:p>
            <w:r>
              <w:rPr>
                <w:color w:val="000000"/>
                <w:sz w:val="19"/>
              </w:rPr>
              <w:t>8.20%</w:t>
            </w:r>
          </w:p>
        </w:tc>
        <w:tc>
          <w:tcPr>
            <w:tcW w:type="dxa" w:w="1520"/>
            <w:shd w:val="clear" w:color="auto" w:fill="EAF0F8"/>
          </w:tcPr>
          <w:p>
            <w:r>
              <w:rPr>
                <w:color w:val="000000"/>
                <w:sz w:val="19"/>
              </w:rPr>
              <w:t>Rs 0.82 million</w:t>
            </w:r>
          </w:p>
        </w:tc>
        <w:tc>
          <w:tcPr>
            <w:tcW w:type="dxa" w:w="1520"/>
            <w:shd w:val="clear" w:color="auto" w:fill="EAF0F8"/>
          </w:tcPr>
          <w:p>
            <w:r>
              <w:rPr>
                <w:color w:val="000000"/>
                <w:sz w:val="19"/>
              </w:rPr>
              <w:t>Not Available</w:t>
            </w:r>
          </w:p>
        </w:tc>
      </w:tr>
      <w:tr>
        <w:tc>
          <w:tcPr>
            <w:tcW w:type="dxa" w:w="1520"/>
          </w:tcPr>
          <w:p>
            <w:r>
              <w:rPr>
                <w:color w:val="000000"/>
                <w:sz w:val="19"/>
              </w:rPr>
              <w:t>Term Loan</w:t>
            </w:r>
          </w:p>
        </w:tc>
        <w:tc>
          <w:tcPr>
            <w:tcW w:type="dxa" w:w="1520"/>
          </w:tcPr>
          <w:p>
            <w:r>
              <w:rPr>
                <w:color w:val="000000"/>
                <w:sz w:val="19"/>
              </w:rPr>
              <w:t>P S U H R A S R H A I T K R A E</w:t>
            </w:r>
          </w:p>
        </w:tc>
        <w:tc>
          <w:tcPr>
            <w:tcW w:type="dxa" w:w="1520"/>
          </w:tcPr>
          <w:p>
            <w:r>
              <w:rPr>
                <w:color w:val="000000"/>
                <w:sz w:val="19"/>
              </w:rPr>
              <w:t>Not Available</w:t>
            </w:r>
          </w:p>
        </w:tc>
        <w:tc>
          <w:tcPr>
            <w:tcW w:type="dxa" w:w="1520"/>
          </w:tcPr>
          <w:p>
            <w:r>
              <w:rPr>
                <w:color w:val="000000"/>
                <w:sz w:val="19"/>
              </w:rPr>
              <w:t>8.46%</w:t>
            </w:r>
          </w:p>
        </w:tc>
        <w:tc>
          <w:tcPr>
            <w:tcW w:type="dxa" w:w="1520"/>
          </w:tcPr>
          <w:p>
            <w:r>
              <w:rPr>
                <w:color w:val="000000"/>
                <w:sz w:val="19"/>
              </w:rPr>
              <w:t>Rs 0.85 million</w:t>
            </w:r>
          </w:p>
        </w:tc>
        <w:tc>
          <w:tcPr>
            <w:tcW w:type="dxa" w:w="1520"/>
          </w:tcPr>
          <w:p>
            <w:r>
              <w:rPr>
                <w:color w:val="000000"/>
                <w:sz w:val="19"/>
              </w:rPr>
              <w:t>Not Available</w:t>
            </w:r>
          </w:p>
        </w:tc>
      </w:tr>
    </w:tbl>
    <w:p/>
    <w:p/>
    <w:p>
      <w:pPr>
        <w:spacing w:after="80"/>
        <w:jc w:val="both"/>
      </w:pPr>
      <w:r>
        <w:rPr>
          <w:sz w:val="21"/>
        </w:rPr>
        <w:t>*Note: Outstanding amounts for private term loans have been converted from the provided unit to Rs million for consistency.*</w:t>
      </w:r>
    </w:p>
    <w:p/>
    <w:p>
      <w:r>
        <w:rPr>
          <w:b/>
          <w:color w:val="003366"/>
          <w:sz w:val="22"/>
        </w:rPr>
        <w:t>3.3 Covenants &amp; Restrictions</w:t>
      </w:r>
    </w:p>
    <w:p>
      <w:pPr>
        <w:spacing w:after="80"/>
        <w:jc w:val="both"/>
      </w:pPr>
      <w:r>
        <w:rPr>
          <w:sz w:val="21"/>
        </w:rPr>
        <w:t>The company’s credit facilities are secured by various charges:</w:t>
      </w:r>
    </w:p>
    <w:p>
      <w:pPr>
        <w:pStyle w:val="ListBullet"/>
        <w:jc w:val="both"/>
      </w:pPr>
      <w:r>
        <w:rPr>
          <w:sz w:val="21"/>
        </w:rPr>
        <w:t xml:space="preserve">  </w:t>
      </w:r>
      <w:r>
        <w:rPr>
          <w:b/>
          <w:sz w:val="21"/>
        </w:rPr>
        <w:t>SIDBI Facilities:</w:t>
      </w:r>
      <w:r>
        <w:rPr>
          <w:sz w:val="21"/>
        </w:rPr>
        <w:t xml:space="preserve"> Secured by a first charge on immovable and movable assets, with an extension of the first charge on movables, leasehold rights, and freehold rights of properties owned by Shri Subhash Chand Agrawal and Abha Power &amp; Steel Pvt Ltd.</w:t>
      </w:r>
    </w:p>
    <w:p>
      <w:pPr>
        <w:pStyle w:val="ListBullet"/>
        <w:jc w:val="both"/>
      </w:pPr>
      <w:r>
        <w:rPr>
          <w:sz w:val="21"/>
        </w:rPr>
        <w:t xml:space="preserve">  </w:t>
      </w:r>
      <w:r>
        <w:rPr>
          <w:b/>
          <w:sz w:val="21"/>
        </w:rPr>
        <w:t>ICICI Bank (Cash Credit):</w:t>
      </w:r>
      <w:r>
        <w:rPr>
          <w:sz w:val="21"/>
        </w:rPr>
        <w:t xml:space="preserve"> Secured by an exclusive charge on the entire stock of raw materials, semi-finished and finished goods, consumable stores, spares, book debts, bills, and receivables, in addition to an equitable mortgage on commercial vacant land and residential properties.</w:t>
      </w:r>
    </w:p>
    <w:p>
      <w:pPr>
        <w:pStyle w:val="ListBullet"/>
        <w:jc w:val="both"/>
      </w:pPr>
      <w:r>
        <w:rPr>
          <w:sz w:val="21"/>
        </w:rPr>
        <w:t xml:space="preserve">  </w:t>
      </w:r>
      <w:r>
        <w:rPr>
          <w:b/>
          <w:sz w:val="21"/>
        </w:rPr>
        <w:t>ICICI Bank (Term Loan):</w:t>
      </w:r>
      <w:r>
        <w:rPr>
          <w:sz w:val="21"/>
        </w:rPr>
        <w:t xml:space="preserve"> Secured by a second charge on assets financed under the scheme, a second charge on the existing account, and a second charge on property with an aggregate value of Rs 97.0 million.</w:t>
      </w:r>
    </w:p>
    <w:p>
      <w:pPr>
        <w:pStyle w:val="ListBullet"/>
        <w:jc w:val="both"/>
      </w:pPr>
      <w:r>
        <w:rPr>
          <w:sz w:val="21"/>
        </w:rPr>
        <w:t xml:space="preserve">  </w:t>
      </w:r>
      <w:r>
        <w:rPr>
          <w:b/>
          <w:sz w:val="21"/>
        </w:rPr>
        <w:t>ICICI Bank (Overdraft):</w:t>
      </w:r>
      <w:r>
        <w:rPr>
          <w:sz w:val="21"/>
        </w:rPr>
        <w:t xml:space="preserve"> Secured against fixed deposits.</w:t>
      </w:r>
    </w:p>
    <w:p>
      <w:pPr>
        <w:pStyle w:val="ListBullet"/>
        <w:jc w:val="both"/>
      </w:pPr>
      <w:r>
        <w:rPr>
          <w:sz w:val="21"/>
        </w:rPr>
        <w:t xml:space="preserve">  </w:t>
      </w:r>
      <w:r>
        <w:rPr>
          <w:b/>
          <w:sz w:val="21"/>
        </w:rPr>
        <w:t>Other Facilities:</w:t>
      </w:r>
      <w:r>
        <w:rPr>
          <w:sz w:val="21"/>
        </w:rPr>
        <w:t xml:space="preserve"> A project-specific term loan carries a first charge by way of hypothecation on all movable assets, including plant and machinery, tools, and office equipment. A soft loan facility is subject to a residual charge.</w:t>
      </w:r>
    </w:p>
    <w:p/>
    <w:p>
      <w:r>
        <w:rPr>
          <w:b/>
          <w:color w:val="003366"/>
          <w:sz w:val="22"/>
        </w:rPr>
        <w:t>3.4 Repayment &amp; Conduct</w:t>
      </w:r>
    </w:p>
    <w:p>
      <w:pPr>
        <w:spacing w:after="80"/>
        <w:jc w:val="both"/>
      </w:pPr>
      <w:r>
        <w:rPr>
          <w:sz w:val="21"/>
        </w:rPr>
        <w:t>Based on available information, no adverse banking conduct or defaults have been reported regarding the existing credit facilities.</w:t>
      </w:r>
    </w:p>
    <w:p/>
    <w:p>
      <w:pPr>
        <w:pStyle w:val="Heading1"/>
        <w:spacing w:before="320" w:after="160"/>
      </w:pPr>
      <w:r>
        <w:rPr>
          <w:b/>
          <w:color w:val="003366"/>
          <w:sz w:val="26"/>
        </w:rPr>
        <w:t>SECTION 4 — RISK ASSESSMENT &amp; SECURITY</w:t>
      </w:r>
    </w:p>
    <w:p>
      <w:pPr>
        <w:pBdr>
          <w:bottom w:val="single" w:sz="6" w:space="1" w:color="003366"/>
        </w:pBdr>
      </w:pPr>
    </w:p>
    <w:p>
      <w:r>
        <w:rPr>
          <w:b/>
          <w:color w:val="003366"/>
          <w:sz w:val="24"/>
        </w:rPr>
        <w:t>4. Risk Assessment &amp; Security</w:t>
      </w:r>
    </w:p>
    <w:p/>
    <w:p>
      <w:r>
        <w:rPr>
          <w:b/>
          <w:color w:val="003366"/>
          <w:sz w:val="22"/>
        </w:rPr>
        <w:t>4.1 Risk Assessment</w:t>
      </w:r>
    </w:p>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03366"/>
          </w:tcPr>
          <w:p>
            <w:r>
              <w:rPr>
                <w:b/>
                <w:color w:val="FFFFFF"/>
                <w:sz w:val="19"/>
              </w:rPr>
              <w:t>Risk</w:t>
            </w:r>
          </w:p>
        </w:tc>
        <w:tc>
          <w:tcPr>
            <w:tcW w:type="dxa" w:w="3041"/>
            <w:shd w:val="clear" w:color="auto" w:fill="003366"/>
          </w:tcPr>
          <w:p>
            <w:r>
              <w:rPr>
                <w:b/>
                <w:color w:val="FFFFFF"/>
                <w:sz w:val="19"/>
              </w:rPr>
              <w:t>Severity</w:t>
            </w:r>
          </w:p>
        </w:tc>
        <w:tc>
          <w:tcPr>
            <w:tcW w:type="dxa" w:w="3041"/>
            <w:shd w:val="clear" w:color="auto" w:fill="003366"/>
          </w:tcPr>
          <w:p>
            <w:r>
              <w:rPr>
                <w:b/>
                <w:color w:val="FFFFFF"/>
                <w:sz w:val="19"/>
              </w:rPr>
              <w:t>Mitigant</w:t>
            </w:r>
          </w:p>
        </w:tc>
      </w:tr>
      <w:tr>
        <w:tc>
          <w:tcPr>
            <w:tcW w:type="dxa" w:w="3041"/>
          </w:tcPr>
          <w:p>
            <w:r>
              <w:rPr>
                <w:color w:val="000000"/>
                <w:sz w:val="19"/>
              </w:rPr>
              <w:t>Financial Risk: DSCR of 0.66x indicates pressure on debt servicing capacity.</w:t>
            </w:r>
          </w:p>
        </w:tc>
        <w:tc>
          <w:tcPr>
            <w:tcW w:type="dxa" w:w="3041"/>
          </w:tcPr>
          <w:p>
            <w:r>
              <w:rPr>
                <w:color w:val="000000"/>
                <w:sz w:val="19"/>
              </w:rPr>
              <w:t>High</w:t>
            </w:r>
          </w:p>
        </w:tc>
        <w:tc>
          <w:tcPr>
            <w:tcW w:type="dxa" w:w="3041"/>
          </w:tcPr>
          <w:p>
            <w:r>
              <w:rPr>
                <w:color w:val="000000"/>
                <w:sz w:val="19"/>
              </w:rPr>
              <w:t>Post-IPO cash buffer of INR 1,542 lakh and improved D/E ratio of 0.42.</w:t>
            </w:r>
          </w:p>
        </w:tc>
      </w:tr>
      <w:tr>
        <w:tc>
          <w:tcPr>
            <w:tcW w:type="dxa" w:w="3041"/>
            <w:shd w:val="clear" w:color="auto" w:fill="EAF0F8"/>
          </w:tcPr>
          <w:p>
            <w:r>
              <w:rPr>
                <w:color w:val="000000"/>
                <w:sz w:val="19"/>
              </w:rPr>
              <w:t>Operational Risk: Inventory turnover of 3.39x (~108 days) ties up working capital.</w:t>
            </w:r>
          </w:p>
        </w:tc>
        <w:tc>
          <w:tcPr>
            <w:tcW w:type="dxa" w:w="3041"/>
            <w:shd w:val="clear" w:color="auto" w:fill="EAF0F8"/>
          </w:tcPr>
          <w:p>
            <w:r>
              <w:rPr>
                <w:color w:val="000000"/>
                <w:sz w:val="19"/>
              </w:rPr>
              <w:t>Moderate</w:t>
            </w:r>
          </w:p>
        </w:tc>
        <w:tc>
          <w:tcPr>
            <w:tcW w:type="dxa" w:w="3041"/>
            <w:shd w:val="clear" w:color="auto" w:fill="EAF0F8"/>
          </w:tcPr>
          <w:p>
            <w:r>
              <w:rPr>
                <w:color w:val="000000"/>
                <w:sz w:val="19"/>
              </w:rPr>
              <w:t>Demand-based planning and net realisable value provisioning.</w:t>
            </w:r>
          </w:p>
        </w:tc>
      </w:tr>
      <w:tr>
        <w:tc>
          <w:tcPr>
            <w:tcW w:type="dxa" w:w="3041"/>
          </w:tcPr>
          <w:p>
            <w:r>
              <w:rPr>
                <w:color w:val="000000"/>
                <w:sz w:val="19"/>
              </w:rPr>
              <w:t>Market Risk: Cyclical nature of steel casting and concentration in railway sector.</w:t>
            </w:r>
          </w:p>
        </w:tc>
        <w:tc>
          <w:tcPr>
            <w:tcW w:type="dxa" w:w="3041"/>
          </w:tcPr>
          <w:p>
            <w:r>
              <w:rPr>
                <w:color w:val="000000"/>
                <w:sz w:val="19"/>
              </w:rPr>
              <w:t>Moderate</w:t>
            </w:r>
          </w:p>
        </w:tc>
        <w:tc>
          <w:tcPr>
            <w:tcW w:type="dxa" w:w="3041"/>
          </w:tcPr>
          <w:p>
            <w:r>
              <w:rPr>
                <w:color w:val="000000"/>
                <w:sz w:val="19"/>
              </w:rPr>
              <w:t>~45% utilization provides scope for operational scaling.</w:t>
            </w:r>
          </w:p>
        </w:tc>
      </w:tr>
      <w:tr>
        <w:tc>
          <w:tcPr>
            <w:tcW w:type="dxa" w:w="3041"/>
            <w:shd w:val="clear" w:color="auto" w:fill="EAF0F8"/>
          </w:tcPr>
          <w:p>
            <w:r>
              <w:rPr>
                <w:color w:val="000000"/>
                <w:sz w:val="19"/>
              </w:rPr>
              <w:t>Management Risk: Audit-trail (edit-log) feature in accounting software not fully operated.</w:t>
            </w:r>
          </w:p>
        </w:tc>
        <w:tc>
          <w:tcPr>
            <w:tcW w:type="dxa" w:w="3041"/>
            <w:shd w:val="clear" w:color="auto" w:fill="EAF0F8"/>
          </w:tcPr>
          <w:p>
            <w:r>
              <w:rPr>
                <w:color w:val="000000"/>
                <w:sz w:val="19"/>
              </w:rPr>
              <w:t>Moderate</w:t>
            </w:r>
          </w:p>
        </w:tc>
        <w:tc>
          <w:tcPr>
            <w:tcW w:type="dxa" w:w="3041"/>
            <w:shd w:val="clear" w:color="auto" w:fill="EAF0F8"/>
          </w:tcPr>
          <w:p>
            <w:r>
              <w:rPr>
                <w:color w:val="000000"/>
                <w:sz w:val="19"/>
              </w:rPr>
              <w:t>Implementation of maker-checker controls and internal audit by an independent CA firm.</w:t>
            </w:r>
          </w:p>
        </w:tc>
      </w:tr>
      <w:tr>
        <w:tc>
          <w:tcPr>
            <w:tcW w:type="dxa" w:w="3041"/>
          </w:tcPr>
          <w:p>
            <w:r>
              <w:rPr>
                <w:color w:val="000000"/>
                <w:sz w:val="19"/>
              </w:rPr>
              <w:t>Compliance Risk: CARO exception regarding delayed CSR transfer (INR 4.67 lakh).</w:t>
            </w:r>
          </w:p>
        </w:tc>
        <w:tc>
          <w:tcPr>
            <w:tcW w:type="dxa" w:w="3041"/>
          </w:tcPr>
          <w:p>
            <w:r>
              <w:rPr>
                <w:color w:val="000000"/>
                <w:sz w:val="19"/>
              </w:rPr>
              <w:t>Low</w:t>
            </w:r>
          </w:p>
        </w:tc>
        <w:tc>
          <w:tcPr>
            <w:tcW w:type="dxa" w:w="3041"/>
          </w:tcPr>
          <w:p>
            <w:r>
              <w:rPr>
                <w:color w:val="000000"/>
                <w:sz w:val="19"/>
              </w:rPr>
              <w:t>Amount has since been transferred; nil unspent CSR as of report date.</w:t>
            </w:r>
          </w:p>
        </w:tc>
      </w:tr>
      <w:tr>
        <w:tc>
          <w:tcPr>
            <w:tcW w:type="dxa" w:w="3041"/>
            <w:shd w:val="clear" w:color="auto" w:fill="EAF0F8"/>
          </w:tcPr>
          <w:p>
            <w:r>
              <w:rPr>
                <w:color w:val="000000"/>
                <w:sz w:val="19"/>
              </w:rPr>
              <w:t>External Risk: Minor delays in statutory dues.</w:t>
            </w:r>
          </w:p>
        </w:tc>
        <w:tc>
          <w:tcPr>
            <w:tcW w:type="dxa" w:w="3041"/>
            <w:shd w:val="clear" w:color="auto" w:fill="EAF0F8"/>
          </w:tcPr>
          <w:p>
            <w:r>
              <w:rPr>
                <w:color w:val="000000"/>
                <w:sz w:val="19"/>
              </w:rPr>
              <w:t>Low</w:t>
            </w:r>
          </w:p>
        </w:tc>
        <w:tc>
          <w:tcPr>
            <w:tcW w:type="dxa" w:w="3041"/>
            <w:shd w:val="clear" w:color="auto" w:fill="EAF0F8"/>
          </w:tcPr>
          <w:p>
            <w:r>
              <w:rPr>
                <w:color w:val="000000"/>
                <w:sz w:val="19"/>
              </w:rPr>
              <w:t>Statutory dues are generally deposited regularly.</w:t>
            </w:r>
          </w:p>
        </w:tc>
      </w:tr>
    </w:tbl>
    <w:p/>
    <w:p/>
    <w:p>
      <w:r>
        <w:rPr>
          <w:b/>
          <w:color w:val="003366"/>
          <w:sz w:val="22"/>
        </w:rPr>
        <w:t>4.2 SAVE Risk Rating</w:t>
      </w:r>
    </w:p>
    <w:p/>
    <w:p>
      <w:pPr>
        <w:pStyle w:val="ListBullet"/>
        <w:jc w:val="both"/>
      </w:pPr>
      <w:r>
        <w:rPr>
          <w:sz w:val="21"/>
        </w:rPr>
        <w:t xml:space="preserve">  </w:t>
      </w:r>
      <w:r>
        <w:rPr>
          <w:b/>
          <w:sz w:val="21"/>
        </w:rPr>
        <w:t>Overall Score:</w:t>
      </w:r>
      <w:r>
        <w:rPr>
          <w:sz w:val="21"/>
        </w:rPr>
        <w:t xml:space="preserve"> 6.20</w:t>
      </w:r>
    </w:p>
    <w:p>
      <w:pPr>
        <w:pStyle w:val="ListBullet"/>
        <w:jc w:val="both"/>
      </w:pPr>
      <w:r>
        <w:rPr>
          <w:sz w:val="21"/>
        </w:rPr>
        <w:t xml:space="preserve">  </w:t>
      </w:r>
      <w:r>
        <w:rPr>
          <w:b/>
          <w:sz w:val="21"/>
        </w:rPr>
        <w:t>Rating:</w:t>
      </w:r>
      <w:r>
        <w:rPr>
          <w:sz w:val="21"/>
        </w:rPr>
        <w:t xml:space="preserve"> MODERATE RISK</w:t>
      </w:r>
    </w:p>
    <w:p>
      <w:pPr>
        <w:pStyle w:val="ListBullet"/>
        <w:jc w:val="both"/>
      </w:pPr>
      <w:r>
        <w:rPr>
          <w:sz w:val="21"/>
        </w:rPr>
        <w:t xml:space="preserve">  </w:t>
      </w:r>
      <w:r>
        <w:rPr>
          <w:b/>
          <w:sz w:val="21"/>
        </w:rPr>
        <w:t>Movement:</w:t>
      </w:r>
      <w:r>
        <w:rPr>
          <w:sz w:val="21"/>
        </w:rPr>
        <w:t xml:space="preserve"> Not applicable (No previous rating available)</w:t>
      </w:r>
    </w:p>
    <w:p>
      <w:pPr>
        <w:pStyle w:val="ListBullet"/>
        <w:jc w:val="both"/>
      </w:pPr>
      <w:r>
        <w:rPr>
          <w:sz w:val="21"/>
        </w:rPr>
        <w:t xml:space="preserve">  </w:t>
      </w:r>
      <w:r>
        <w:rPr>
          <w:b/>
          <w:sz w:val="21"/>
        </w:rPr>
        <w:t>Sub-scores:</w:t>
      </w:r>
      <w:r>
        <w:rPr>
          <w:sz w:val="21"/>
        </w:rPr>
        <w:t xml:space="preserve"> Financial Strength (1.75), Profitability &amp; Growth (1.40), Cash Flow Adequacy (0.60), Asset Quality (0.70), Industry/Market Risk (0.50), Management Quality (0.60), Compliance &amp; Legal (0.30), ESG/Sustainability (0.35).</w:t>
      </w:r>
    </w:p>
    <w:p/>
    <w:p>
      <w:pPr>
        <w:spacing w:after="80"/>
        <w:jc w:val="both"/>
      </w:pPr>
      <w:r>
        <w:rPr>
          <w:b/>
          <w:sz w:val="21"/>
        </w:rPr>
        <w:t>Creditworthiness Commentary:</w:t>
      </w:r>
      <w:r>
        <w:rPr>
          <w:sz w:val="21"/>
        </w:rPr>
        <w:t xml:space="preserve"> The "MODERATE RISK" rating reflects a company with strong financial fundamentals, including a healthy D/E ratio of 0.42 and robust revenue growth of 35.6%. While the current DSCR of 0.66x indicates short-term liquidity constraints due to expansion-related capital expenditure, the company’s ability to maintain a post-IPO cash buffer of INR 1,542 lakh and its commitment to ESG standards support its overall credit profile.</w:t>
      </w:r>
    </w:p>
    <w:p/>
    <w:p>
      <w:r>
        <w:rPr>
          <w:b/>
          <w:color w:val="003366"/>
          <w:sz w:val="22"/>
        </w:rPr>
        <w:t>4.3 Security &amp; Collateral</w:t>
      </w:r>
    </w:p>
    <w:p/>
    <w:p>
      <w:pPr>
        <w:spacing w:after="80"/>
        <w:jc w:val="both"/>
      </w:pPr>
      <w:r>
        <w:rPr>
          <w:b/>
          <w:sz w:val="21"/>
        </w:rPr>
        <w:t>Primary Security:</w:t>
      </w:r>
    </w:p>
    <w:p>
      <w:pPr>
        <w:pStyle w:val="ListBullet"/>
        <w:jc w:val="both"/>
      </w:pPr>
      <w:r>
        <w:rPr>
          <w:sz w:val="21"/>
        </w:rPr>
        <w:t xml:space="preserve">  </w:t>
      </w:r>
      <w:r>
        <w:rPr>
          <w:b/>
          <w:sz w:val="21"/>
        </w:rPr>
        <w:t>Hypothecation:</w:t>
      </w:r>
      <w:r>
        <w:rPr>
          <w:sz w:val="21"/>
        </w:rPr>
        <w:t xml:space="preserve"> Exclusive charge in favour of the Bank over the entire stock of raw materials, semi-finished and finished goods, consumable stores, spares, and all movables including book-debts, bills, and outstanding receivables.</w:t>
      </w:r>
    </w:p>
    <w:p/>
    <w:p>
      <w:pPr>
        <w:spacing w:after="80"/>
        <w:jc w:val="both"/>
      </w:pPr>
      <w:r>
        <w:rPr>
          <w:b/>
          <w:sz w:val="21"/>
        </w:rPr>
        <w:t>Collateral Security:</w:t>
      </w:r>
    </w:p>
    <w:p>
      <w:pPr>
        <w:pStyle w:val="ListBullet"/>
        <w:jc w:val="both"/>
      </w:pPr>
      <w:r>
        <w:rPr>
          <w:sz w:val="21"/>
        </w:rPr>
        <w:t xml:space="preserve">  </w:t>
      </w:r>
      <w:r>
        <w:rPr>
          <w:b/>
          <w:sz w:val="21"/>
        </w:rPr>
        <w:t>Lien:</w:t>
      </w:r>
      <w:r>
        <w:rPr>
          <w:sz w:val="21"/>
        </w:rPr>
        <w:t xml:space="preserve"> Shares of the Company.</w:t>
      </w:r>
    </w:p>
    <w:p>
      <w:pPr>
        <w:pStyle w:val="ListBullet"/>
        <w:jc w:val="both"/>
      </w:pPr>
      <w:r>
        <w:rPr>
          <w:sz w:val="21"/>
        </w:rPr>
        <w:t xml:space="preserve">  </w:t>
      </w:r>
      <w:r>
        <w:rPr>
          <w:b/>
          <w:sz w:val="21"/>
        </w:rPr>
        <w:t>Mortgage (Leasehold):</w:t>
      </w:r>
      <w:r>
        <w:rPr>
          <w:sz w:val="21"/>
        </w:rPr>
        <w:t xml:space="preserve"> Immovable property at Hardikala Village, Bilha Tahsil, Bilaspur District (Khasra No. 657/2, area 3,19,200 sq.ft.).</w:t>
      </w:r>
    </w:p>
    <w:p>
      <w:pPr>
        <w:pStyle w:val="ListBullet"/>
        <w:jc w:val="both"/>
      </w:pPr>
      <w:r>
        <w:rPr>
          <w:sz w:val="21"/>
        </w:rPr>
        <w:t xml:space="preserve">  </w:t>
      </w:r>
      <w:r>
        <w:rPr>
          <w:b/>
          <w:sz w:val="21"/>
        </w:rPr>
        <w:t>Mortgage (Freehold):</w:t>
      </w:r>
      <w:r>
        <w:rPr>
          <w:sz w:val="21"/>
        </w:rPr>
        <w:t xml:space="preserve"> Immovable property owned by Shri Subhash Chand Agrawal at Plot No. B/75, Vypar Vihar Zone-One, Bilaspur (area 2,640 sq.ft.).</w:t>
      </w:r>
    </w:p>
    <w:p>
      <w:pPr>
        <w:pStyle w:val="ListBullet"/>
        <w:jc w:val="both"/>
      </w:pPr>
      <w:r>
        <w:rPr>
          <w:sz w:val="21"/>
        </w:rPr>
        <w:t xml:space="preserve">  </w:t>
      </w:r>
      <w:r>
        <w:rPr>
          <w:b/>
          <w:sz w:val="21"/>
        </w:rPr>
        <w:t>Mortgage (Freehold):</w:t>
      </w:r>
      <w:r>
        <w:rPr>
          <w:sz w:val="21"/>
        </w:rPr>
        <w:t xml:space="preserve"> Immovable properties at Kh. No. 446/1 and Kh. No. 447/1, Mouza Bakarkuda, Tehsil Masturi, Bilaspur.</w:t>
      </w:r>
    </w:p>
    <w:p>
      <w:pPr>
        <w:pStyle w:val="ListBullet"/>
        <w:jc w:val="both"/>
      </w:pPr>
      <w:r>
        <w:rPr>
          <w:sz w:val="21"/>
        </w:rPr>
        <w:t xml:space="preserve">  </w:t>
      </w:r>
      <w:r>
        <w:rPr>
          <w:b/>
          <w:sz w:val="21"/>
        </w:rPr>
        <w:t>Mortgage (Freehold):</w:t>
      </w:r>
      <w:r>
        <w:rPr>
          <w:sz w:val="21"/>
        </w:rPr>
        <w:t xml:space="preserve"> Immovable properties at Khasra No. 446/2, 447/2, 448/2, 449/6, 433/3, Mouza Bakarkuda, Tehsil Masturi, Bilaspur.</w:t>
      </w:r>
    </w:p>
    <w:p>
      <w:pPr>
        <w:pStyle w:val="ListBullet"/>
        <w:jc w:val="both"/>
      </w:pPr>
      <w:r>
        <w:rPr>
          <w:sz w:val="21"/>
        </w:rPr>
        <w:t xml:space="preserve">  </w:t>
      </w:r>
      <w:r>
        <w:rPr>
          <w:b/>
          <w:sz w:val="21"/>
        </w:rPr>
        <w:t>Mortgage (Freehold):</w:t>
      </w:r>
      <w:r>
        <w:rPr>
          <w:sz w:val="21"/>
        </w:rPr>
        <w:t xml:space="preserve"> Immovable properties at Khasra No. 432 and Khasra No. 448/1, Mouza Bakarkuda, Tehsil Masturi, Bilaspur.</w:t>
      </w:r>
    </w:p>
    <w:p>
      <w:pPr>
        <w:pStyle w:val="ListBullet"/>
        <w:jc w:val="both"/>
      </w:pPr>
      <w:r>
        <w:rPr>
          <w:sz w:val="21"/>
        </w:rPr>
        <w:t xml:space="preserve">  </w:t>
      </w:r>
      <w:r>
        <w:rPr>
          <w:b/>
          <w:sz w:val="21"/>
        </w:rPr>
        <w:t>Mortgage (Freehold):</w:t>
      </w:r>
      <w:r>
        <w:rPr>
          <w:sz w:val="21"/>
        </w:rPr>
        <w:t xml:space="preserve"> Commercial Vacant Land owned by Mr. Harish Kumar Shah, Mr. Satish Kumar Shah, and Mr. Girish Kumar Shah at Khasra no. 71, Mouja Boudri, Bilha Tehsil (Value: INR 500.00 lakh).</w:t>
      </w:r>
    </w:p>
    <w:p>
      <w:pPr>
        <w:pStyle w:val="ListBullet"/>
        <w:jc w:val="both"/>
      </w:pPr>
      <w:r>
        <w:rPr>
          <w:sz w:val="21"/>
        </w:rPr>
        <w:t xml:space="preserve">  </w:t>
      </w:r>
      <w:r>
        <w:rPr>
          <w:b/>
          <w:sz w:val="21"/>
        </w:rPr>
        <w:t>Mortgage (Freehold):</w:t>
      </w:r>
      <w:r>
        <w:rPr>
          <w:sz w:val="21"/>
        </w:rPr>
        <w:t xml:space="preserve"> Commercial Vacant Land owned by M/s Abha Power &amp; Steel Pvt Ltd at Khasra no. 440/4, 449/4, 449/5, 449/7, 449/8, 450/1, 451, Mouja Bakarkuda, Tehsil Masturi (Value: INR 250.00 lakh).</w:t>
      </w:r>
    </w:p>
    <w:p>
      <w:pPr>
        <w:pStyle w:val="ListBullet"/>
        <w:jc w:val="both"/>
      </w:pPr>
      <w:r>
        <w:rPr>
          <w:sz w:val="21"/>
        </w:rPr>
        <w:t xml:space="preserve">  </w:t>
      </w:r>
      <w:r>
        <w:rPr>
          <w:b/>
          <w:sz w:val="21"/>
        </w:rPr>
        <w:t>Mortgage (Residential):</w:t>
      </w:r>
      <w:r>
        <w:rPr>
          <w:sz w:val="21"/>
        </w:rPr>
        <w:t xml:space="preserve"> Property owned by Mr. Harish Kumar Shah at Plot no. 294, Khasra no. 836/3, Block no. 5, Ghanshyam Homes, Bilaspur (Value: INR 60.00 lakh).</w:t>
      </w:r>
    </w:p>
    <w:p>
      <w:pPr>
        <w:pStyle w:val="ListBullet"/>
        <w:jc w:val="both"/>
      </w:pPr>
      <w:r>
        <w:rPr>
          <w:sz w:val="21"/>
        </w:rPr>
        <w:t xml:space="preserve">  </w:t>
      </w:r>
      <w:r>
        <w:rPr>
          <w:b/>
          <w:sz w:val="21"/>
        </w:rPr>
        <w:t>Mortgage (Residential):</w:t>
      </w:r>
      <w:r>
        <w:rPr>
          <w:sz w:val="21"/>
        </w:rPr>
        <w:t xml:space="preserve"> Property owned by Mr. Satish Kumar Shah at Plot no. 294, Khasra no. 836/3, Block no. 5, Ghanshyam Homes, Bilaspur (Value: INR 60.00 lakh).</w:t>
      </w:r>
    </w:p>
    <w:p>
      <w:pPr>
        <w:pStyle w:val="ListBullet"/>
        <w:jc w:val="both"/>
      </w:pPr>
      <w:r>
        <w:rPr>
          <w:sz w:val="21"/>
        </w:rPr>
        <w:t xml:space="preserve">  </w:t>
      </w:r>
      <w:r>
        <w:rPr>
          <w:b/>
          <w:sz w:val="21"/>
        </w:rPr>
        <w:t>Mortgage (Residential):</w:t>
      </w:r>
      <w:r>
        <w:rPr>
          <w:sz w:val="21"/>
        </w:rPr>
        <w:t xml:space="preserve"> Property owned by Mr. Sanatan A Shah at Sheet No 23/5, Block No 5, Ward No 14, Vinoba Nagar, Bilaspur (Value: INR 100.00 lakh).</w:t>
      </w:r>
    </w:p>
    <w:p/>
    <w:p>
      <w:r>
        <w:rPr>
          <w:b/>
          <w:color w:val="003366"/>
          <w:sz w:val="22"/>
        </w:rPr>
        <w:t>4.4 Contingent Liabilities</w:t>
      </w:r>
    </w:p>
    <w:p/>
    <w:p>
      <w:pPr>
        <w:spacing w:after="80"/>
        <w:jc w:val="both"/>
      </w:pPr>
      <w:r>
        <w:rPr>
          <w:sz w:val="21"/>
        </w:rPr>
        <w:t>No material contingent liabilities have been identified.</w:t>
      </w:r>
    </w:p>
    <w:p/>
    <w:p>
      <w:pPr>
        <w:pStyle w:val="Heading1"/>
        <w:spacing w:before="320" w:after="160"/>
      </w:pPr>
      <w:r>
        <w:rPr>
          <w:b/>
          <w:color w:val="003366"/>
          <w:sz w:val="26"/>
        </w:rPr>
        <w:t>SECTION 5 — DATA CONSISTENCY REVIEW</w:t>
      </w:r>
    </w:p>
    <w:p>
      <w:pPr>
        <w:pBdr>
          <w:bottom w:val="single" w:sz="6" w:space="1" w:color="003366"/>
        </w:pBdr>
      </w:pPr>
    </w:p>
    <w:p>
      <w:pPr>
        <w:pStyle w:val="ListBullet"/>
        <w:jc w:val="both"/>
      </w:pPr>
      <w:r>
        <w:rPr>
          <w:b/>
          <w:sz w:val="21"/>
        </w:rPr>
        <w:t>Company Name (Historical)</w:t>
      </w:r>
      <w:r>
        <w:rPr>
          <w:sz w:val="21"/>
        </w:rPr>
        <w:t>: Borrower Profile reports "Abha Power and Steel Limited" while Audit Findings reports "Abha Power &amp; Steel Private Limited" (severity: minor)</w:t>
      </w:r>
    </w:p>
    <w:p/>
    <w:p>
      <w:pPr>
        <w:pStyle w:val="ListBullet"/>
        <w:jc w:val="both"/>
      </w:pPr>
      <w:r>
        <w:rPr>
          <w:b/>
          <w:sz w:val="21"/>
        </w:rPr>
        <w:t>Total Equity (FY2025)</w:t>
      </w:r>
      <w:r>
        <w:rPr>
          <w:sz w:val="21"/>
        </w:rPr>
        <w:t>: Financials reports "5083.81" while SAVE Risk Assessment reports "5084" (severity: minor)</w:t>
      </w:r>
    </w:p>
    <w:p/>
    <w:p>
      <w:pPr>
        <w:pStyle w:val="ListBullet"/>
        <w:jc w:val="both"/>
      </w:pPr>
      <w:r>
        <w:rPr>
          <w:b/>
          <w:sz w:val="21"/>
        </w:rPr>
        <w:t>Company Name (Historical)</w:t>
      </w:r>
      <w:r>
        <w:rPr>
          <w:sz w:val="21"/>
        </w:rPr>
        <w:t>: Audit Report reports "Abha Power &amp; Steel Private Limited" while Borrower Profile reports "Abha Power and Steel Limited" (severity: minor)</w:t>
      </w:r>
    </w:p>
    <w:p/>
    <w:p>
      <w:pPr>
        <w:pStyle w:val="ListBullet"/>
        <w:jc w:val="both"/>
      </w:pPr>
      <w:r>
        <w:rPr>
          <w:b/>
          <w:sz w:val="21"/>
        </w:rPr>
        <w:t>CSR Compliance</w:t>
      </w:r>
      <w:r>
        <w:rPr>
          <w:sz w:val="21"/>
        </w:rPr>
        <w:t>: SAVE Risk Assessment reports "Unspent CSR of INR 4.67 L transferred to PMNRF only on 20-Aug-2025" while Audit Report reports "The Company has not made investment, provided guarantee or security and granted loans or advances in the nature of loans unsecured (CARO para iii)" (severity: minor)</w:t>
      </w:r>
    </w:p>
    <w:p/>
    <w:p>
      <w:pPr>
        <w:pStyle w:val="Heading1"/>
        <w:spacing w:before="320" w:after="160"/>
      </w:pPr>
      <w:r>
        <w:rPr>
          <w:b/>
          <w:color w:val="003366"/>
          <w:sz w:val="26"/>
        </w:rPr>
        <w:t>SECTION 6 — CREDIT STRUCTURE &amp; RECOMMENDATION</w:t>
      </w:r>
    </w:p>
    <w:p>
      <w:pPr>
        <w:pBdr>
          <w:bottom w:val="single" w:sz="6" w:space="1" w:color="003366"/>
        </w:pBdr>
      </w:pPr>
    </w:p>
    <w:p>
      <w:r>
        <w:rPr>
          <w:b/>
          <w:color w:val="003366"/>
          <w:sz w:val="24"/>
        </w:rPr>
        <w:t>5. Credit Structure &amp; Recommendation</w:t>
      </w:r>
    </w:p>
    <w:p/>
    <w:p>
      <w:r>
        <w:rPr>
          <w:b/>
          <w:color w:val="003366"/>
          <w:sz w:val="22"/>
        </w:rPr>
        <w:t>5.1 Proposed Credit Structure</w:t>
      </w:r>
    </w:p>
    <w:p>
      <w:pPr>
        <w:spacing w:after="80"/>
        <w:jc w:val="both"/>
      </w:pPr>
      <w:r>
        <w:rPr>
          <w:sz w:val="21"/>
        </w:rPr>
        <w:t>Based on the financial performance and the current capital structure of Abha Power and Steel Limited, the following credit structure is proposed to support the company’s operational requirements:</w:t>
      </w:r>
    </w:p>
    <w:p/>
    <w:p>
      <w:pPr>
        <w:pStyle w:val="ListBullet"/>
        <w:jc w:val="both"/>
      </w:pPr>
      <w:r>
        <w:rPr>
          <w:sz w:val="21"/>
        </w:rPr>
        <w:t xml:space="preserve">  </w:t>
      </w:r>
      <w:r>
        <w:rPr>
          <w:b/>
          <w:sz w:val="21"/>
        </w:rPr>
        <w:t>Facility Type:</w:t>
      </w:r>
      <w:r>
        <w:rPr>
          <w:sz w:val="21"/>
        </w:rPr>
        <w:t xml:space="preserve"> Working Capital Demand Loan (WCDL) / Cash Credit</w:t>
      </w:r>
    </w:p>
    <w:p>
      <w:pPr>
        <w:pStyle w:val="ListBullet"/>
        <w:jc w:val="both"/>
      </w:pPr>
      <w:r>
        <w:rPr>
          <w:sz w:val="21"/>
        </w:rPr>
        <w:t xml:space="preserve">  </w:t>
      </w:r>
      <w:r>
        <w:rPr>
          <w:b/>
          <w:sz w:val="21"/>
        </w:rPr>
        <w:t>Amount:</w:t>
      </w:r>
      <w:r>
        <w:rPr>
          <w:sz w:val="21"/>
        </w:rPr>
        <w:t xml:space="preserve"> ₹700.00 Lakhs (Aligned with the company’s revenue growth trajectory of ₹7,018.01 Lakhs in FY2025)</w:t>
      </w:r>
    </w:p>
    <w:p>
      <w:pPr>
        <w:pStyle w:val="ListBullet"/>
        <w:jc w:val="both"/>
      </w:pPr>
      <w:r>
        <w:rPr>
          <w:sz w:val="21"/>
        </w:rPr>
        <w:t xml:space="preserve">  </w:t>
      </w:r>
      <w:r>
        <w:rPr>
          <w:b/>
          <w:sz w:val="21"/>
        </w:rPr>
        <w:t>Tenor:</w:t>
      </w:r>
      <w:r>
        <w:rPr>
          <w:sz w:val="21"/>
        </w:rPr>
        <w:t xml:space="preserve"> 12 months (Renewable annually)</w:t>
      </w:r>
    </w:p>
    <w:p>
      <w:pPr>
        <w:pStyle w:val="ListBullet"/>
        <w:jc w:val="both"/>
      </w:pPr>
      <w:r>
        <w:rPr>
          <w:sz w:val="21"/>
        </w:rPr>
        <w:t xml:space="preserve">  </w:t>
      </w:r>
      <w:r>
        <w:rPr>
          <w:b/>
          <w:sz w:val="21"/>
        </w:rPr>
        <w:t>Interest Rate:</w:t>
      </w:r>
      <w:r>
        <w:rPr>
          <w:sz w:val="21"/>
        </w:rPr>
        <w:t xml:space="preserve"> Linked to the Bank’s MCLR + spread, currently estimated at 9.25% per annum</w:t>
      </w:r>
    </w:p>
    <w:p>
      <w:pPr>
        <w:pStyle w:val="ListBullet"/>
        <w:jc w:val="both"/>
      </w:pPr>
      <w:r>
        <w:rPr>
          <w:sz w:val="21"/>
        </w:rPr>
        <w:t xml:space="preserve">  </w:t>
      </w:r>
      <w:r>
        <w:rPr>
          <w:b/>
          <w:sz w:val="21"/>
        </w:rPr>
        <w:t>Repayment Schedule:</w:t>
      </w:r>
      <w:r>
        <w:rPr>
          <w:sz w:val="21"/>
        </w:rPr>
        <w:t xml:space="preserve"> Interest to be serviced monthly; principal repayable on demand or at the end of the tenor</w:t>
      </w:r>
    </w:p>
    <w:p>
      <w:pPr>
        <w:pStyle w:val="ListBullet"/>
        <w:jc w:val="both"/>
      </w:pPr>
      <w:r>
        <w:rPr>
          <w:sz w:val="21"/>
        </w:rPr>
        <w:t xml:space="preserve">  </w:t>
      </w:r>
      <w:r>
        <w:rPr>
          <w:b/>
          <w:sz w:val="21"/>
        </w:rPr>
        <w:t>Security:</w:t>
      </w:r>
    </w:p>
    <w:p>
      <w:pPr>
        <w:pStyle w:val="ListBullet"/>
        <w:jc w:val="both"/>
      </w:pPr>
      <w:r>
        <w:rPr>
          <w:sz w:val="21"/>
        </w:rPr>
        <w:t xml:space="preserve">  Primary: Exclusive charge by way of hypothecation on the entire current assets of the company (stocks of raw materials, semi-finished and finished goods, and receivables).</w:t>
      </w:r>
    </w:p>
    <w:p>
      <w:pPr>
        <w:pStyle w:val="ListBullet"/>
        <w:jc w:val="both"/>
      </w:pPr>
      <w:r>
        <w:rPr>
          <w:sz w:val="21"/>
        </w:rPr>
        <w:t xml:space="preserve">  Collateral: Extension of equitable mortgage on existing commercial and residential properties currently charged to ICICI Bank.</w:t>
      </w:r>
    </w:p>
    <w:p/>
    <w:p>
      <w:r>
        <w:rPr>
          <w:b/>
          <w:color w:val="003366"/>
          <w:sz w:val="22"/>
        </w:rPr>
        <w:t>5.2 Key Conditions &amp; Covenants</w:t>
      </w:r>
    </w:p>
    <w:p>
      <w:pPr>
        <w:spacing w:after="80"/>
        <w:jc w:val="both"/>
      </w:pPr>
      <w:r>
        <w:rPr>
          <w:sz w:val="21"/>
        </w:rPr>
        <w:t>The approval is subject to the following conditions and ongoing financial covenants to mitigate identified risks:</w:t>
      </w:r>
    </w:p>
    <w:p/>
    <w:p>
      <w:pPr>
        <w:pStyle w:val="ListBullet"/>
        <w:jc w:val="both"/>
      </w:pPr>
      <w:r>
        <w:rPr>
          <w:sz w:val="21"/>
        </w:rPr>
        <w:t xml:space="preserve">  </w:t>
      </w:r>
      <w:r>
        <w:rPr>
          <w:b/>
          <w:sz w:val="21"/>
        </w:rPr>
        <w:t>Conditions Precedent:</w:t>
      </w:r>
    </w:p>
    <w:p>
      <w:pPr>
        <w:pStyle w:val="ListBullet"/>
        <w:jc w:val="both"/>
      </w:pPr>
      <w:r>
        <w:rPr>
          <w:sz w:val="21"/>
        </w:rPr>
        <w:t xml:space="preserve">  Submission of a board-certified resolution for the new facility.</w:t>
      </w:r>
    </w:p>
    <w:p>
      <w:pPr>
        <w:pStyle w:val="ListBullet"/>
        <w:jc w:val="both"/>
      </w:pPr>
      <w:r>
        <w:rPr>
          <w:sz w:val="21"/>
        </w:rPr>
        <w:t xml:space="preserve">  Evidence of rectification regarding the accounting software audit-trail (edit-log) feature to ensure compliance with statutory requirements.</w:t>
      </w:r>
    </w:p>
    <w:p>
      <w:pPr>
        <w:pStyle w:val="ListBullet"/>
        <w:jc w:val="both"/>
      </w:pPr>
      <w:r>
        <w:rPr>
          <w:sz w:val="21"/>
        </w:rPr>
        <w:t xml:space="preserve">  Confirmation of the closure of all minor tax demands noted in the audit report.</w:t>
      </w:r>
    </w:p>
    <w:p>
      <w:pPr>
        <w:pStyle w:val="ListBullet"/>
        <w:jc w:val="both"/>
      </w:pPr>
      <w:r>
        <w:rPr>
          <w:sz w:val="21"/>
        </w:rPr>
        <w:t xml:space="preserve">  </w:t>
      </w:r>
      <w:r>
        <w:rPr>
          <w:b/>
          <w:sz w:val="21"/>
        </w:rPr>
        <w:t>Financial Covenants:</w:t>
      </w:r>
    </w:p>
    <w:p>
      <w:pPr>
        <w:pStyle w:val="ListBullet"/>
        <w:jc w:val="both"/>
      </w:pPr>
      <w:r>
        <w:rPr>
          <w:sz w:val="21"/>
        </w:rPr>
        <w:t xml:space="preserve">  </w:t>
      </w:r>
      <w:r>
        <w:rPr>
          <w:b/>
          <w:sz w:val="21"/>
        </w:rPr>
        <w:t>DSCR:</w:t>
      </w:r>
      <w:r>
        <w:rPr>
          <w:sz w:val="21"/>
        </w:rPr>
        <w:t xml:space="preserve"> Maintain a minimum Debt Service Coverage Ratio of 1.25x.</w:t>
      </w:r>
    </w:p>
    <w:p>
      <w:pPr>
        <w:pStyle w:val="ListBullet"/>
        <w:jc w:val="both"/>
      </w:pPr>
      <w:r>
        <w:rPr>
          <w:sz w:val="21"/>
        </w:rPr>
        <w:t xml:space="preserve">  </w:t>
      </w:r>
      <w:r>
        <w:rPr>
          <w:b/>
          <w:sz w:val="21"/>
        </w:rPr>
        <w:t>D/E Ratio:</w:t>
      </w:r>
      <w:r>
        <w:rPr>
          <w:sz w:val="21"/>
        </w:rPr>
        <w:t xml:space="preserve"> Maintain a Debt-to-Equity ratio below 1.50x (current level is 0.42x).</w:t>
      </w:r>
    </w:p>
    <w:p>
      <w:pPr>
        <w:pStyle w:val="ListBullet"/>
        <w:jc w:val="both"/>
      </w:pPr>
      <w:r>
        <w:rPr>
          <w:sz w:val="21"/>
        </w:rPr>
        <w:t xml:space="preserve">  </w:t>
      </w:r>
      <w:r>
        <w:rPr>
          <w:b/>
          <w:sz w:val="21"/>
        </w:rPr>
        <w:t>Inventory Turnover:</w:t>
      </w:r>
      <w:r>
        <w:rPr>
          <w:sz w:val="21"/>
        </w:rPr>
        <w:t xml:space="preserve"> Maintain inventory turnover above 4.0x to ensure efficient working capital management.</w:t>
      </w:r>
    </w:p>
    <w:p>
      <w:pPr>
        <w:pStyle w:val="ListBullet"/>
        <w:jc w:val="both"/>
      </w:pPr>
      <w:r>
        <w:rPr>
          <w:sz w:val="21"/>
        </w:rPr>
        <w:t xml:space="preserve">  </w:t>
      </w:r>
      <w:r>
        <w:rPr>
          <w:b/>
          <w:sz w:val="21"/>
        </w:rPr>
        <w:t>Reporting Requirements:</w:t>
      </w:r>
    </w:p>
    <w:p>
      <w:pPr>
        <w:pStyle w:val="ListBullet"/>
        <w:jc w:val="both"/>
      </w:pPr>
      <w:r>
        <w:rPr>
          <w:sz w:val="21"/>
        </w:rPr>
        <w:t xml:space="preserve">  Quarterly submission of stock and receivable statements.</w:t>
      </w:r>
    </w:p>
    <w:p>
      <w:pPr>
        <w:pStyle w:val="ListBullet"/>
        <w:jc w:val="both"/>
      </w:pPr>
      <w:r>
        <w:rPr>
          <w:sz w:val="21"/>
        </w:rPr>
        <w:t xml:space="preserve">  Annual submission of audited financial statements within 6 months of the fiscal year-end.</w:t>
      </w:r>
    </w:p>
    <w:p>
      <w:pPr>
        <w:pStyle w:val="ListBullet"/>
        <w:jc w:val="both"/>
      </w:pPr>
      <w:r>
        <w:rPr>
          <w:sz w:val="21"/>
        </w:rPr>
        <w:t xml:space="preserve">  Half-yearly certificate from a Chartered Accountant confirming compliance with all financial covenants.</w:t>
      </w:r>
    </w:p>
    <w:p/>
    <w:p>
      <w:r>
        <w:rPr>
          <w:b/>
          <w:color w:val="003366"/>
          <w:sz w:val="22"/>
        </w:rPr>
        <w:t>5.3 Final Recommendation</w:t>
      </w:r>
    </w:p>
    <w:p>
      <w:pPr>
        <w:spacing w:after="80"/>
        <w:jc w:val="both"/>
      </w:pPr>
      <w:r>
        <w:rPr>
          <w:b/>
          <w:sz w:val="21"/>
        </w:rPr>
        <w:t>Recommendation: Approve with Conditions</w:t>
      </w:r>
    </w:p>
    <w:p/>
    <w:p>
      <w:pPr>
        <w:spacing w:after="80"/>
        <w:jc w:val="both"/>
      </w:pPr>
      <w:r>
        <w:rPr>
          <w:b/>
          <w:sz w:val="21"/>
        </w:rPr>
        <w:t>Justification:</w:t>
      </w:r>
    </w:p>
    <w:p>
      <w:pPr>
        <w:spacing w:after="80"/>
        <w:jc w:val="both"/>
      </w:pPr>
      <w:r>
        <w:rPr>
          <w:sz w:val="21"/>
        </w:rPr>
        <w:t>The recommendation for approval is based on the company’s strong revenue growth of 35.6% (FY2025 revenue: ₹7,018.01 Lakhs) and a healthy PAT margin of 8.87%. The company maintains a solid equity base of ₹5,083.81 Lakhs and a conservative D/E ratio of 0.42x. The auditor has provided an "Unqualified" opinion, confirming the integrity of the financial statements.</w:t>
      </w:r>
    </w:p>
    <w:p/>
    <w:p>
      <w:pPr>
        <w:spacing w:after="80"/>
        <w:jc w:val="both"/>
      </w:pPr>
      <w:r>
        <w:rPr>
          <w:sz w:val="21"/>
        </w:rPr>
        <w:t>However, the approval is conditional due to specific risk factors identified in the SAVE rating (MODERATE RISK, score 6.20):</w:t>
      </w:r>
    </w:p>
    <w:p>
      <w:pPr>
        <w:pStyle w:val="ListNumber"/>
        <w:jc w:val="both"/>
      </w:pPr>
      <w:r>
        <w:rPr>
          <w:sz w:val="21"/>
        </w:rPr>
        <w:t xml:space="preserve">1.  </w:t>
      </w:r>
      <w:r>
        <w:rPr>
          <w:b/>
          <w:sz w:val="21"/>
        </w:rPr>
        <w:t>Liquidity/Cash Flow:</w:t>
      </w:r>
      <w:r>
        <w:rPr>
          <w:sz w:val="21"/>
        </w:rPr>
        <w:t xml:space="preserve"> The current DSCR of 0.66x is a concern, driven by heavy principal repayments. The proposed facility is intended to provide liquidity relief and support working capital, contingent upon the company maintaining the stipulated 1.25x DSCR moving forward.</w:t>
      </w:r>
    </w:p>
    <w:p>
      <w:pPr>
        <w:pStyle w:val="ListNumber"/>
        <w:jc w:val="both"/>
      </w:pPr>
      <w:r>
        <w:rPr>
          <w:sz w:val="21"/>
        </w:rPr>
        <w:t xml:space="preserve">2.  </w:t>
      </w:r>
      <w:r>
        <w:rPr>
          <w:b/>
          <w:sz w:val="21"/>
        </w:rPr>
        <w:t>Internal Controls:</w:t>
      </w:r>
      <w:r>
        <w:rPr>
          <w:sz w:val="21"/>
        </w:rPr>
        <w:t xml:space="preserve"> The audit finding regarding the non-operation of the audit-trail (edit-log) feature in the accounting software must be rectified immediately to ensure robust financial governance.</w:t>
      </w:r>
    </w:p>
    <w:p>
      <w:pPr>
        <w:pStyle w:val="ListNumber"/>
        <w:jc w:val="both"/>
      </w:pPr>
      <w:r>
        <w:rPr>
          <w:sz w:val="21"/>
        </w:rPr>
        <w:t xml:space="preserve">3.  </w:t>
      </w:r>
      <w:r>
        <w:rPr>
          <w:b/>
          <w:sz w:val="21"/>
        </w:rPr>
        <w:t>Operational Efficiency:</w:t>
      </w:r>
      <w:r>
        <w:rPr>
          <w:sz w:val="21"/>
        </w:rPr>
        <w:t xml:space="preserve"> The inventory turnover of 3.39x (~108 days) indicates a need for tighter working capital control, which is addressed by the proposed covenant.</w:t>
      </w:r>
    </w:p>
    <w:p/>
    <w:p>
      <w:pPr>
        <w:spacing w:after="80"/>
        <w:jc w:val="both"/>
      </w:pPr>
      <w:r>
        <w:rPr>
          <w:sz w:val="21"/>
        </w:rPr>
        <w:t>Given the company’s successful IPO, strong asset quality, and experienced management, the credit risk is considered manageable provided the aforementioned covenants are strictly enforced.</w:t>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6"/>
      </w:rPr>
      <w:t>CREDIT ASSESSMENT MEMORANDUM  |  Abha Power and Steel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