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003366"/>
          <w:sz w:val="40"/>
        </w:rPr>
        <w:t>CREDIT ASSESSMENT MEMORANDUM</w:t>
      </w:r>
    </w:p>
    <w:p/>
    <w:p>
      <w:pPr>
        <w:jc w:val="center"/>
      </w:pPr>
      <w:r>
        <w:rPr>
          <w:b/>
          <w:color w:val="336699"/>
          <w:sz w:val="28"/>
        </w:rPr>
        <w:t>Sri Ramakrishna Mills (Coimbatore) Limited</w:t>
      </w:r>
    </w:p>
    <w:p/>
    <w:p>
      <w:pPr>
        <w:jc w:val="center"/>
      </w:pPr>
      <w:r>
        <w:rPr>
          <w:b/>
          <w:color w:val="CC0000"/>
          <w:sz w:val="18"/>
        </w:rPr>
        <w:t>CONFIDENTIAL — FOR INTERNAL USE ONLY</w:t>
      </w:r>
    </w:p>
    <w:p>
      <w:r>
        <w:br w:type="page"/>
      </w:r>
    </w:p>
    <w:p>
      <w:pPr>
        <w:pStyle w:val="Heading1"/>
        <w:spacing w:before="320" w:after="160"/>
      </w:pPr>
      <w:r>
        <w:rPr>
          <w:b/>
          <w:color w:val="003366"/>
          <w:sz w:val="26"/>
        </w:rPr>
        <w:t>SECTION 1 — BORROWER OVERVIEW &amp; BACKGROUND</w:t>
      </w:r>
    </w:p>
    <w:p>
      <w:pPr>
        <w:pBdr>
          <w:bottom w:val="single" w:sz="6" w:space="1" w:color="003366"/>
        </w:pBdr>
      </w:pPr>
    </w:p>
    <w:p>
      <w:r>
        <w:rPr>
          <w:b/>
          <w:color w:val="003366"/>
          <w:sz w:val="24"/>
        </w:rPr>
        <w:t>1. Executive Summary</w:t>
      </w:r>
    </w:p>
    <w:p>
      <w:pPr>
        <w:spacing w:after="80"/>
        <w:jc w:val="both"/>
      </w:pPr>
      <w:r>
        <w:rPr>
          <w:sz w:val="21"/>
        </w:rPr>
        <w:t>Sri Ramakrishna Mills (Coimbatore) Limited is seeking credit facilities to support its ongoing operations. The company is a well-established entity operating in the textile (yarn) and real estate sectors. With a legacy dating back to 1946, the company maintains a stable operational profile and a strong promoter backing. This proposal outlines the credit assessment for the borrower, highlighting its business model, management expertise, and ownership structure.</w:t>
      </w:r>
    </w:p>
    <w:p/>
    <w:p>
      <w:r>
        <w:rPr>
          <w:b/>
          <w:color w:val="003366"/>
          <w:sz w:val="24"/>
        </w:rPr>
        <w:t>2. Borrower Background</w:t>
      </w:r>
    </w:p>
    <w:p>
      <w:pPr>
        <w:spacing w:after="80"/>
        <w:jc w:val="both"/>
      </w:pPr>
      <w:r>
        <w:rPr>
          <w:sz w:val="21"/>
        </w:rPr>
        <w:t>Sri Ramakrishna Mills (Coimbatore) Limited (CIN: L17111TZ1946PLC000175) is a Public Limited company incorporated in 1946. The company’s registered office is situated at 1493, Sathyamangalam Road, Ganapathy Post, Coimbatore-641 006. The borrower is primarily engaged in the business of textile (yarn) manufacturing and real estate development.</w:t>
      </w:r>
    </w:p>
    <w:p/>
    <w:p>
      <w:r>
        <w:rPr>
          <w:b/>
          <w:color w:val="003366"/>
          <w:sz w:val="24"/>
        </w:rPr>
        <w:t>3. Management &amp; Promoters</w:t>
      </w:r>
    </w:p>
    <w:p>
      <w:pPr>
        <w:spacing w:after="80"/>
        <w:jc w:val="both"/>
      </w:pPr>
      <w:r>
        <w:rPr>
          <w:sz w:val="21"/>
        </w:rPr>
        <w:t>The company is led by a professional management team and supported by a group of experienced promoters. The key promoters include D. Lakshminarayanaswamy, L. Nagaswarna, L. Suhasini, L. Swathy, Swathy Processors Limited, Suhasini Spinners Limited, and Sri Ramakrishna Yarn Carriers Limited.</w:t>
      </w:r>
    </w:p>
    <w:p/>
    <w:p>
      <w:pPr>
        <w:spacing w:after="80"/>
        <w:jc w:val="both"/>
      </w:pPr>
      <w:r>
        <w:rPr>
          <w:sz w:val="21"/>
        </w:rPr>
        <w:t>The Board of Directors and key management personnel are as follows:</w:t>
      </w:r>
    </w:p>
    <w:p>
      <w:pPr>
        <w:pStyle w:val="ListBullet"/>
        <w:jc w:val="both"/>
      </w:pPr>
      <w:r>
        <w:rPr>
          <w:sz w:val="21"/>
        </w:rPr>
        <w:t xml:space="preserve">  </w:t>
      </w:r>
      <w:r>
        <w:rPr>
          <w:b/>
          <w:sz w:val="21"/>
        </w:rPr>
        <w:t>D. Lakshminarayanaswamy:</w:t>
      </w:r>
      <w:r>
        <w:rPr>
          <w:sz w:val="21"/>
        </w:rPr>
        <w:t xml:space="preserve"> Managing Director</w:t>
      </w:r>
    </w:p>
    <w:p>
      <w:pPr>
        <w:pStyle w:val="ListBullet"/>
        <w:jc w:val="both"/>
      </w:pPr>
      <w:r>
        <w:rPr>
          <w:sz w:val="21"/>
        </w:rPr>
        <w:t xml:space="preserve">  </w:t>
      </w:r>
      <w:r>
        <w:rPr>
          <w:b/>
          <w:sz w:val="21"/>
        </w:rPr>
        <w:t>L. Nagaswarna:</w:t>
      </w:r>
      <w:r>
        <w:rPr>
          <w:sz w:val="21"/>
        </w:rPr>
        <w:t xml:space="preserve"> Wholetime Director</w:t>
      </w:r>
    </w:p>
    <w:p>
      <w:pPr>
        <w:pStyle w:val="ListBullet"/>
        <w:jc w:val="both"/>
      </w:pPr>
      <w:r>
        <w:rPr>
          <w:sz w:val="21"/>
        </w:rPr>
        <w:t xml:space="preserve">  </w:t>
      </w:r>
      <w:r>
        <w:rPr>
          <w:b/>
          <w:sz w:val="21"/>
        </w:rPr>
        <w:t>P. Muthusamy:</w:t>
      </w:r>
      <w:r>
        <w:rPr>
          <w:sz w:val="21"/>
        </w:rPr>
        <w:t xml:space="preserve"> Director</w:t>
      </w:r>
    </w:p>
    <w:p>
      <w:pPr>
        <w:pStyle w:val="ListBullet"/>
        <w:jc w:val="both"/>
      </w:pPr>
      <w:r>
        <w:rPr>
          <w:sz w:val="21"/>
        </w:rPr>
        <w:t xml:space="preserve">  </w:t>
      </w:r>
      <w:r>
        <w:rPr>
          <w:b/>
          <w:sz w:val="21"/>
        </w:rPr>
        <w:t>M. Srividya:</w:t>
      </w:r>
      <w:r>
        <w:rPr>
          <w:sz w:val="21"/>
        </w:rPr>
        <w:t xml:space="preserve"> Company Secretary</w:t>
      </w:r>
    </w:p>
    <w:p>
      <w:pPr>
        <w:pStyle w:val="ListBullet"/>
        <w:jc w:val="both"/>
      </w:pPr>
      <w:r>
        <w:rPr>
          <w:sz w:val="21"/>
        </w:rPr>
        <w:t xml:space="preserve">  </w:t>
      </w:r>
      <w:r>
        <w:rPr>
          <w:b/>
          <w:sz w:val="21"/>
        </w:rPr>
        <w:t>G. Krishnakumar:</w:t>
      </w:r>
      <w:r>
        <w:rPr>
          <w:sz w:val="21"/>
        </w:rPr>
        <w:t xml:space="preserve"> Chief Financial Officer</w:t>
      </w:r>
    </w:p>
    <w:p>
      <w:pPr>
        <w:pStyle w:val="ListBullet"/>
        <w:jc w:val="both"/>
      </w:pPr>
      <w:r>
        <w:rPr>
          <w:sz w:val="21"/>
        </w:rPr>
        <w:t xml:space="preserve">  </w:t>
      </w:r>
      <w:r>
        <w:rPr>
          <w:b/>
          <w:sz w:val="21"/>
        </w:rPr>
        <w:t>Rajan Guru Chandrasekar:</w:t>
      </w:r>
      <w:r>
        <w:rPr>
          <w:sz w:val="21"/>
        </w:rPr>
        <w:t xml:space="preserve"> Independent Director</w:t>
      </w:r>
    </w:p>
    <w:p>
      <w:pPr>
        <w:pStyle w:val="ListBullet"/>
        <w:jc w:val="both"/>
      </w:pPr>
      <w:r>
        <w:rPr>
          <w:sz w:val="21"/>
        </w:rPr>
        <w:t xml:space="preserve">  </w:t>
      </w:r>
      <w:r>
        <w:rPr>
          <w:b/>
          <w:sz w:val="21"/>
        </w:rPr>
        <w:t>Ravichandran Dhamodaran:</w:t>
      </w:r>
      <w:r>
        <w:rPr>
          <w:sz w:val="21"/>
        </w:rPr>
        <w:t xml:space="preserve"> Independent Director</w:t>
      </w:r>
    </w:p>
    <w:p>
      <w:pPr>
        <w:pStyle w:val="ListBullet"/>
        <w:jc w:val="both"/>
      </w:pPr>
      <w:r>
        <w:rPr>
          <w:sz w:val="21"/>
        </w:rPr>
        <w:t xml:space="preserve">  </w:t>
      </w:r>
      <w:r>
        <w:rPr>
          <w:b/>
          <w:sz w:val="21"/>
        </w:rPr>
        <w:t>C. Baalasubramaniyam:</w:t>
      </w:r>
      <w:r>
        <w:rPr>
          <w:sz w:val="21"/>
        </w:rPr>
        <w:t xml:space="preserve"> Independent Director</w:t>
      </w:r>
    </w:p>
    <w:p/>
    <w:p>
      <w:r>
        <w:rPr>
          <w:b/>
          <w:color w:val="003366"/>
          <w:sz w:val="24"/>
        </w:rPr>
        <w:t>4. Ownership Structure</w:t>
      </w:r>
    </w:p>
    <w:p>
      <w:pPr>
        <w:spacing w:after="80"/>
        <w:jc w:val="both"/>
      </w:pPr>
      <w:r>
        <w:rPr>
          <w:sz w:val="21"/>
        </w:rPr>
        <w:t>The shareholding pattern of Sri Ramakrishna Mills (Coimbatore) Limited reflects a strong promoter-led structure. The promoters hold 64.01% of the total equity. The remaining 33.61% is held by public non-institutional shareholders.</w:t>
      </w:r>
    </w:p>
    <w:p/>
    <w:p>
      <w:pPr>
        <w:pStyle w:val="Heading1"/>
        <w:spacing w:before="320" w:after="160"/>
      </w:pPr>
      <w:r>
        <w:rPr>
          <w:b/>
          <w:color w:val="003366"/>
          <w:sz w:val="26"/>
        </w:rPr>
        <w:t>SECTION 2 — FINANCIAL ANALYSIS</w:t>
      </w:r>
    </w:p>
    <w:p>
      <w:pPr>
        <w:pBdr>
          <w:bottom w:val="single" w:sz="6" w:space="1" w:color="003366"/>
        </w:pBdr>
      </w:pPr>
    </w:p>
    <w:p>
      <w:r>
        <w:rPr>
          <w:b/>
          <w:color w:val="003366"/>
          <w:sz w:val="24"/>
        </w:rPr>
        <w:t>2. Financial Analysis</w:t>
      </w:r>
    </w:p>
    <w:p/>
    <w:p>
      <w:r>
        <w:rPr>
          <w:b/>
          <w:color w:val="003366"/>
          <w:sz w:val="22"/>
        </w:rPr>
        <w:t>Revenue &amp; Profitability</w:t>
      </w:r>
    </w:p>
    <w:p>
      <w:pPr>
        <w:spacing w:after="80"/>
        <w:jc w:val="both"/>
      </w:pPr>
      <w:r>
        <w:rPr>
          <w:sz w:val="21"/>
        </w:rPr>
        <w:t>The company demonstrated significant growth in its top-line performance during the observed period. Revenue increased from Rs.3,950.55 lakhs in FY2023 to Rs.5,907.39 lakhs in FY2024. Profitability metrics also showed substantial improvement, with EBITDA rising from Rs.441.96 lakhs to Rs.1,295.20 lakhs, and PAT expanding from Rs.27.91 lakhs to Rs.648.01 lakhs.</w:t>
      </w:r>
    </w:p>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003366"/>
          </w:tcPr>
          <w:p>
            <w:r>
              <w:rPr>
                <w:b/>
                <w:color w:val="FFFFFF"/>
                <w:sz w:val="19"/>
              </w:rPr>
              <w:t>Metric</w:t>
            </w:r>
          </w:p>
        </w:tc>
        <w:tc>
          <w:tcPr>
            <w:tcW w:type="dxa" w:w="3041"/>
            <w:shd w:val="clear" w:color="auto" w:fill="003366"/>
          </w:tcPr>
          <w:p>
            <w:r>
              <w:rPr>
                <w:b/>
                <w:color w:val="FFFFFF"/>
                <w:sz w:val="19"/>
              </w:rPr>
              <w:t>FY2023</w:t>
            </w:r>
          </w:p>
        </w:tc>
        <w:tc>
          <w:tcPr>
            <w:tcW w:type="dxa" w:w="3041"/>
            <w:shd w:val="clear" w:color="auto" w:fill="003366"/>
          </w:tcPr>
          <w:p>
            <w:r>
              <w:rPr>
                <w:b/>
                <w:color w:val="FFFFFF"/>
                <w:sz w:val="19"/>
              </w:rPr>
              <w:t>FY2024</w:t>
            </w:r>
          </w:p>
        </w:tc>
      </w:tr>
      <w:tr>
        <w:tc>
          <w:tcPr>
            <w:tcW w:type="dxa" w:w="3041"/>
          </w:tcPr>
          <w:p>
            <w:r>
              <w:rPr>
                <w:color w:val="000000"/>
                <w:sz w:val="19"/>
              </w:rPr>
              <w:t>Revenue</w:t>
            </w:r>
          </w:p>
        </w:tc>
        <w:tc>
          <w:tcPr>
            <w:tcW w:type="dxa" w:w="3041"/>
          </w:tcPr>
          <w:p>
            <w:r>
              <w:rPr>
                <w:color w:val="000000"/>
                <w:sz w:val="19"/>
              </w:rPr>
              <w:t>Rs.3,950.55 lakhs</w:t>
            </w:r>
          </w:p>
        </w:tc>
        <w:tc>
          <w:tcPr>
            <w:tcW w:type="dxa" w:w="3041"/>
          </w:tcPr>
          <w:p>
            <w:r>
              <w:rPr>
                <w:color w:val="000000"/>
                <w:sz w:val="19"/>
              </w:rPr>
              <w:t>Rs.5,907.39 lakhs</w:t>
            </w:r>
          </w:p>
        </w:tc>
      </w:tr>
      <w:tr>
        <w:tc>
          <w:tcPr>
            <w:tcW w:type="dxa" w:w="3041"/>
            <w:shd w:val="clear" w:color="auto" w:fill="EAF0F8"/>
          </w:tcPr>
          <w:p>
            <w:r>
              <w:rPr>
                <w:color w:val="000000"/>
                <w:sz w:val="19"/>
              </w:rPr>
              <w:t>EBITDA</w:t>
            </w:r>
          </w:p>
        </w:tc>
        <w:tc>
          <w:tcPr>
            <w:tcW w:type="dxa" w:w="3041"/>
            <w:shd w:val="clear" w:color="auto" w:fill="EAF0F8"/>
          </w:tcPr>
          <w:p>
            <w:r>
              <w:rPr>
                <w:color w:val="000000"/>
                <w:sz w:val="19"/>
              </w:rPr>
              <w:t>Rs.441.96 lakhs</w:t>
            </w:r>
          </w:p>
        </w:tc>
        <w:tc>
          <w:tcPr>
            <w:tcW w:type="dxa" w:w="3041"/>
            <w:shd w:val="clear" w:color="auto" w:fill="EAF0F8"/>
          </w:tcPr>
          <w:p>
            <w:r>
              <w:rPr>
                <w:color w:val="000000"/>
                <w:sz w:val="19"/>
              </w:rPr>
              <w:t>Rs.1,295.20 lakhs</w:t>
            </w:r>
          </w:p>
        </w:tc>
      </w:tr>
      <w:tr>
        <w:tc>
          <w:tcPr>
            <w:tcW w:type="dxa" w:w="3041"/>
          </w:tcPr>
          <w:p>
            <w:r>
              <w:rPr>
                <w:color w:val="000000"/>
                <w:sz w:val="19"/>
              </w:rPr>
              <w:t>PAT</w:t>
            </w:r>
          </w:p>
        </w:tc>
        <w:tc>
          <w:tcPr>
            <w:tcW w:type="dxa" w:w="3041"/>
          </w:tcPr>
          <w:p>
            <w:r>
              <w:rPr>
                <w:color w:val="000000"/>
                <w:sz w:val="19"/>
              </w:rPr>
              <w:t>Rs.27.91 lakhs</w:t>
            </w:r>
          </w:p>
        </w:tc>
        <w:tc>
          <w:tcPr>
            <w:tcW w:type="dxa" w:w="3041"/>
          </w:tcPr>
          <w:p>
            <w:r>
              <w:rPr>
                <w:color w:val="000000"/>
                <w:sz w:val="19"/>
              </w:rPr>
              <w:t>Rs.648.01 lakhs</w:t>
            </w:r>
          </w:p>
        </w:tc>
      </w:tr>
      <w:tr>
        <w:tc>
          <w:tcPr>
            <w:tcW w:type="dxa" w:w="3041"/>
            <w:shd w:val="clear" w:color="auto" w:fill="EAF0F8"/>
          </w:tcPr>
          <w:p>
            <w:r>
              <w:rPr>
                <w:color w:val="000000"/>
                <w:sz w:val="19"/>
              </w:rPr>
              <w:t>EBITDA Margin</w:t>
            </w:r>
          </w:p>
        </w:tc>
        <w:tc>
          <w:tcPr>
            <w:tcW w:type="dxa" w:w="3041"/>
            <w:shd w:val="clear" w:color="auto" w:fill="EAF0F8"/>
          </w:tcPr>
          <w:p>
            <w:r>
              <w:rPr>
                <w:color w:val="000000"/>
                <w:sz w:val="19"/>
              </w:rPr>
              <w:t>11.08%</w:t>
            </w:r>
          </w:p>
        </w:tc>
        <w:tc>
          <w:tcPr>
            <w:tcW w:type="dxa" w:w="3041"/>
            <w:shd w:val="clear" w:color="auto" w:fill="EAF0F8"/>
          </w:tcPr>
          <w:p>
            <w:r>
              <w:rPr>
                <w:color w:val="000000"/>
                <w:sz w:val="19"/>
              </w:rPr>
              <w:t>21.71%</w:t>
            </w:r>
          </w:p>
        </w:tc>
      </w:tr>
      <w:tr>
        <w:tc>
          <w:tcPr>
            <w:tcW w:type="dxa" w:w="3041"/>
          </w:tcPr>
          <w:p>
            <w:r>
              <w:rPr>
                <w:color w:val="000000"/>
                <w:sz w:val="19"/>
              </w:rPr>
              <w:t>PAT Margin</w:t>
            </w:r>
          </w:p>
        </w:tc>
        <w:tc>
          <w:tcPr>
            <w:tcW w:type="dxa" w:w="3041"/>
          </w:tcPr>
          <w:p>
            <w:r>
              <w:rPr>
                <w:color w:val="000000"/>
                <w:sz w:val="19"/>
              </w:rPr>
              <w:t>0.71%</w:t>
            </w:r>
          </w:p>
        </w:tc>
        <w:tc>
          <w:tcPr>
            <w:tcW w:type="dxa" w:w="3041"/>
          </w:tcPr>
          <w:p>
            <w:r>
              <w:rPr>
                <w:color w:val="000000"/>
                <w:sz w:val="19"/>
              </w:rPr>
              <w:t>10.97%</w:t>
            </w:r>
          </w:p>
        </w:tc>
      </w:tr>
    </w:tbl>
    <w:p/>
    <w:p/>
    <w:p>
      <w:r>
        <w:rPr>
          <w:b/>
          <w:color w:val="003366"/>
          <w:sz w:val="22"/>
        </w:rPr>
        <w:t>Balance Sheet Analysis</w:t>
      </w:r>
    </w:p>
    <w:p>
      <w:pPr>
        <w:spacing w:after="80"/>
        <w:jc w:val="both"/>
      </w:pPr>
      <w:r>
        <w:rPr>
          <w:sz w:val="21"/>
        </w:rPr>
        <w:t>The company’s balance sheet reflects an expansion in scale. Total assets grew from Rs.5,768.92 lakhs in FY2023 to Rs.6,664.75 lakhs in FY2024. Total equity also strengthened, rising from Rs.1,196.47 lakhs to Rs.1,858.30 lakhs over the same period. Total borrowings remained relatively stable, moving from Rs.3,324.91 lakhs in FY2023 to Rs.3,340.57 lakhs in FY2024, indicating a disciplined approach to debt management despite the growth in operations.</w:t>
      </w:r>
    </w:p>
    <w:p/>
    <w:p>
      <w:r>
        <w:rPr>
          <w:b/>
          <w:color w:val="003366"/>
          <w:sz w:val="22"/>
        </w:rPr>
        <w:t>Key Financial Ratios</w:t>
      </w:r>
    </w:p>
    <w:p>
      <w:pPr>
        <w:spacing w:after="80"/>
        <w:jc w:val="both"/>
      </w:pPr>
      <w:r>
        <w:rPr>
          <w:sz w:val="21"/>
        </w:rPr>
        <w:t>The following table summarizes the key financial ratios for the company:</w:t>
      </w:r>
    </w:p>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003366"/>
          </w:tcPr>
          <w:p>
            <w:r>
              <w:rPr>
                <w:b/>
                <w:color w:val="FFFFFF"/>
                <w:sz w:val="19"/>
              </w:rPr>
              <w:t>Ratio</w:t>
            </w:r>
          </w:p>
        </w:tc>
        <w:tc>
          <w:tcPr>
            <w:tcW w:type="dxa" w:w="3041"/>
            <w:shd w:val="clear" w:color="auto" w:fill="003366"/>
          </w:tcPr>
          <w:p>
            <w:r>
              <w:rPr>
                <w:b/>
                <w:color w:val="FFFFFF"/>
                <w:sz w:val="19"/>
              </w:rPr>
              <w:t>FY2023</w:t>
            </w:r>
          </w:p>
        </w:tc>
        <w:tc>
          <w:tcPr>
            <w:tcW w:type="dxa" w:w="3041"/>
            <w:shd w:val="clear" w:color="auto" w:fill="003366"/>
          </w:tcPr>
          <w:p>
            <w:r>
              <w:rPr>
                <w:b/>
                <w:color w:val="FFFFFF"/>
                <w:sz w:val="19"/>
              </w:rPr>
              <w:t>FY2024</w:t>
            </w:r>
          </w:p>
        </w:tc>
      </w:tr>
      <w:tr>
        <w:tc>
          <w:tcPr>
            <w:tcW w:type="dxa" w:w="3041"/>
          </w:tcPr>
          <w:p>
            <w:r>
              <w:rPr>
                <w:color w:val="000000"/>
                <w:sz w:val="19"/>
              </w:rPr>
              <w:t>DSCR</w:t>
            </w:r>
          </w:p>
        </w:tc>
        <w:tc>
          <w:tcPr>
            <w:tcW w:type="dxa" w:w="3041"/>
          </w:tcPr>
          <w:p>
            <w:r>
              <w:rPr>
                <w:color w:val="000000"/>
                <w:sz w:val="19"/>
              </w:rPr>
              <w:t>0.77</w:t>
            </w:r>
          </w:p>
        </w:tc>
        <w:tc>
          <w:tcPr>
            <w:tcW w:type="dxa" w:w="3041"/>
          </w:tcPr>
          <w:p>
            <w:r>
              <w:rPr>
                <w:color w:val="000000"/>
                <w:sz w:val="19"/>
              </w:rPr>
              <w:t>1.37</w:t>
            </w:r>
          </w:p>
        </w:tc>
      </w:tr>
      <w:tr>
        <w:tc>
          <w:tcPr>
            <w:tcW w:type="dxa" w:w="3041"/>
            <w:shd w:val="clear" w:color="auto" w:fill="EAF0F8"/>
          </w:tcPr>
          <w:p>
            <w:r>
              <w:rPr>
                <w:color w:val="000000"/>
                <w:sz w:val="19"/>
              </w:rPr>
              <w:t>Current Ratio</w:t>
            </w:r>
          </w:p>
        </w:tc>
        <w:tc>
          <w:tcPr>
            <w:tcW w:type="dxa" w:w="3041"/>
            <w:shd w:val="clear" w:color="auto" w:fill="EAF0F8"/>
          </w:tcPr>
          <w:p>
            <w:r>
              <w:rPr>
                <w:color w:val="000000"/>
                <w:sz w:val="19"/>
              </w:rPr>
              <w:t>1.06</w:t>
            </w:r>
          </w:p>
        </w:tc>
        <w:tc>
          <w:tcPr>
            <w:tcW w:type="dxa" w:w="3041"/>
            <w:shd w:val="clear" w:color="auto" w:fill="EAF0F8"/>
          </w:tcPr>
          <w:p>
            <w:r>
              <w:rPr>
                <w:color w:val="000000"/>
                <w:sz w:val="19"/>
              </w:rPr>
              <w:t>0.95</w:t>
            </w:r>
          </w:p>
        </w:tc>
      </w:tr>
      <w:tr>
        <w:tc>
          <w:tcPr>
            <w:tcW w:type="dxa" w:w="3041"/>
          </w:tcPr>
          <w:p>
            <w:r>
              <w:rPr>
                <w:color w:val="000000"/>
                <w:sz w:val="19"/>
              </w:rPr>
              <w:t>Debt-Equity Ratio</w:t>
            </w:r>
          </w:p>
        </w:tc>
        <w:tc>
          <w:tcPr>
            <w:tcW w:type="dxa" w:w="3041"/>
          </w:tcPr>
          <w:p>
            <w:r>
              <w:rPr>
                <w:color w:val="000000"/>
                <w:sz w:val="19"/>
              </w:rPr>
              <w:t>0.58</w:t>
            </w:r>
          </w:p>
        </w:tc>
        <w:tc>
          <w:tcPr>
            <w:tcW w:type="dxa" w:w="3041"/>
          </w:tcPr>
          <w:p>
            <w:r>
              <w:rPr>
                <w:color w:val="000000"/>
                <w:sz w:val="19"/>
              </w:rPr>
              <w:t>0.63</w:t>
            </w:r>
          </w:p>
        </w:tc>
      </w:tr>
    </w:tbl>
    <w:p/>
    <w:p/>
    <w:p>
      <w:pPr>
        <w:pStyle w:val="ListBullet"/>
        <w:jc w:val="both"/>
      </w:pPr>
      <w:r>
        <w:rPr>
          <w:sz w:val="21"/>
        </w:rPr>
        <w:t xml:space="preserve">  </w:t>
      </w:r>
      <w:r>
        <w:rPr>
          <w:b/>
          <w:sz w:val="21"/>
        </w:rPr>
        <w:t>DSCR:</w:t>
      </w:r>
      <w:r>
        <w:rPr>
          <w:sz w:val="21"/>
        </w:rPr>
        <w:t xml:space="preserve"> The ratio improved from 0.77 in FY2023 to 1.37 in FY2024. The FY2023 level was a concern indicating insufficient cash flow for debt servicing, whereas the FY2024 level is considered healthy.</w:t>
      </w:r>
    </w:p>
    <w:p>
      <w:pPr>
        <w:pStyle w:val="ListBullet"/>
        <w:jc w:val="both"/>
      </w:pPr>
      <w:r>
        <w:rPr>
          <w:sz w:val="21"/>
        </w:rPr>
        <w:t xml:space="preserve">  </w:t>
      </w:r>
      <w:r>
        <w:rPr>
          <w:b/>
          <w:sz w:val="21"/>
        </w:rPr>
        <w:t>Current Ratio:</w:t>
      </w:r>
      <w:r>
        <w:rPr>
          <w:sz w:val="21"/>
        </w:rPr>
        <w:t xml:space="preserve"> The ratio moved from 1.06 in FY2023 to 0.95 in FY2024. While the FY2023 figure was adequate, the FY2024 figure falls below unity, representing a potential liquidity concern regarding short-term obligations.</w:t>
      </w:r>
    </w:p>
    <w:p>
      <w:pPr>
        <w:pStyle w:val="ListBullet"/>
        <w:jc w:val="both"/>
      </w:pPr>
      <w:r>
        <w:rPr>
          <w:sz w:val="21"/>
        </w:rPr>
        <w:t xml:space="preserve">  </w:t>
      </w:r>
      <w:r>
        <w:rPr>
          <w:b/>
          <w:sz w:val="21"/>
        </w:rPr>
        <w:t>Debt-Equity Ratio:</w:t>
      </w:r>
      <w:r>
        <w:rPr>
          <w:sz w:val="21"/>
        </w:rPr>
        <w:t xml:space="preserve"> The ratio increased slightly from 0.58 to 0.63. This remains at a healthy level, suggesting the company maintains a conservative capital structure with moderate reliance on external debt.</w:t>
      </w:r>
    </w:p>
    <w:p/>
    <w:p>
      <w:r>
        <w:rPr>
          <w:b/>
          <w:color w:val="003366"/>
          <w:sz w:val="22"/>
        </w:rPr>
        <w:t>Cash Flow Analysis</w:t>
      </w:r>
    </w:p>
    <w:p>
      <w:pPr>
        <w:spacing w:after="80"/>
        <w:jc w:val="both"/>
      </w:pPr>
      <w:r>
        <w:rPr>
          <w:sz w:val="21"/>
        </w:rPr>
        <w:t>The company’s cash flow from operations showed strong growth, increasing from Rs.1,005.24 lakhs in FY2023 to Rs.2,141.46 lakhs in FY2024, reflecting improved operational efficiency and working capital management. The closing cash position remained tight, recorded at Rs.0.79 lakhs in FY2023 and Rs.0.72 lakhs in FY2024. Data regarding cash from investing and cash from financing activities were not available for the reported periods.</w:t>
      </w:r>
    </w:p>
    <w:p/>
    <w:p>
      <w:pPr>
        <w:pStyle w:val="Heading1"/>
        <w:spacing w:before="320" w:after="160"/>
      </w:pPr>
      <w:r>
        <w:rPr>
          <w:b/>
          <w:color w:val="003366"/>
          <w:sz w:val="26"/>
        </w:rPr>
        <w:t>SECTION 3 — EXISTING DEBT &amp; CREDIT PROFILE</w:t>
      </w:r>
    </w:p>
    <w:p>
      <w:pPr>
        <w:pBdr>
          <w:bottom w:val="single" w:sz="6" w:space="1" w:color="003366"/>
        </w:pBdr>
      </w:pPr>
    </w:p>
    <w:p>
      <w:r>
        <w:rPr>
          <w:b/>
          <w:color w:val="003366"/>
          <w:sz w:val="24"/>
        </w:rPr>
        <w:t>3. Existing Debt &amp; Credit Profile</w:t>
      </w:r>
    </w:p>
    <w:p/>
    <w:p>
      <w:r>
        <w:rPr>
          <w:b/>
          <w:color w:val="003366"/>
          <w:sz w:val="22"/>
        </w:rPr>
        <w:t>3.1 Existing Debt Instruments</w:t>
      </w:r>
    </w:p>
    <w:p>
      <w:pPr>
        <w:spacing w:after="80"/>
        <w:jc w:val="both"/>
      </w:pPr>
      <w:r>
        <w:rPr>
          <w:sz w:val="21"/>
        </w:rPr>
        <w:t>Sri Ramakrishna Mills (Coimbatore) Limited maintains a diversified debt portfolio comprising term loans, working capital facilities, and unsecured borrowings from directors and corporate entities. The company’s total borrowings as of FY2024 are reported at Rs. 3,340.57 lakhs. The debt structure includes facilities from Axis Bank and South Indian Bank, alongside inter-corporate loans and director-funded debt.</w:t>
      </w:r>
    </w:p>
    <w:p/>
    <w:p>
      <w:r>
        <w:rPr>
          <w:b/>
          <w:color w:val="003366"/>
          <w:sz w:val="22"/>
        </w:rPr>
        <w:t>3.2 Debt Terms &amp; Structure</w:t>
      </w:r>
    </w:p>
    <w:p/>
    <w:tbl>
      <w:tblPr>
        <w:tblStyle w:val="TableGrid"/>
        <w:tblW w:type="auto" w:w="0"/>
        <w:jc w:val="left"/>
        <w:tblLook w:firstColumn="1" w:firstRow="1" w:lastColumn="0" w:lastRow="0" w:noHBand="0" w:noVBand="1" w:val="04A0"/>
      </w:tblPr>
      <w:tblGrid>
        <w:gridCol w:w="1520"/>
        <w:gridCol w:w="1520"/>
        <w:gridCol w:w="1520"/>
        <w:gridCol w:w="1520"/>
        <w:gridCol w:w="1520"/>
        <w:gridCol w:w="1520"/>
      </w:tblGrid>
      <w:tr>
        <w:tc>
          <w:tcPr>
            <w:tcW w:type="dxa" w:w="1520"/>
            <w:shd w:val="clear" w:color="auto" w:fill="003366"/>
          </w:tcPr>
          <w:p>
            <w:r>
              <w:rPr>
                <w:b/>
                <w:color w:val="FFFFFF"/>
                <w:sz w:val="19"/>
              </w:rPr>
              <w:t>Instrument Type</w:t>
            </w:r>
          </w:p>
        </w:tc>
        <w:tc>
          <w:tcPr>
            <w:tcW w:type="dxa" w:w="1520"/>
            <w:shd w:val="clear" w:color="auto" w:fill="003366"/>
          </w:tcPr>
          <w:p>
            <w:r>
              <w:rPr>
                <w:b/>
                <w:color w:val="FFFFFF"/>
                <w:sz w:val="19"/>
              </w:rPr>
              <w:t>Counterparty</w:t>
            </w:r>
          </w:p>
        </w:tc>
        <w:tc>
          <w:tcPr>
            <w:tcW w:type="dxa" w:w="1520"/>
            <w:shd w:val="clear" w:color="auto" w:fill="003366"/>
          </w:tcPr>
          <w:p>
            <w:r>
              <w:rPr>
                <w:b/>
                <w:color w:val="FFFFFF"/>
                <w:sz w:val="19"/>
              </w:rPr>
              <w:t>Purpose</w:t>
            </w:r>
          </w:p>
        </w:tc>
        <w:tc>
          <w:tcPr>
            <w:tcW w:type="dxa" w:w="1520"/>
            <w:shd w:val="clear" w:color="auto" w:fill="003366"/>
          </w:tcPr>
          <w:p>
            <w:r>
              <w:rPr>
                <w:b/>
                <w:color w:val="FFFFFF"/>
                <w:sz w:val="19"/>
              </w:rPr>
              <w:t>Interest Rate</w:t>
            </w:r>
          </w:p>
        </w:tc>
        <w:tc>
          <w:tcPr>
            <w:tcW w:type="dxa" w:w="1520"/>
            <w:shd w:val="clear" w:color="auto" w:fill="003366"/>
          </w:tcPr>
          <w:p>
            <w:r>
              <w:rPr>
                <w:b/>
                <w:color w:val="FFFFFF"/>
                <w:sz w:val="19"/>
              </w:rPr>
              <w:t>Outstanding Amount</w:t>
            </w:r>
          </w:p>
        </w:tc>
        <w:tc>
          <w:tcPr>
            <w:tcW w:type="dxa" w:w="1520"/>
            <w:shd w:val="clear" w:color="auto" w:fill="003366"/>
          </w:tcPr>
          <w:p>
            <w:r>
              <w:rPr>
                <w:b/>
                <w:color w:val="FFFFFF"/>
                <w:sz w:val="19"/>
              </w:rPr>
              <w:t>Maturity Date</w:t>
            </w:r>
          </w:p>
        </w:tc>
      </w:tr>
      <w:tr>
        <w:tc>
          <w:tcPr>
            <w:tcW w:type="dxa" w:w="1520"/>
          </w:tcPr>
          <w:p>
            <w:r>
              <w:rPr>
                <w:color w:val="000000"/>
                <w:sz w:val="19"/>
              </w:rPr>
              <w:t>Term Loan</w:t>
            </w:r>
          </w:p>
        </w:tc>
        <w:tc>
          <w:tcPr>
            <w:tcW w:type="dxa" w:w="1520"/>
          </w:tcPr>
          <w:p>
            <w:r>
              <w:rPr>
                <w:color w:val="000000"/>
                <w:sz w:val="19"/>
              </w:rPr>
              <w:t>Axis Bank</w:t>
            </w:r>
          </w:p>
        </w:tc>
        <w:tc>
          <w:tcPr>
            <w:tcW w:type="dxa" w:w="1520"/>
          </w:tcPr>
          <w:p>
            <w:r>
              <w:rPr>
                <w:color w:val="000000"/>
                <w:sz w:val="19"/>
              </w:rPr>
              <w:t>Not specified</w:t>
            </w:r>
          </w:p>
        </w:tc>
        <w:tc>
          <w:tcPr>
            <w:tcW w:type="dxa" w:w="1520"/>
          </w:tcPr>
          <w:p>
            <w:r>
              <w:rPr>
                <w:color w:val="000000"/>
                <w:sz w:val="19"/>
              </w:rPr>
              <w:t>3.00%</w:t>
            </w:r>
          </w:p>
        </w:tc>
        <w:tc>
          <w:tcPr>
            <w:tcW w:type="dxa" w:w="1520"/>
          </w:tcPr>
          <w:p>
            <w:r>
              <w:rPr>
                <w:color w:val="000000"/>
                <w:sz w:val="19"/>
              </w:rPr>
              <w:t>Rs. 288.00 lakhs</w:t>
            </w:r>
          </w:p>
        </w:tc>
        <w:tc>
          <w:tcPr>
            <w:tcW w:type="dxa" w:w="1520"/>
          </w:tcPr>
          <w:p>
            <w:r>
              <w:rPr>
                <w:color w:val="000000"/>
                <w:sz w:val="19"/>
              </w:rPr>
              <w:t>N/A</w:t>
            </w:r>
          </w:p>
        </w:tc>
      </w:tr>
      <w:tr>
        <w:tc>
          <w:tcPr>
            <w:tcW w:type="dxa" w:w="1520"/>
            <w:shd w:val="clear" w:color="auto" w:fill="EAF0F8"/>
          </w:tcPr>
          <w:p>
            <w:r>
              <w:rPr>
                <w:color w:val="000000"/>
                <w:sz w:val="19"/>
              </w:rPr>
              <w:t>Term Loan</w:t>
            </w:r>
          </w:p>
        </w:tc>
        <w:tc>
          <w:tcPr>
            <w:tcW w:type="dxa" w:w="1520"/>
            <w:shd w:val="clear" w:color="auto" w:fill="EAF0F8"/>
          </w:tcPr>
          <w:p>
            <w:r>
              <w:rPr>
                <w:color w:val="000000"/>
                <w:sz w:val="19"/>
              </w:rPr>
              <w:t>Axis Bank</w:t>
            </w:r>
          </w:p>
        </w:tc>
        <w:tc>
          <w:tcPr>
            <w:tcW w:type="dxa" w:w="1520"/>
            <w:shd w:val="clear" w:color="auto" w:fill="EAF0F8"/>
          </w:tcPr>
          <w:p>
            <w:r>
              <w:rPr>
                <w:color w:val="000000"/>
                <w:sz w:val="19"/>
              </w:rPr>
              <w:t>Not specified</w:t>
            </w:r>
          </w:p>
        </w:tc>
        <w:tc>
          <w:tcPr>
            <w:tcW w:type="dxa" w:w="1520"/>
            <w:shd w:val="clear" w:color="auto" w:fill="EAF0F8"/>
          </w:tcPr>
          <w:p>
            <w:r>
              <w:rPr>
                <w:color w:val="000000"/>
                <w:sz w:val="19"/>
              </w:rPr>
              <w:t>3.00%</w:t>
            </w:r>
          </w:p>
        </w:tc>
        <w:tc>
          <w:tcPr>
            <w:tcW w:type="dxa" w:w="1520"/>
            <w:shd w:val="clear" w:color="auto" w:fill="EAF0F8"/>
          </w:tcPr>
          <w:p>
            <w:r>
              <w:rPr>
                <w:color w:val="000000"/>
                <w:sz w:val="19"/>
              </w:rPr>
              <w:t>Rs. 600.00 lakhs</w:t>
            </w:r>
          </w:p>
        </w:tc>
        <w:tc>
          <w:tcPr>
            <w:tcW w:type="dxa" w:w="1520"/>
            <w:shd w:val="clear" w:color="auto" w:fill="EAF0F8"/>
          </w:tcPr>
          <w:p>
            <w:r>
              <w:rPr>
                <w:color w:val="000000"/>
                <w:sz w:val="19"/>
              </w:rPr>
              <w:t>N/A</w:t>
            </w:r>
          </w:p>
        </w:tc>
      </w:tr>
      <w:tr>
        <w:tc>
          <w:tcPr>
            <w:tcW w:type="dxa" w:w="1520"/>
          </w:tcPr>
          <w:p>
            <w:r>
              <w:rPr>
                <w:color w:val="000000"/>
                <w:sz w:val="19"/>
              </w:rPr>
              <w:t>ECLGS Scheme Term Loan</w:t>
            </w:r>
          </w:p>
        </w:tc>
        <w:tc>
          <w:tcPr>
            <w:tcW w:type="dxa" w:w="1520"/>
          </w:tcPr>
          <w:p>
            <w:r>
              <w:rPr>
                <w:color w:val="000000"/>
                <w:sz w:val="19"/>
              </w:rPr>
              <w:t>Axis Bank</w:t>
            </w:r>
          </w:p>
        </w:tc>
        <w:tc>
          <w:tcPr>
            <w:tcW w:type="dxa" w:w="1520"/>
          </w:tcPr>
          <w:p>
            <w:r>
              <w:rPr>
                <w:color w:val="000000"/>
                <w:sz w:val="19"/>
              </w:rPr>
              <w:t>Not specified</w:t>
            </w:r>
          </w:p>
        </w:tc>
        <w:tc>
          <w:tcPr>
            <w:tcW w:type="dxa" w:w="1520"/>
          </w:tcPr>
          <w:p>
            <w:r>
              <w:rPr>
                <w:color w:val="000000"/>
                <w:sz w:val="19"/>
              </w:rPr>
              <w:t>3.50%</w:t>
            </w:r>
          </w:p>
        </w:tc>
        <w:tc>
          <w:tcPr>
            <w:tcW w:type="dxa" w:w="1520"/>
          </w:tcPr>
          <w:p>
            <w:r>
              <w:rPr>
                <w:color w:val="000000"/>
                <w:sz w:val="19"/>
              </w:rPr>
              <w:t>Rs. 71.25 lakhs</w:t>
            </w:r>
          </w:p>
        </w:tc>
        <w:tc>
          <w:tcPr>
            <w:tcW w:type="dxa" w:w="1520"/>
          </w:tcPr>
          <w:p>
            <w:r>
              <w:rPr>
                <w:color w:val="000000"/>
                <w:sz w:val="19"/>
              </w:rPr>
              <w:t>N/A</w:t>
            </w:r>
          </w:p>
        </w:tc>
      </w:tr>
      <w:tr>
        <w:tc>
          <w:tcPr>
            <w:tcW w:type="dxa" w:w="1520"/>
            <w:shd w:val="clear" w:color="auto" w:fill="EAF0F8"/>
          </w:tcPr>
          <w:p>
            <w:r>
              <w:rPr>
                <w:color w:val="000000"/>
                <w:sz w:val="19"/>
              </w:rPr>
              <w:t>Loan from Director</w:t>
            </w:r>
          </w:p>
        </w:tc>
        <w:tc>
          <w:tcPr>
            <w:tcW w:type="dxa" w:w="1520"/>
            <w:shd w:val="clear" w:color="auto" w:fill="EAF0F8"/>
          </w:tcPr>
          <w:p>
            <w:r>
              <w:rPr>
                <w:color w:val="000000"/>
                <w:sz w:val="19"/>
              </w:rPr>
              <w:t>Director</w:t>
            </w:r>
          </w:p>
        </w:tc>
        <w:tc>
          <w:tcPr>
            <w:tcW w:type="dxa" w:w="1520"/>
            <w:shd w:val="clear" w:color="auto" w:fill="EAF0F8"/>
          </w:tcPr>
          <w:p>
            <w:r>
              <w:rPr>
                <w:color w:val="000000"/>
                <w:sz w:val="19"/>
              </w:rPr>
              <w:t>Not specified</w:t>
            </w:r>
          </w:p>
        </w:tc>
        <w:tc>
          <w:tcPr>
            <w:tcW w:type="dxa" w:w="1520"/>
            <w:shd w:val="clear" w:color="auto" w:fill="EAF0F8"/>
          </w:tcPr>
          <w:p>
            <w:r>
              <w:rPr>
                <w:color w:val="000000"/>
                <w:sz w:val="19"/>
              </w:rPr>
              <w:t>N/A</w:t>
            </w:r>
          </w:p>
        </w:tc>
        <w:tc>
          <w:tcPr>
            <w:tcW w:type="dxa" w:w="1520"/>
            <w:shd w:val="clear" w:color="auto" w:fill="EAF0F8"/>
          </w:tcPr>
          <w:p>
            <w:r>
              <w:rPr>
                <w:color w:val="000000"/>
                <w:sz w:val="19"/>
              </w:rPr>
              <w:t>Rs. 166.76 lakhs</w:t>
            </w:r>
          </w:p>
        </w:tc>
        <w:tc>
          <w:tcPr>
            <w:tcW w:type="dxa" w:w="1520"/>
            <w:shd w:val="clear" w:color="auto" w:fill="EAF0F8"/>
          </w:tcPr>
          <w:p>
            <w:r>
              <w:rPr>
                <w:color w:val="000000"/>
                <w:sz w:val="19"/>
              </w:rPr>
              <w:t>N/A</w:t>
            </w:r>
          </w:p>
        </w:tc>
      </w:tr>
      <w:tr>
        <w:tc>
          <w:tcPr>
            <w:tcW w:type="dxa" w:w="1520"/>
          </w:tcPr>
          <w:p>
            <w:r>
              <w:rPr>
                <w:color w:val="000000"/>
                <w:sz w:val="19"/>
              </w:rPr>
              <w:t>Cash Credit</w:t>
            </w:r>
          </w:p>
        </w:tc>
        <w:tc>
          <w:tcPr>
            <w:tcW w:type="dxa" w:w="1520"/>
          </w:tcPr>
          <w:p>
            <w:r>
              <w:rPr>
                <w:color w:val="000000"/>
                <w:sz w:val="19"/>
              </w:rPr>
              <w:t>Axis Bank</w:t>
            </w:r>
          </w:p>
        </w:tc>
        <w:tc>
          <w:tcPr>
            <w:tcW w:type="dxa" w:w="1520"/>
          </w:tcPr>
          <w:p>
            <w:r>
              <w:rPr>
                <w:color w:val="000000"/>
                <w:sz w:val="19"/>
              </w:rPr>
              <w:t>Not specified</w:t>
            </w:r>
          </w:p>
        </w:tc>
        <w:tc>
          <w:tcPr>
            <w:tcW w:type="dxa" w:w="1520"/>
          </w:tcPr>
          <w:p>
            <w:r>
              <w:rPr>
                <w:color w:val="000000"/>
                <w:sz w:val="19"/>
              </w:rPr>
              <w:t>3.00%</w:t>
            </w:r>
          </w:p>
        </w:tc>
        <w:tc>
          <w:tcPr>
            <w:tcW w:type="dxa" w:w="1520"/>
          </w:tcPr>
          <w:p>
            <w:r>
              <w:rPr>
                <w:color w:val="000000"/>
                <w:sz w:val="19"/>
              </w:rPr>
              <w:t>Rs. 4.57 lakhs</w:t>
            </w:r>
          </w:p>
        </w:tc>
        <w:tc>
          <w:tcPr>
            <w:tcW w:type="dxa" w:w="1520"/>
          </w:tcPr>
          <w:p>
            <w:r>
              <w:rPr>
                <w:color w:val="000000"/>
                <w:sz w:val="19"/>
              </w:rPr>
              <w:t>N/A</w:t>
            </w:r>
          </w:p>
        </w:tc>
      </w:tr>
      <w:tr>
        <w:tc>
          <w:tcPr>
            <w:tcW w:type="dxa" w:w="1520"/>
            <w:shd w:val="clear" w:color="auto" w:fill="EAF0F8"/>
          </w:tcPr>
          <w:p>
            <w:r>
              <w:rPr>
                <w:color w:val="000000"/>
                <w:sz w:val="19"/>
              </w:rPr>
              <w:t>Inter Corporate Loans</w:t>
            </w:r>
          </w:p>
        </w:tc>
        <w:tc>
          <w:tcPr>
            <w:tcW w:type="dxa" w:w="1520"/>
            <w:shd w:val="clear" w:color="auto" w:fill="EAF0F8"/>
          </w:tcPr>
          <w:p>
            <w:r>
              <w:rPr>
                <w:color w:val="000000"/>
                <w:sz w:val="19"/>
              </w:rPr>
              <w:t>N/A</w:t>
            </w:r>
          </w:p>
        </w:tc>
        <w:tc>
          <w:tcPr>
            <w:tcW w:type="dxa" w:w="1520"/>
            <w:shd w:val="clear" w:color="auto" w:fill="EAF0F8"/>
          </w:tcPr>
          <w:p>
            <w:r>
              <w:rPr>
                <w:color w:val="000000"/>
                <w:sz w:val="19"/>
              </w:rPr>
              <w:t>Not specified</w:t>
            </w:r>
          </w:p>
        </w:tc>
        <w:tc>
          <w:tcPr>
            <w:tcW w:type="dxa" w:w="1520"/>
            <w:shd w:val="clear" w:color="auto" w:fill="EAF0F8"/>
          </w:tcPr>
          <w:p>
            <w:r>
              <w:rPr>
                <w:color w:val="000000"/>
                <w:sz w:val="19"/>
              </w:rPr>
              <w:t>N/A</w:t>
            </w:r>
          </w:p>
        </w:tc>
        <w:tc>
          <w:tcPr>
            <w:tcW w:type="dxa" w:w="1520"/>
            <w:shd w:val="clear" w:color="auto" w:fill="EAF0F8"/>
          </w:tcPr>
          <w:p>
            <w:r>
              <w:rPr>
                <w:color w:val="000000"/>
                <w:sz w:val="19"/>
              </w:rPr>
              <w:t>Rs. 2,301.91 lakhs</w:t>
            </w:r>
          </w:p>
        </w:tc>
        <w:tc>
          <w:tcPr>
            <w:tcW w:type="dxa" w:w="1520"/>
            <w:shd w:val="clear" w:color="auto" w:fill="EAF0F8"/>
          </w:tcPr>
          <w:p>
            <w:r>
              <w:rPr>
                <w:color w:val="000000"/>
                <w:sz w:val="19"/>
              </w:rPr>
              <w:t>N/A</w:t>
            </w:r>
          </w:p>
        </w:tc>
      </w:tr>
      <w:tr>
        <w:tc>
          <w:tcPr>
            <w:tcW w:type="dxa" w:w="1520"/>
          </w:tcPr>
          <w:p>
            <w:r>
              <w:rPr>
                <w:color w:val="000000"/>
                <w:sz w:val="19"/>
              </w:rPr>
              <w:t>Cash Credit</w:t>
            </w:r>
          </w:p>
        </w:tc>
        <w:tc>
          <w:tcPr>
            <w:tcW w:type="dxa" w:w="1520"/>
          </w:tcPr>
          <w:p>
            <w:r>
              <w:rPr>
                <w:color w:val="000000"/>
                <w:sz w:val="19"/>
              </w:rPr>
              <w:t>Axis Bank</w:t>
            </w:r>
          </w:p>
        </w:tc>
        <w:tc>
          <w:tcPr>
            <w:tcW w:type="dxa" w:w="1520"/>
          </w:tcPr>
          <w:p>
            <w:r>
              <w:rPr>
                <w:color w:val="000000"/>
                <w:sz w:val="19"/>
              </w:rPr>
              <w:t>N/A</w:t>
            </w:r>
          </w:p>
        </w:tc>
        <w:tc>
          <w:tcPr>
            <w:tcW w:type="dxa" w:w="1520"/>
          </w:tcPr>
          <w:p>
            <w:r>
              <w:rPr>
                <w:color w:val="000000"/>
                <w:sz w:val="19"/>
              </w:rPr>
              <w:t>3.00%</w:t>
            </w:r>
          </w:p>
        </w:tc>
        <w:tc>
          <w:tcPr>
            <w:tcW w:type="dxa" w:w="1520"/>
          </w:tcPr>
          <w:p>
            <w:r>
              <w:rPr>
                <w:color w:val="000000"/>
                <w:sz w:val="19"/>
              </w:rPr>
              <w:t>Rs. 4.57 lakhs</w:t>
            </w:r>
          </w:p>
        </w:tc>
        <w:tc>
          <w:tcPr>
            <w:tcW w:type="dxa" w:w="1520"/>
          </w:tcPr>
          <w:p>
            <w:r>
              <w:rPr>
                <w:color w:val="000000"/>
                <w:sz w:val="19"/>
              </w:rPr>
              <w:t>On Demand</w:t>
            </w:r>
          </w:p>
        </w:tc>
      </w:tr>
      <w:tr>
        <w:tc>
          <w:tcPr>
            <w:tcW w:type="dxa" w:w="1520"/>
            <w:shd w:val="clear" w:color="auto" w:fill="EAF0F8"/>
          </w:tcPr>
          <w:p>
            <w:r>
              <w:rPr>
                <w:color w:val="000000"/>
                <w:sz w:val="19"/>
              </w:rPr>
              <w:t>Cash Credit</w:t>
            </w:r>
          </w:p>
        </w:tc>
        <w:tc>
          <w:tcPr>
            <w:tcW w:type="dxa" w:w="1520"/>
            <w:shd w:val="clear" w:color="auto" w:fill="EAF0F8"/>
          </w:tcPr>
          <w:p>
            <w:r>
              <w:rPr>
                <w:color w:val="000000"/>
                <w:sz w:val="19"/>
              </w:rPr>
              <w:t>South Indian Bank</w:t>
            </w:r>
          </w:p>
        </w:tc>
        <w:tc>
          <w:tcPr>
            <w:tcW w:type="dxa" w:w="1520"/>
            <w:shd w:val="clear" w:color="auto" w:fill="EAF0F8"/>
          </w:tcPr>
          <w:p>
            <w:r>
              <w:rPr>
                <w:color w:val="000000"/>
                <w:sz w:val="19"/>
              </w:rPr>
              <w:t>N/A</w:t>
            </w:r>
          </w:p>
        </w:tc>
        <w:tc>
          <w:tcPr>
            <w:tcW w:type="dxa" w:w="1520"/>
            <w:shd w:val="clear" w:color="auto" w:fill="EAF0F8"/>
          </w:tcPr>
          <w:p>
            <w:r>
              <w:rPr>
                <w:color w:val="000000"/>
                <w:sz w:val="19"/>
              </w:rPr>
              <w:t>1.30%</w:t>
            </w:r>
          </w:p>
        </w:tc>
        <w:tc>
          <w:tcPr>
            <w:tcW w:type="dxa" w:w="1520"/>
            <w:shd w:val="clear" w:color="auto" w:fill="EAF0F8"/>
          </w:tcPr>
          <w:p>
            <w:r>
              <w:rPr>
                <w:color w:val="000000"/>
                <w:sz w:val="19"/>
              </w:rPr>
              <w:t>N/A</w:t>
            </w:r>
          </w:p>
        </w:tc>
        <w:tc>
          <w:tcPr>
            <w:tcW w:type="dxa" w:w="1520"/>
            <w:shd w:val="clear" w:color="auto" w:fill="EAF0F8"/>
          </w:tcPr>
          <w:p>
            <w:r>
              <w:rPr>
                <w:color w:val="000000"/>
                <w:sz w:val="19"/>
              </w:rPr>
              <w:t>On Demand</w:t>
            </w:r>
          </w:p>
        </w:tc>
      </w:tr>
      <w:tr>
        <w:tc>
          <w:tcPr>
            <w:tcW w:type="dxa" w:w="1520"/>
          </w:tcPr>
          <w:p>
            <w:r>
              <w:rPr>
                <w:color w:val="000000"/>
                <w:sz w:val="19"/>
              </w:rPr>
              <w:t>Overdraft</w:t>
            </w:r>
          </w:p>
        </w:tc>
        <w:tc>
          <w:tcPr>
            <w:tcW w:type="dxa" w:w="1520"/>
          </w:tcPr>
          <w:p>
            <w:r>
              <w:rPr>
                <w:color w:val="000000"/>
                <w:sz w:val="19"/>
              </w:rPr>
              <w:t>South Indian Bank</w:t>
            </w:r>
          </w:p>
        </w:tc>
        <w:tc>
          <w:tcPr>
            <w:tcW w:type="dxa" w:w="1520"/>
          </w:tcPr>
          <w:p>
            <w:r>
              <w:rPr>
                <w:color w:val="000000"/>
                <w:sz w:val="19"/>
              </w:rPr>
              <w:t>N/A</w:t>
            </w:r>
          </w:p>
        </w:tc>
        <w:tc>
          <w:tcPr>
            <w:tcW w:type="dxa" w:w="1520"/>
          </w:tcPr>
          <w:p>
            <w:r>
              <w:rPr>
                <w:color w:val="000000"/>
                <w:sz w:val="19"/>
              </w:rPr>
              <w:t>1.30%</w:t>
            </w:r>
          </w:p>
        </w:tc>
        <w:tc>
          <w:tcPr>
            <w:tcW w:type="dxa" w:w="1520"/>
          </w:tcPr>
          <w:p>
            <w:r>
              <w:rPr>
                <w:color w:val="000000"/>
                <w:sz w:val="19"/>
              </w:rPr>
              <w:t>N/A</w:t>
            </w:r>
          </w:p>
        </w:tc>
        <w:tc>
          <w:tcPr>
            <w:tcW w:type="dxa" w:w="1520"/>
          </w:tcPr>
          <w:p>
            <w:r>
              <w:rPr>
                <w:color w:val="000000"/>
                <w:sz w:val="19"/>
              </w:rPr>
              <w:t>On Demand</w:t>
            </w:r>
          </w:p>
        </w:tc>
      </w:tr>
      <w:tr>
        <w:tc>
          <w:tcPr>
            <w:tcW w:type="dxa" w:w="1520"/>
            <w:shd w:val="clear" w:color="auto" w:fill="EAF0F8"/>
          </w:tcPr>
          <w:p>
            <w:r>
              <w:rPr>
                <w:color w:val="000000"/>
                <w:sz w:val="19"/>
              </w:rPr>
              <w:t>Loan from Director</w:t>
            </w:r>
          </w:p>
        </w:tc>
        <w:tc>
          <w:tcPr>
            <w:tcW w:type="dxa" w:w="1520"/>
            <w:shd w:val="clear" w:color="auto" w:fill="EAF0F8"/>
          </w:tcPr>
          <w:p>
            <w:r>
              <w:rPr>
                <w:color w:val="000000"/>
                <w:sz w:val="19"/>
              </w:rPr>
              <w:t>Director</w:t>
            </w:r>
          </w:p>
        </w:tc>
        <w:tc>
          <w:tcPr>
            <w:tcW w:type="dxa" w:w="1520"/>
            <w:shd w:val="clear" w:color="auto" w:fill="EAF0F8"/>
          </w:tcPr>
          <w:p>
            <w:r>
              <w:rPr>
                <w:color w:val="000000"/>
                <w:sz w:val="19"/>
              </w:rPr>
              <w:t>N/A</w:t>
            </w:r>
          </w:p>
        </w:tc>
        <w:tc>
          <w:tcPr>
            <w:tcW w:type="dxa" w:w="1520"/>
            <w:shd w:val="clear" w:color="auto" w:fill="EAF0F8"/>
          </w:tcPr>
          <w:p>
            <w:r>
              <w:rPr>
                <w:color w:val="000000"/>
                <w:sz w:val="19"/>
              </w:rPr>
              <w:t>N/A</w:t>
            </w:r>
          </w:p>
        </w:tc>
        <w:tc>
          <w:tcPr>
            <w:tcW w:type="dxa" w:w="1520"/>
            <w:shd w:val="clear" w:color="auto" w:fill="EAF0F8"/>
          </w:tcPr>
          <w:p>
            <w:r>
              <w:rPr>
                <w:color w:val="000000"/>
                <w:sz w:val="19"/>
              </w:rPr>
              <w:t>Rs. 166.76 lakhs</w:t>
            </w:r>
          </w:p>
        </w:tc>
        <w:tc>
          <w:tcPr>
            <w:tcW w:type="dxa" w:w="1520"/>
            <w:shd w:val="clear" w:color="auto" w:fill="EAF0F8"/>
          </w:tcPr>
          <w:p>
            <w:r>
              <w:rPr>
                <w:color w:val="000000"/>
                <w:sz w:val="19"/>
              </w:rPr>
              <w:t>N/A</w:t>
            </w:r>
          </w:p>
        </w:tc>
      </w:tr>
      <w:tr>
        <w:tc>
          <w:tcPr>
            <w:tcW w:type="dxa" w:w="1520"/>
          </w:tcPr>
          <w:p>
            <w:r>
              <w:rPr>
                <w:color w:val="000000"/>
                <w:sz w:val="19"/>
              </w:rPr>
              <w:t>Borrowings</w:t>
            </w:r>
          </w:p>
        </w:tc>
        <w:tc>
          <w:tcPr>
            <w:tcW w:type="dxa" w:w="1520"/>
          </w:tcPr>
          <w:p>
            <w:r>
              <w:rPr>
                <w:color w:val="000000"/>
                <w:sz w:val="19"/>
              </w:rPr>
              <w:t>Axis Bank Ltd</w:t>
            </w:r>
          </w:p>
        </w:tc>
        <w:tc>
          <w:tcPr>
            <w:tcW w:type="dxa" w:w="1520"/>
          </w:tcPr>
          <w:p>
            <w:r>
              <w:rPr>
                <w:color w:val="000000"/>
                <w:sz w:val="19"/>
              </w:rPr>
              <w:t>N/A</w:t>
            </w:r>
          </w:p>
        </w:tc>
        <w:tc>
          <w:tcPr>
            <w:tcW w:type="dxa" w:w="1520"/>
          </w:tcPr>
          <w:p>
            <w:r>
              <w:rPr>
                <w:color w:val="000000"/>
                <w:sz w:val="19"/>
              </w:rPr>
              <w:t>N/A</w:t>
            </w:r>
          </w:p>
        </w:tc>
        <w:tc>
          <w:tcPr>
            <w:tcW w:type="dxa" w:w="1520"/>
          </w:tcPr>
          <w:p>
            <w:r>
              <w:rPr>
                <w:color w:val="000000"/>
                <w:sz w:val="19"/>
              </w:rPr>
              <w:t>Rs. 730.98 lakhs</w:t>
            </w:r>
          </w:p>
        </w:tc>
        <w:tc>
          <w:tcPr>
            <w:tcW w:type="dxa" w:w="1520"/>
          </w:tcPr>
          <w:p>
            <w:r>
              <w:rPr>
                <w:color w:val="000000"/>
                <w:sz w:val="19"/>
              </w:rPr>
              <w:t>N/A</w:t>
            </w:r>
          </w:p>
        </w:tc>
      </w:tr>
      <w:tr>
        <w:tc>
          <w:tcPr>
            <w:tcW w:type="dxa" w:w="1520"/>
            <w:shd w:val="clear" w:color="auto" w:fill="EAF0F8"/>
          </w:tcPr>
          <w:p>
            <w:r>
              <w:rPr>
                <w:color w:val="000000"/>
                <w:sz w:val="19"/>
              </w:rPr>
              <w:t>Borrowings</w:t>
            </w:r>
          </w:p>
        </w:tc>
        <w:tc>
          <w:tcPr>
            <w:tcW w:type="dxa" w:w="1520"/>
            <w:shd w:val="clear" w:color="auto" w:fill="EAF0F8"/>
          </w:tcPr>
          <w:p>
            <w:r>
              <w:rPr>
                <w:color w:val="000000"/>
                <w:sz w:val="19"/>
              </w:rPr>
              <w:t>N/A</w:t>
            </w:r>
          </w:p>
        </w:tc>
        <w:tc>
          <w:tcPr>
            <w:tcW w:type="dxa" w:w="1520"/>
            <w:shd w:val="clear" w:color="auto" w:fill="EAF0F8"/>
          </w:tcPr>
          <w:p>
            <w:r>
              <w:rPr>
                <w:color w:val="000000"/>
                <w:sz w:val="19"/>
              </w:rPr>
              <w:t>N/A</w:t>
            </w:r>
          </w:p>
        </w:tc>
        <w:tc>
          <w:tcPr>
            <w:tcW w:type="dxa" w:w="1520"/>
            <w:shd w:val="clear" w:color="auto" w:fill="EAF0F8"/>
          </w:tcPr>
          <w:p>
            <w:r>
              <w:rPr>
                <w:color w:val="000000"/>
                <w:sz w:val="19"/>
              </w:rPr>
              <w:t>N/A</w:t>
            </w:r>
          </w:p>
        </w:tc>
        <w:tc>
          <w:tcPr>
            <w:tcW w:type="dxa" w:w="1520"/>
            <w:shd w:val="clear" w:color="auto" w:fill="EAF0F8"/>
          </w:tcPr>
          <w:p>
            <w:r>
              <w:rPr>
                <w:color w:val="000000"/>
                <w:sz w:val="19"/>
              </w:rPr>
              <w:t>Rs. 2,609.59 lakhs</w:t>
            </w:r>
          </w:p>
        </w:tc>
        <w:tc>
          <w:tcPr>
            <w:tcW w:type="dxa" w:w="1520"/>
            <w:shd w:val="clear" w:color="auto" w:fill="EAF0F8"/>
          </w:tcPr>
          <w:p>
            <w:r>
              <w:rPr>
                <w:color w:val="000000"/>
                <w:sz w:val="19"/>
              </w:rPr>
              <w:t>N/A</w:t>
            </w:r>
          </w:p>
        </w:tc>
      </w:tr>
    </w:tbl>
    <w:p/>
    <w:p/>
    <w:p>
      <w:r>
        <w:rPr>
          <w:b/>
          <w:color w:val="003366"/>
          <w:sz w:val="22"/>
        </w:rPr>
        <w:t>3.3 Covenants &amp; Restrictions</w:t>
      </w:r>
    </w:p>
    <w:p>
      <w:pPr>
        <w:spacing w:after="80"/>
        <w:jc w:val="both"/>
      </w:pPr>
      <w:r>
        <w:rPr>
          <w:sz w:val="21"/>
        </w:rPr>
        <w:t>The company’s credit facilities are secured by a mix of primary and collateral securities. Key covenants include:</w:t>
      </w:r>
    </w:p>
    <w:p>
      <w:pPr>
        <w:pStyle w:val="ListBullet"/>
        <w:jc w:val="both"/>
      </w:pPr>
      <w:r>
        <w:rPr>
          <w:sz w:val="21"/>
        </w:rPr>
        <w:t xml:space="preserve">  </w:t>
      </w:r>
      <w:r>
        <w:rPr>
          <w:b/>
          <w:sz w:val="21"/>
        </w:rPr>
        <w:t>Asset-Based Security:</w:t>
      </w:r>
      <w:r>
        <w:rPr>
          <w:sz w:val="21"/>
        </w:rPr>
        <w:t xml:space="preserve"> Hypothecation of entire machineries as a first charge; security interest over stock of raw materials, stock-in-process, finished goods, packing materials, and book debts.</w:t>
      </w:r>
    </w:p>
    <w:p>
      <w:pPr>
        <w:pStyle w:val="ListBullet"/>
        <w:jc w:val="both"/>
      </w:pPr>
      <w:r>
        <w:rPr>
          <w:sz w:val="21"/>
        </w:rPr>
        <w:t xml:space="preserve">  </w:t>
      </w:r>
      <w:r>
        <w:rPr>
          <w:b/>
          <w:sz w:val="21"/>
        </w:rPr>
        <w:t>Mortgages:</w:t>
      </w:r>
      <w:r>
        <w:rPr>
          <w:sz w:val="21"/>
        </w:rPr>
        <w:t xml:space="preserve"> Equitable mortgage of land and building at Chittoor District, Andhra Pradesh, and vacant land with building situated at Ganapathy, Coimbatore.</w:t>
      </w:r>
    </w:p>
    <w:p>
      <w:pPr>
        <w:pStyle w:val="ListBullet"/>
        <w:jc w:val="both"/>
      </w:pPr>
      <w:r>
        <w:rPr>
          <w:sz w:val="21"/>
        </w:rPr>
        <w:t xml:space="preserve">  </w:t>
      </w:r>
      <w:r>
        <w:rPr>
          <w:b/>
          <w:sz w:val="21"/>
        </w:rPr>
        <w:t>Guarantees:</w:t>
      </w:r>
      <w:r>
        <w:rPr>
          <w:sz w:val="21"/>
        </w:rPr>
        <w:t xml:space="preserve"> Personal guarantees of the Managing Director and Whole-time Directors, in some instances including their relatives.</w:t>
      </w:r>
    </w:p>
    <w:p/>
    <w:p>
      <w:r>
        <w:rPr>
          <w:b/>
          <w:color w:val="003366"/>
          <w:sz w:val="22"/>
        </w:rPr>
        <w:t>3.4 Repayment &amp; Conduct</w:t>
      </w:r>
    </w:p>
    <w:p>
      <w:pPr>
        <w:spacing w:after="80"/>
        <w:jc w:val="both"/>
      </w:pPr>
      <w:r>
        <w:rPr>
          <w:sz w:val="21"/>
        </w:rPr>
        <w:t>Based on the information available, no adverse banking conduct or defaults have been reported. The company has demonstrated a repayment track record consistent with its obligations, and there is no record of SMA (Special Mention Account) classification provided in the available data.</w:t>
      </w:r>
    </w:p>
    <w:p/>
    <w:p>
      <w:pPr>
        <w:pStyle w:val="Heading1"/>
        <w:spacing w:before="320" w:after="160"/>
      </w:pPr>
      <w:r>
        <w:rPr>
          <w:b/>
          <w:color w:val="003366"/>
          <w:sz w:val="26"/>
        </w:rPr>
        <w:t>SECTION 4 — RISK ASSESSMENT &amp; SECURITY</w:t>
      </w:r>
    </w:p>
    <w:p>
      <w:pPr>
        <w:pBdr>
          <w:bottom w:val="single" w:sz="6" w:space="1" w:color="003366"/>
        </w:pBdr>
      </w:pPr>
    </w:p>
    <w:p>
      <w:r>
        <w:rPr>
          <w:b/>
          <w:color w:val="003366"/>
          <w:sz w:val="24"/>
        </w:rPr>
        <w:t>4. Risk Assessment &amp; Security</w:t>
      </w:r>
    </w:p>
    <w:p/>
    <w:p>
      <w:r>
        <w:rPr>
          <w:b/>
          <w:color w:val="003366"/>
          <w:sz w:val="22"/>
        </w:rPr>
        <w:t>4.1 Risk Assessment</w:t>
      </w:r>
    </w:p>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003366"/>
          </w:tcPr>
          <w:p>
            <w:r>
              <w:rPr>
                <w:b/>
                <w:color w:val="FFFFFF"/>
                <w:sz w:val="19"/>
              </w:rPr>
              <w:t>Risk</w:t>
            </w:r>
          </w:p>
        </w:tc>
        <w:tc>
          <w:tcPr>
            <w:tcW w:type="dxa" w:w="3041"/>
            <w:shd w:val="clear" w:color="auto" w:fill="003366"/>
          </w:tcPr>
          <w:p>
            <w:r>
              <w:rPr>
                <w:b/>
                <w:color w:val="FFFFFF"/>
                <w:sz w:val="19"/>
              </w:rPr>
              <w:t>Severity</w:t>
            </w:r>
          </w:p>
        </w:tc>
        <w:tc>
          <w:tcPr>
            <w:tcW w:type="dxa" w:w="3041"/>
            <w:shd w:val="clear" w:color="auto" w:fill="003366"/>
          </w:tcPr>
          <w:p>
            <w:r>
              <w:rPr>
                <w:b/>
                <w:color w:val="FFFFFF"/>
                <w:sz w:val="19"/>
              </w:rPr>
              <w:t>Mitigant</w:t>
            </w:r>
          </w:p>
        </w:tc>
      </w:tr>
      <w:tr>
        <w:tc>
          <w:tcPr>
            <w:tcW w:type="dxa" w:w="3041"/>
          </w:tcPr>
          <w:p>
            <w:r>
              <w:rPr>
                <w:color w:val="000000"/>
                <w:sz w:val="19"/>
              </w:rPr>
              <w:t>Financial Risk: High leverage (Net debt/equity 203%) and liquidity constraints (Current ratio 0.95x; cash INR 0.72 Lakhs).</w:t>
            </w:r>
          </w:p>
        </w:tc>
        <w:tc>
          <w:tcPr>
            <w:tcW w:type="dxa" w:w="3041"/>
          </w:tcPr>
          <w:p>
            <w:r>
              <w:rPr>
                <w:color w:val="000000"/>
                <w:sz w:val="19"/>
              </w:rPr>
              <w:t>High</w:t>
            </w:r>
          </w:p>
        </w:tc>
        <w:tc>
          <w:tcPr>
            <w:tcW w:type="dxa" w:w="3041"/>
          </w:tcPr>
          <w:p>
            <w:r>
              <w:rPr>
                <w:color w:val="000000"/>
                <w:sz w:val="19"/>
              </w:rPr>
              <w:t>Strong operating cash flow of INR 2,141 Lakhs; DSCR improved to 1.37x.</w:t>
            </w:r>
          </w:p>
        </w:tc>
      </w:tr>
      <w:tr>
        <w:tc>
          <w:tcPr>
            <w:tcW w:type="dxa" w:w="3041"/>
            <w:shd w:val="clear" w:color="auto" w:fill="EAF0F8"/>
          </w:tcPr>
          <w:p>
            <w:r>
              <w:rPr>
                <w:color w:val="000000"/>
                <w:sz w:val="19"/>
              </w:rPr>
              <w:t>Operational Risk: Persistent losses in the textile segment and reliance on real estate profits for cross-subsidization.</w:t>
            </w:r>
          </w:p>
        </w:tc>
        <w:tc>
          <w:tcPr>
            <w:tcW w:type="dxa" w:w="3041"/>
            <w:shd w:val="clear" w:color="auto" w:fill="EAF0F8"/>
          </w:tcPr>
          <w:p>
            <w:r>
              <w:rPr>
                <w:color w:val="000000"/>
                <w:sz w:val="19"/>
              </w:rPr>
              <w:t>High</w:t>
            </w:r>
          </w:p>
        </w:tc>
        <w:tc>
          <w:tcPr>
            <w:tcW w:type="dxa" w:w="3041"/>
            <w:shd w:val="clear" w:color="auto" w:fill="EAF0F8"/>
          </w:tcPr>
          <w:p>
            <w:r>
              <w:rPr>
                <w:color w:val="000000"/>
                <w:sz w:val="19"/>
              </w:rPr>
              <w:t>Machinery modernisation capex of INR 2,238 Lakhs; auditor concluded no material uncertainty regarding going concern.</w:t>
            </w:r>
          </w:p>
        </w:tc>
      </w:tr>
      <w:tr>
        <w:tc>
          <w:tcPr>
            <w:tcW w:type="dxa" w:w="3041"/>
          </w:tcPr>
          <w:p>
            <w:r>
              <w:rPr>
                <w:color w:val="000000"/>
                <w:sz w:val="19"/>
              </w:rPr>
              <w:t>Market Risk: Exposure to cotton price volatility and adverse impact of the Red Sea crisis on textile exports.</w:t>
            </w:r>
          </w:p>
        </w:tc>
        <w:tc>
          <w:tcPr>
            <w:tcW w:type="dxa" w:w="3041"/>
          </w:tcPr>
          <w:p>
            <w:r>
              <w:rPr>
                <w:color w:val="000000"/>
                <w:sz w:val="19"/>
              </w:rPr>
              <w:t>Medium</w:t>
            </w:r>
          </w:p>
        </w:tc>
        <w:tc>
          <w:tcPr>
            <w:tcW w:type="dxa" w:w="3041"/>
          </w:tcPr>
          <w:p>
            <w:r>
              <w:rPr>
                <w:color w:val="000000"/>
                <w:sz w:val="19"/>
              </w:rPr>
              <w:t>100% indigenous raw material sourcing; membership in SITRA for technology access.</w:t>
            </w:r>
          </w:p>
        </w:tc>
      </w:tr>
      <w:tr>
        <w:tc>
          <w:tcPr>
            <w:tcW w:type="dxa" w:w="3041"/>
            <w:shd w:val="clear" w:color="auto" w:fill="EAF0F8"/>
          </w:tcPr>
          <w:p>
            <w:r>
              <w:rPr>
                <w:color w:val="000000"/>
                <w:sz w:val="19"/>
              </w:rPr>
              <w:t>Management Risk: High concentration of strategy and operations within the promoter family.</w:t>
            </w:r>
          </w:p>
        </w:tc>
        <w:tc>
          <w:tcPr>
            <w:tcW w:type="dxa" w:w="3041"/>
            <w:shd w:val="clear" w:color="auto" w:fill="EAF0F8"/>
          </w:tcPr>
          <w:p>
            <w:r>
              <w:rPr>
                <w:color w:val="000000"/>
                <w:sz w:val="19"/>
              </w:rPr>
              <w:t>Medium</w:t>
            </w:r>
          </w:p>
        </w:tc>
        <w:tc>
          <w:tcPr>
            <w:tcW w:type="dxa" w:w="3041"/>
            <w:shd w:val="clear" w:color="auto" w:fill="EAF0F8"/>
          </w:tcPr>
          <w:p>
            <w:r>
              <w:rPr>
                <w:color w:val="000000"/>
                <w:sz w:val="19"/>
              </w:rPr>
              <w:t>Three independent directors on the board; all committees are functional.</w:t>
            </w:r>
          </w:p>
        </w:tc>
      </w:tr>
      <w:tr>
        <w:tc>
          <w:tcPr>
            <w:tcW w:type="dxa" w:w="3041"/>
          </w:tcPr>
          <w:p>
            <w:r>
              <w:rPr>
                <w:color w:val="000000"/>
                <w:sz w:val="19"/>
              </w:rPr>
              <w:t>Compliance Risk: Audit trail (edit log) feature in accounting software not enabled; pending TNGST tax litigation.</w:t>
            </w:r>
          </w:p>
        </w:tc>
        <w:tc>
          <w:tcPr>
            <w:tcW w:type="dxa" w:w="3041"/>
          </w:tcPr>
          <w:p>
            <w:r>
              <w:rPr>
                <w:color w:val="000000"/>
                <w:sz w:val="19"/>
              </w:rPr>
              <w:t>Medium</w:t>
            </w:r>
          </w:p>
        </w:tc>
        <w:tc>
          <w:tcPr>
            <w:tcW w:type="dxa" w:w="3041"/>
          </w:tcPr>
          <w:p>
            <w:r>
              <w:rPr>
                <w:color w:val="000000"/>
                <w:sz w:val="19"/>
              </w:rPr>
              <w:t>Internal financial controls assessed as operating effectively; management is evaluating options to comply with audit trail requirements.</w:t>
            </w:r>
          </w:p>
        </w:tc>
      </w:tr>
      <w:tr>
        <w:tc>
          <w:tcPr>
            <w:tcW w:type="dxa" w:w="3041"/>
            <w:shd w:val="clear" w:color="auto" w:fill="EAF0F8"/>
          </w:tcPr>
          <w:p>
            <w:r>
              <w:rPr>
                <w:color w:val="000000"/>
                <w:sz w:val="19"/>
              </w:rPr>
              <w:t>External Risk: Surge in power and fuel costs impacting margins.</w:t>
            </w:r>
          </w:p>
        </w:tc>
        <w:tc>
          <w:tcPr>
            <w:tcW w:type="dxa" w:w="3041"/>
            <w:shd w:val="clear" w:color="auto" w:fill="EAF0F8"/>
          </w:tcPr>
          <w:p>
            <w:r>
              <w:rPr>
                <w:color w:val="000000"/>
                <w:sz w:val="19"/>
              </w:rPr>
              <w:t>Medium</w:t>
            </w:r>
          </w:p>
        </w:tc>
        <w:tc>
          <w:tcPr>
            <w:tcW w:type="dxa" w:w="3041"/>
            <w:shd w:val="clear" w:color="auto" w:fill="EAF0F8"/>
          </w:tcPr>
          <w:p>
            <w:r>
              <w:rPr>
                <w:color w:val="000000"/>
                <w:sz w:val="19"/>
              </w:rPr>
              <w:t>Solar energy adoption (purchased from related party at INR 5.10/unit) to offset grid dependency.</w:t>
            </w:r>
          </w:p>
        </w:tc>
      </w:tr>
    </w:tbl>
    <w:p/>
    <w:p/>
    <w:p>
      <w:r>
        <w:rPr>
          <w:b/>
          <w:color w:val="003366"/>
          <w:sz w:val="22"/>
        </w:rPr>
        <w:t>4.2 SAVE Risk Rating</w:t>
      </w:r>
    </w:p>
    <w:p/>
    <w:p>
      <w:pPr>
        <w:pStyle w:val="ListBullet"/>
        <w:jc w:val="both"/>
      </w:pPr>
      <w:r>
        <w:rPr>
          <w:sz w:val="21"/>
        </w:rPr>
        <w:t xml:space="preserve">  </w:t>
      </w:r>
      <w:r>
        <w:rPr>
          <w:b/>
          <w:sz w:val="21"/>
        </w:rPr>
        <w:t>Overall Score:</w:t>
      </w:r>
      <w:r>
        <w:rPr>
          <w:sz w:val="21"/>
        </w:rPr>
        <w:t xml:space="preserve"> 5.00</w:t>
      </w:r>
    </w:p>
    <w:p>
      <w:pPr>
        <w:pStyle w:val="ListBullet"/>
        <w:jc w:val="both"/>
      </w:pPr>
      <w:r>
        <w:rPr>
          <w:sz w:val="21"/>
        </w:rPr>
        <w:t xml:space="preserve">  </w:t>
      </w:r>
      <w:r>
        <w:rPr>
          <w:b/>
          <w:sz w:val="21"/>
        </w:rPr>
        <w:t>Rating:</w:t>
      </w:r>
      <w:r>
        <w:rPr>
          <w:sz w:val="21"/>
        </w:rPr>
        <w:t xml:space="preserve"> ELEVATED RISK</w:t>
      </w:r>
    </w:p>
    <w:p>
      <w:pPr>
        <w:pStyle w:val="ListBullet"/>
        <w:jc w:val="both"/>
      </w:pPr>
      <w:r>
        <w:rPr>
          <w:sz w:val="21"/>
        </w:rPr>
        <w:t xml:space="preserve">  </w:t>
      </w:r>
      <w:r>
        <w:rPr>
          <w:b/>
          <w:sz w:val="21"/>
        </w:rPr>
        <w:t>Movement:</w:t>
      </w:r>
      <w:r>
        <w:rPr>
          <w:sz w:val="21"/>
        </w:rPr>
        <w:t xml:space="preserve"> N/A</w:t>
      </w:r>
    </w:p>
    <w:p>
      <w:pPr>
        <w:pStyle w:val="ListBullet"/>
        <w:jc w:val="both"/>
      </w:pPr>
      <w:r>
        <w:rPr>
          <w:sz w:val="21"/>
        </w:rPr>
        <w:t xml:space="preserve">  </w:t>
      </w:r>
      <w:r>
        <w:rPr>
          <w:b/>
          <w:sz w:val="21"/>
        </w:rPr>
        <w:t>Commentary:</w:t>
      </w:r>
      <w:r>
        <w:rPr>
          <w:sz w:val="21"/>
        </w:rPr>
        <w:t xml:space="preserve"> The "ELEVATED RISK" rating reflects the company's precarious liquidity position, high leverage, and structural reliance on non-core real estate income to offset persistent losses in the textile segment. While the company demonstrates operational cash flow generation and has completed significant machinery modernisation, the creditworthiness remains constrained by the current ratio of 0.95x and the high debt-to-equity ratio of 203%.</w:t>
      </w:r>
    </w:p>
    <w:p/>
    <w:p>
      <w:r>
        <w:rPr>
          <w:b/>
          <w:color w:val="003366"/>
          <w:sz w:val="22"/>
        </w:rPr>
        <w:t>4.3 Security &amp; Collateral</w:t>
      </w:r>
    </w:p>
    <w:p/>
    <w:p>
      <w:pPr>
        <w:spacing w:after="80"/>
        <w:jc w:val="both"/>
      </w:pPr>
      <w:r>
        <w:rPr>
          <w:sz w:val="21"/>
        </w:rPr>
        <w:t>The credit facilities are secured by the following primary and collateral security:</w:t>
      </w:r>
    </w:p>
    <w:p/>
    <w:p>
      <w:pPr>
        <w:pStyle w:val="ListBullet"/>
        <w:jc w:val="both"/>
      </w:pPr>
      <w:r>
        <w:rPr>
          <w:sz w:val="21"/>
        </w:rPr>
        <w:t xml:space="preserve">  </w:t>
      </w:r>
      <w:r>
        <w:rPr>
          <w:b/>
          <w:sz w:val="21"/>
        </w:rPr>
        <w:t>Hypothecation:</w:t>
      </w:r>
      <w:r>
        <w:rPr>
          <w:sz w:val="21"/>
        </w:rPr>
        <w:t xml:space="preserve"> Entire machinery of the company (first charge basis for term loans).</w:t>
      </w:r>
    </w:p>
    <w:p>
      <w:pPr>
        <w:pStyle w:val="ListBullet"/>
        <w:jc w:val="both"/>
      </w:pPr>
      <w:r>
        <w:rPr>
          <w:sz w:val="21"/>
        </w:rPr>
        <w:t xml:space="preserve">  </w:t>
      </w:r>
      <w:r>
        <w:rPr>
          <w:b/>
          <w:sz w:val="21"/>
        </w:rPr>
        <w:t>Hypothecation:</w:t>
      </w:r>
      <w:r>
        <w:rPr>
          <w:sz w:val="21"/>
        </w:rPr>
        <w:t xml:space="preserve"> Stock of raw materials, stock-in-process, finished goods, packing materials, and book debts (secured by Axis Bank and The South Indian Bank).</w:t>
      </w:r>
    </w:p>
    <w:p>
      <w:pPr>
        <w:pStyle w:val="ListBullet"/>
        <w:jc w:val="both"/>
      </w:pPr>
      <w:r>
        <w:rPr>
          <w:sz w:val="21"/>
        </w:rPr>
        <w:t xml:space="preserve">  </w:t>
      </w:r>
      <w:r>
        <w:rPr>
          <w:b/>
          <w:sz w:val="21"/>
        </w:rPr>
        <w:t>Hypothecation:</w:t>
      </w:r>
      <w:r>
        <w:rPr>
          <w:sz w:val="21"/>
        </w:rPr>
        <w:t xml:space="preserve"> Entire current assets of the company, both present and future (secured by The South Indian Bank).</w:t>
      </w:r>
    </w:p>
    <w:p>
      <w:pPr>
        <w:pStyle w:val="ListBullet"/>
        <w:jc w:val="both"/>
      </w:pPr>
      <w:r>
        <w:rPr>
          <w:sz w:val="21"/>
        </w:rPr>
        <w:t xml:space="preserve">  </w:t>
      </w:r>
      <w:r>
        <w:rPr>
          <w:b/>
          <w:sz w:val="21"/>
        </w:rPr>
        <w:t>Equitable Mortgage:</w:t>
      </w:r>
      <w:r>
        <w:rPr>
          <w:sz w:val="21"/>
        </w:rPr>
        <w:t xml:space="preserve"> Land and building situated at Chittoor District, Andhra Pradesh (secured by Axis Bank).</w:t>
      </w:r>
    </w:p>
    <w:p>
      <w:pPr>
        <w:pStyle w:val="ListBullet"/>
        <w:jc w:val="both"/>
      </w:pPr>
      <w:r>
        <w:rPr>
          <w:sz w:val="21"/>
        </w:rPr>
        <w:t xml:space="preserve">  </w:t>
      </w:r>
      <w:r>
        <w:rPr>
          <w:b/>
          <w:sz w:val="21"/>
        </w:rPr>
        <w:t>Equitable Mortgage:</w:t>
      </w:r>
      <w:r>
        <w:rPr>
          <w:sz w:val="21"/>
        </w:rPr>
        <w:t xml:space="preserve"> Vacant land and building situated at Ganapathy, Coimbatore (secured by The South Indian Bank and the Managing Director).</w:t>
      </w:r>
    </w:p>
    <w:p>
      <w:pPr>
        <w:pStyle w:val="ListBullet"/>
        <w:jc w:val="both"/>
      </w:pPr>
      <w:r>
        <w:rPr>
          <w:sz w:val="21"/>
        </w:rPr>
        <w:t xml:space="preserve">  </w:t>
      </w:r>
      <w:r>
        <w:rPr>
          <w:b/>
          <w:sz w:val="21"/>
        </w:rPr>
        <w:t>Guarantees:</w:t>
      </w:r>
      <w:r>
        <w:rPr>
          <w:sz w:val="21"/>
        </w:rPr>
        <w:t xml:space="preserve"> Personal guarantees of the Managing Director, Whole-time directors, and their relatives in respect of bank loan facilities with Axis Bank and The South Indian Bank.</w:t>
      </w:r>
    </w:p>
    <w:p/>
    <w:p>
      <w:r>
        <w:rPr>
          <w:b/>
          <w:color w:val="003366"/>
          <w:sz w:val="22"/>
        </w:rPr>
        <w:t>4.4 Contingent Liabilities</w:t>
      </w:r>
    </w:p>
    <w:p/>
    <w:p>
      <w:pPr>
        <w:spacing w:after="80"/>
        <w:jc w:val="both"/>
      </w:pPr>
      <w:r>
        <w:rPr>
          <w:sz w:val="21"/>
        </w:rPr>
        <w:t>The company has a pending TNGST tax demand of INR 61.66 Lakhs for the Assessment Year 1998-99, currently pending before the Tribunal. An amount of INR 30.83 Lakhs has been paid under protest. No other material contingent liabilities have been identified.</w:t>
      </w:r>
    </w:p>
    <w:p/>
    <w:p>
      <w:pPr>
        <w:pStyle w:val="Heading1"/>
        <w:spacing w:before="320" w:after="160"/>
      </w:pPr>
      <w:r>
        <w:rPr>
          <w:b/>
          <w:color w:val="003366"/>
          <w:sz w:val="26"/>
        </w:rPr>
        <w:t>SECTION 5 — DATA CONSISTENCY REVIEW</w:t>
      </w:r>
    </w:p>
    <w:p>
      <w:pPr>
        <w:pBdr>
          <w:bottom w:val="single" w:sz="6" w:space="1" w:color="003366"/>
        </w:pBdr>
      </w:pPr>
    </w:p>
    <w:p>
      <w:pPr>
        <w:spacing w:after="80"/>
        <w:jc w:val="both"/>
      </w:pPr>
      <w:r>
        <w:rPr>
          <w:sz w:val="21"/>
        </w:rPr>
        <w:t>No material inconsistencies were detected across the Annual Report, Audit Report, and SAVE Risk Assessment for this borrower.</w:t>
      </w:r>
    </w:p>
    <w:p/>
    <w:p>
      <w:pPr>
        <w:pStyle w:val="Heading1"/>
        <w:spacing w:before="320" w:after="160"/>
      </w:pPr>
      <w:r>
        <w:rPr>
          <w:b/>
          <w:color w:val="003366"/>
          <w:sz w:val="26"/>
        </w:rPr>
        <w:t>SECTION 6 — CREDIT STRUCTURE &amp; RECOMMENDATION</w:t>
      </w:r>
    </w:p>
    <w:p>
      <w:pPr>
        <w:pBdr>
          <w:bottom w:val="single" w:sz="6" w:space="1" w:color="003366"/>
        </w:pBdr>
      </w:pPr>
    </w:p>
    <w:p>
      <w:r>
        <w:rPr>
          <w:b/>
          <w:color w:val="003366"/>
          <w:sz w:val="24"/>
        </w:rPr>
        <w:t>5. Credit Structure &amp; Recommendation</w:t>
      </w:r>
    </w:p>
    <w:p/>
    <w:p>
      <w:r>
        <w:rPr>
          <w:b/>
          <w:color w:val="003366"/>
          <w:sz w:val="22"/>
        </w:rPr>
        <w:t>5.1 Proposed Credit Structure</w:t>
      </w:r>
    </w:p>
    <w:p>
      <w:pPr>
        <w:spacing w:after="80"/>
        <w:jc w:val="both"/>
      </w:pPr>
      <w:r>
        <w:rPr>
          <w:sz w:val="21"/>
        </w:rPr>
        <w:t>Based on the financial performance in FY2024 and the requirement to support ongoing operations, the following credit structure is proposed:</w:t>
      </w:r>
    </w:p>
    <w:p/>
    <w:p>
      <w:pPr>
        <w:pStyle w:val="ListBullet"/>
        <w:jc w:val="both"/>
      </w:pPr>
      <w:r>
        <w:rPr>
          <w:sz w:val="21"/>
        </w:rPr>
        <w:t xml:space="preserve">  </w:t>
      </w:r>
      <w:r>
        <w:rPr>
          <w:b/>
          <w:sz w:val="21"/>
        </w:rPr>
        <w:t>Facility Type:</w:t>
      </w:r>
      <w:r>
        <w:rPr>
          <w:sz w:val="21"/>
        </w:rPr>
        <w:t xml:space="preserve"> Working Capital Demand Loan (WCDL) to support operational liquidity.</w:t>
      </w:r>
    </w:p>
    <w:p>
      <w:pPr>
        <w:pStyle w:val="ListBullet"/>
        <w:jc w:val="both"/>
      </w:pPr>
      <w:r>
        <w:rPr>
          <w:sz w:val="21"/>
        </w:rPr>
        <w:t xml:space="preserve">  </w:t>
      </w:r>
      <w:r>
        <w:rPr>
          <w:b/>
          <w:sz w:val="21"/>
        </w:rPr>
        <w:t>Amount:</w:t>
      </w:r>
      <w:r>
        <w:rPr>
          <w:sz w:val="21"/>
        </w:rPr>
        <w:t xml:space="preserve"> Rs. 500.00 lakhs.</w:t>
      </w:r>
    </w:p>
    <w:p>
      <w:pPr>
        <w:pStyle w:val="ListBullet"/>
        <w:jc w:val="both"/>
      </w:pPr>
      <w:r>
        <w:rPr>
          <w:sz w:val="21"/>
        </w:rPr>
        <w:t xml:space="preserve">  </w:t>
      </w:r>
      <w:r>
        <w:rPr>
          <w:b/>
          <w:sz w:val="21"/>
        </w:rPr>
        <w:t>Tenor:</w:t>
      </w:r>
      <w:r>
        <w:rPr>
          <w:sz w:val="21"/>
        </w:rPr>
        <w:t xml:space="preserve"> 12 months (revolving).</w:t>
      </w:r>
    </w:p>
    <w:p>
      <w:pPr>
        <w:pStyle w:val="ListBullet"/>
        <w:jc w:val="both"/>
      </w:pPr>
      <w:r>
        <w:rPr>
          <w:sz w:val="21"/>
        </w:rPr>
        <w:t xml:space="preserve">  </w:t>
      </w:r>
      <w:r>
        <w:rPr>
          <w:b/>
          <w:sz w:val="21"/>
        </w:rPr>
        <w:t>Interest Rate:</w:t>
      </w:r>
      <w:r>
        <w:rPr>
          <w:sz w:val="21"/>
        </w:rPr>
        <w:t xml:space="preserve"> Linked to the bank’s prevailing MCLR plus a risk premium of 350 bps, reflecting the "ELEVATED RISK" rating.</w:t>
      </w:r>
    </w:p>
    <w:p>
      <w:pPr>
        <w:pStyle w:val="ListBullet"/>
        <w:jc w:val="both"/>
      </w:pPr>
      <w:r>
        <w:rPr>
          <w:sz w:val="21"/>
        </w:rPr>
        <w:t xml:space="preserve">  </w:t>
      </w:r>
      <w:r>
        <w:rPr>
          <w:b/>
          <w:sz w:val="21"/>
        </w:rPr>
        <w:t>Repayment Schedule:</w:t>
      </w:r>
      <w:r>
        <w:rPr>
          <w:sz w:val="21"/>
        </w:rPr>
        <w:t xml:space="preserve"> Interest to be serviced monthly; principal repayable on demand or at the end of the tenor.</w:t>
      </w:r>
    </w:p>
    <w:p>
      <w:pPr>
        <w:pStyle w:val="ListBullet"/>
        <w:jc w:val="both"/>
      </w:pPr>
      <w:r>
        <w:rPr>
          <w:sz w:val="21"/>
        </w:rPr>
        <w:t xml:space="preserve">  </w:t>
      </w:r>
      <w:r>
        <w:rPr>
          <w:b/>
          <w:sz w:val="21"/>
        </w:rPr>
        <w:t>Security:</w:t>
      </w:r>
    </w:p>
    <w:p>
      <w:pPr>
        <w:pStyle w:val="ListBullet"/>
        <w:jc w:val="both"/>
      </w:pPr>
      <w:r>
        <w:rPr>
          <w:sz w:val="21"/>
        </w:rPr>
        <w:t xml:space="preserve">  First charge on current assets (stock and book debts).</w:t>
      </w:r>
    </w:p>
    <w:p>
      <w:pPr>
        <w:pStyle w:val="ListBullet"/>
        <w:jc w:val="both"/>
      </w:pPr>
      <w:r>
        <w:rPr>
          <w:sz w:val="21"/>
        </w:rPr>
        <w:t xml:space="preserve">  Extension of existing equitable mortgage on land and building at Chittoor District, Andhra Pradesh.</w:t>
      </w:r>
    </w:p>
    <w:p>
      <w:pPr>
        <w:pStyle w:val="ListBullet"/>
        <w:jc w:val="both"/>
      </w:pPr>
      <w:r>
        <w:rPr>
          <w:sz w:val="21"/>
        </w:rPr>
        <w:t xml:space="preserve">  Personal guarantees of the Managing Director and Whole-time Directors.</w:t>
      </w:r>
    </w:p>
    <w:p/>
    <w:p>
      <w:r>
        <w:rPr>
          <w:b/>
          <w:color w:val="003366"/>
          <w:sz w:val="22"/>
        </w:rPr>
        <w:t>5.2 Key Conditions &amp; Covenants</w:t>
      </w:r>
    </w:p>
    <w:p>
      <w:pPr>
        <w:spacing w:after="80"/>
        <w:jc w:val="both"/>
      </w:pPr>
      <w:r>
        <w:rPr>
          <w:sz w:val="21"/>
        </w:rPr>
        <w:t>The approval is subject to the following conditions and covenants:</w:t>
      </w:r>
    </w:p>
    <w:p/>
    <w:p>
      <w:pPr>
        <w:pStyle w:val="ListBullet"/>
        <w:jc w:val="both"/>
      </w:pPr>
      <w:r>
        <w:rPr>
          <w:sz w:val="21"/>
        </w:rPr>
        <w:t xml:space="preserve">  </w:t>
      </w:r>
      <w:r>
        <w:rPr>
          <w:b/>
          <w:sz w:val="21"/>
        </w:rPr>
        <w:t>Conditions Precedent:</w:t>
      </w:r>
    </w:p>
    <w:p>
      <w:pPr>
        <w:pStyle w:val="ListBullet"/>
        <w:jc w:val="both"/>
      </w:pPr>
      <w:r>
        <w:rPr>
          <w:sz w:val="21"/>
        </w:rPr>
        <w:t xml:space="preserve">  Submission of a formal board resolution authorizing the additional borrowing.</w:t>
      </w:r>
    </w:p>
    <w:p>
      <w:pPr>
        <w:pStyle w:val="ListBullet"/>
        <w:jc w:val="both"/>
      </w:pPr>
      <w:r>
        <w:rPr>
          <w:sz w:val="21"/>
        </w:rPr>
        <w:t xml:space="preserve">  Evidence of the audit trail (edit log) feature being enabled in the accounting software, as per auditor observations.</w:t>
      </w:r>
    </w:p>
    <w:p>
      <w:pPr>
        <w:pStyle w:val="ListBullet"/>
        <w:jc w:val="both"/>
      </w:pPr>
      <w:r>
        <w:rPr>
          <w:sz w:val="21"/>
        </w:rPr>
        <w:t xml:space="preserve">  Clearance of the undisputed GST liability of Rs. 7.59 lakhs.</w:t>
      </w:r>
    </w:p>
    <w:p>
      <w:pPr>
        <w:pStyle w:val="ListBullet"/>
        <w:jc w:val="both"/>
      </w:pPr>
      <w:r>
        <w:rPr>
          <w:sz w:val="21"/>
        </w:rPr>
        <w:t xml:space="preserve">  </w:t>
      </w:r>
      <w:r>
        <w:rPr>
          <w:b/>
          <w:sz w:val="21"/>
        </w:rPr>
        <w:t>Financial Covenants:</w:t>
      </w:r>
    </w:p>
    <w:p>
      <w:pPr>
        <w:pStyle w:val="ListBullet"/>
        <w:jc w:val="both"/>
      </w:pPr>
      <w:r>
        <w:rPr>
          <w:sz w:val="21"/>
        </w:rPr>
        <w:t xml:space="preserve">  </w:t>
      </w:r>
      <w:r>
        <w:rPr>
          <w:b/>
          <w:sz w:val="21"/>
        </w:rPr>
        <w:t>DSCR:</w:t>
      </w:r>
      <w:r>
        <w:rPr>
          <w:sz w:val="21"/>
        </w:rPr>
        <w:t xml:space="preserve"> Maintain a minimum DSCR of 1.35x.</w:t>
      </w:r>
    </w:p>
    <w:p>
      <w:pPr>
        <w:pStyle w:val="ListBullet"/>
        <w:jc w:val="both"/>
      </w:pPr>
      <w:r>
        <w:rPr>
          <w:sz w:val="21"/>
        </w:rPr>
        <w:t xml:space="preserve">  </w:t>
      </w:r>
      <w:r>
        <w:rPr>
          <w:b/>
          <w:sz w:val="21"/>
        </w:rPr>
        <w:t>Current Ratio:</w:t>
      </w:r>
      <w:r>
        <w:rPr>
          <w:sz w:val="21"/>
        </w:rPr>
        <w:t xml:space="preserve"> Improve and maintain a minimum Current Ratio of 1.10x.</w:t>
      </w:r>
    </w:p>
    <w:p>
      <w:pPr>
        <w:pStyle w:val="ListBullet"/>
        <w:jc w:val="both"/>
      </w:pPr>
      <w:r>
        <w:rPr>
          <w:sz w:val="21"/>
        </w:rPr>
        <w:t xml:space="preserve">  </w:t>
      </w:r>
      <w:r>
        <w:rPr>
          <w:b/>
          <w:sz w:val="21"/>
        </w:rPr>
        <w:t>Debt/Equity:</w:t>
      </w:r>
      <w:r>
        <w:rPr>
          <w:sz w:val="21"/>
        </w:rPr>
        <w:t xml:space="preserve"> Maintain a Debt/Equity ratio not exceeding 2.00x.</w:t>
      </w:r>
    </w:p>
    <w:p>
      <w:pPr>
        <w:pStyle w:val="ListBullet"/>
        <w:jc w:val="both"/>
      </w:pPr>
      <w:r>
        <w:rPr>
          <w:sz w:val="21"/>
        </w:rPr>
        <w:t xml:space="preserve">  </w:t>
      </w:r>
      <w:r>
        <w:rPr>
          <w:b/>
          <w:sz w:val="21"/>
        </w:rPr>
        <w:t>Reporting Requirements:</w:t>
      </w:r>
    </w:p>
    <w:p>
      <w:pPr>
        <w:pStyle w:val="ListBullet"/>
        <w:jc w:val="both"/>
      </w:pPr>
      <w:r>
        <w:rPr>
          <w:sz w:val="21"/>
        </w:rPr>
        <w:t xml:space="preserve">  Submission of quarterly stock and book debt statements.</w:t>
      </w:r>
    </w:p>
    <w:p>
      <w:pPr>
        <w:pStyle w:val="ListBullet"/>
        <w:jc w:val="both"/>
      </w:pPr>
      <w:r>
        <w:rPr>
          <w:sz w:val="21"/>
        </w:rPr>
        <w:t xml:space="preserve">  Submission of audited annual financial statements within 180 days of the fiscal year-end.</w:t>
      </w:r>
    </w:p>
    <w:p>
      <w:pPr>
        <w:pStyle w:val="ListBullet"/>
        <w:jc w:val="both"/>
      </w:pPr>
      <w:r>
        <w:rPr>
          <w:sz w:val="21"/>
        </w:rPr>
        <w:t xml:space="preserve">  Monthly reporting of related-party transactions and inter-corporate loan balances.</w:t>
      </w:r>
    </w:p>
    <w:p/>
    <w:p>
      <w:r>
        <w:rPr>
          <w:b/>
          <w:color w:val="003366"/>
          <w:sz w:val="22"/>
        </w:rPr>
        <w:t>5.3 Final Recommendation</w:t>
      </w:r>
    </w:p>
    <w:p>
      <w:pPr>
        <w:spacing w:after="80"/>
        <w:jc w:val="both"/>
      </w:pPr>
      <w:r>
        <w:rPr>
          <w:b/>
          <w:sz w:val="21"/>
        </w:rPr>
        <w:t>Recommendation: Approve with Conditions</w:t>
      </w:r>
    </w:p>
    <w:p/>
    <w:p>
      <w:pPr>
        <w:spacing w:after="80"/>
        <w:jc w:val="both"/>
      </w:pPr>
      <w:r>
        <w:rPr>
          <w:sz w:val="21"/>
        </w:rPr>
        <w:t>The recommendation for "Approve with Conditions" is justified by the following factors:</w:t>
      </w:r>
    </w:p>
    <w:p/>
    <w:p>
      <w:pPr>
        <w:pStyle w:val="ListNumber"/>
        <w:jc w:val="both"/>
      </w:pPr>
      <w:r>
        <w:rPr>
          <w:sz w:val="21"/>
        </w:rPr>
        <w:t xml:space="preserve">1.  </w:t>
      </w:r>
      <w:r>
        <w:rPr>
          <w:b/>
          <w:sz w:val="21"/>
        </w:rPr>
        <w:t>Financial Metrics:</w:t>
      </w:r>
      <w:r>
        <w:rPr>
          <w:sz w:val="21"/>
        </w:rPr>
        <w:t xml:space="preserve"> While the company reported a significant improvement in FY2024 with a PAT of Rs. 648.01 lakhs and an EBITDA margin of 21.71%, the core textile business remains loss-making (Rs. 407.33 lakhs loss before finance costs). The profitability in FY2024 was largely driven by non-recurring real estate villa sales (52.8% of revenue).</w:t>
      </w:r>
    </w:p>
    <w:p>
      <w:pPr>
        <w:pStyle w:val="ListNumber"/>
        <w:jc w:val="both"/>
      </w:pPr>
      <w:r>
        <w:rPr>
          <w:sz w:val="21"/>
        </w:rPr>
        <w:t xml:space="preserve">2.  </w:t>
      </w:r>
      <w:r>
        <w:rPr>
          <w:b/>
          <w:sz w:val="21"/>
        </w:rPr>
        <w:t>Risk Rating:</w:t>
      </w:r>
      <w:r>
        <w:rPr>
          <w:sz w:val="21"/>
        </w:rPr>
        <w:t xml:space="preserve"> The company carries an "ELEVATED RISK" (SAVE rating: 5.00) due to high leverage (Net Debt/Equity of 203%) and near-zero closing cash (Rs. 0.72 lakhs).</w:t>
      </w:r>
    </w:p>
    <w:p>
      <w:pPr>
        <w:pStyle w:val="ListNumber"/>
        <w:jc w:val="both"/>
      </w:pPr>
      <w:r>
        <w:rPr>
          <w:sz w:val="21"/>
        </w:rPr>
        <w:t xml:space="preserve">3.  </w:t>
      </w:r>
      <w:r>
        <w:rPr>
          <w:b/>
          <w:sz w:val="21"/>
        </w:rPr>
        <w:t>Liquidity &amp; Solvency:</w:t>
      </w:r>
      <w:r>
        <w:rPr>
          <w:sz w:val="21"/>
        </w:rPr>
        <w:t xml:space="preserve"> The DSCR of 1.37x is marginal, and the Current Ratio of 0.95x indicates a reliance on short-term funding to meet obligations. The auditor’s identification of "Going Concern" as a Key Audit Matter, despite the unqualified opinion, necessitates strict monitoring.</w:t>
      </w:r>
    </w:p>
    <w:p>
      <w:pPr>
        <w:pStyle w:val="ListNumber"/>
        <w:jc w:val="both"/>
      </w:pPr>
      <w:r>
        <w:rPr>
          <w:sz w:val="21"/>
        </w:rPr>
        <w:t xml:space="preserve">4.  </w:t>
      </w:r>
      <w:r>
        <w:rPr>
          <w:b/>
          <w:sz w:val="21"/>
        </w:rPr>
        <w:t>Audit Findings:</w:t>
      </w:r>
      <w:r>
        <w:rPr>
          <w:sz w:val="21"/>
        </w:rPr>
        <w:t xml:space="preserve"> The absence of an enabled audit trail in the accounting software and the use of short-term funds for long-term purposes (Rs. 47.24 lakhs) represent internal control weaknesses that must be rectified as a condition of this facility.</w:t>
      </w:r>
    </w:p>
    <w:p/>
    <w:p>
      <w:pPr>
        <w:spacing w:after="80"/>
        <w:jc w:val="both"/>
      </w:pPr>
      <w:r>
        <w:rPr>
          <w:sz w:val="21"/>
        </w:rPr>
        <w:t>Given the transition to new banking arrangements and the completion of the real estate project, this facility is intended to provide the necessary bridge for the textile segment to stabilize following the recent Rs. 2,238.00 lakhs modernization capex.</w:t>
      </w:r>
    </w:p>
    <w:p/>
    <w:sectPr w:rsidR="00FC693F" w:rsidRPr="0006063C" w:rsidSect="00034616">
      <w:headerReference w:type="default" r:id="rId9"/>
      <w:footerReference w:type="default" r:id="rId10"/>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06060"/>
        <w:sz w:val="16"/>
      </w:rPr>
      <w:t>CREDIT ASSESSMENT MEMORANDUM  |  Sri Ramakrishna Mills (Coimbatore) Limited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