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DURLAX TOP SURFACE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jc w:val="both"/>
      </w:pPr>
      <w:r>
        <w:rPr>
          <w:sz w:val="21"/>
        </w:rPr>
        <w:t># Section 1 — Borrower Overview &amp; Background</w:t>
      </w:r>
    </w:p>
    <w:p/>
    <w:p>
      <w:r>
        <w:rPr>
          <w:b/>
          <w:color w:val="003366"/>
          <w:sz w:val="24"/>
        </w:rPr>
        <w:t>1. Executive Summary</w:t>
      </w:r>
    </w:p>
    <w:p/>
    <w:p>
      <w:pPr>
        <w:spacing w:after="80"/>
        <w:jc w:val="both"/>
      </w:pPr>
      <w:r>
        <w:rPr>
          <w:sz w:val="21"/>
        </w:rPr>
        <w:t>This section will be populated upon receipt of the detailed credit proposal, facility purpose, and key highlights.</w:t>
      </w:r>
    </w:p>
    <w:p/>
    <w:p>
      <w:r>
        <w:rPr>
          <w:b/>
          <w:color w:val="003366"/>
          <w:sz w:val="24"/>
        </w:rPr>
        <w:t>2. Borrower Background</w:t>
      </w:r>
    </w:p>
    <w:p/>
    <w:p>
      <w:pPr>
        <w:spacing w:after="80"/>
        <w:jc w:val="both"/>
      </w:pPr>
      <w:r>
        <w:rPr>
          <w:sz w:val="21"/>
        </w:rPr>
        <w:t>DURLAX TOP SURFACE LIMITED, a Public Limited Company, was incorporated in 2010. The company is registered under Corporate Identification Number (CIN) L74999MH2010PLC202712. Its registered office is located at Unit No. 1601, 16th Floor, Synergy Business Park Premises Co-op Society Ltd, Bhd Virwani Industrial Estate, Sahakarwadi, Off Vishweshwar Nagar Road, Goregaon (E), Mumbai - 400 063.</w:t>
      </w:r>
    </w:p>
    <w:p/>
    <w:p>
      <w:pPr>
        <w:spacing w:after="80"/>
        <w:jc w:val="both"/>
      </w:pPr>
      <w:r>
        <w:rPr>
          <w:sz w:val="21"/>
        </w:rPr>
        <w:t>The company's primary business nature involves Trading &amp; Manufacturing Solid Surface Sheet. DURLAX TOP SURFACE LIMITED specializes in high-quality decorative solid surfaces and adhesives, catering to a wide variety of design needs through its flagship brands, Luxor® and Heronitez ™.</w:t>
      </w:r>
    </w:p>
    <w:p/>
    <w:p>
      <w:r>
        <w:rPr>
          <w:b/>
          <w:color w:val="003366"/>
          <w:sz w:val="24"/>
        </w:rPr>
        <w:t>3. Management &amp; Promoters</w:t>
      </w:r>
    </w:p>
    <w:p/>
    <w:p>
      <w:pPr>
        <w:spacing w:after="80"/>
        <w:jc w:val="both"/>
      </w:pPr>
      <w:r>
        <w:rPr>
          <w:sz w:val="21"/>
        </w:rPr>
        <w:t>The company's promoters include Mr. Shravan Suthar, Mr. Lalit Suthar, Mr. Pankaj Suthar, and Mr. Laxmichand Suthar.</w:t>
      </w:r>
    </w:p>
    <w:p/>
    <w:p>
      <w:r>
        <w:rPr>
          <w:b/>
          <w:color w:val="003366"/>
          <w:sz w:val="22"/>
        </w:rPr>
        <w:t>The key management team comprises:</w:t>
      </w:r>
    </w:p>
    <w:p>
      <w:pPr>
        <w:pStyle w:val="ListBullet"/>
        <w:jc w:val="both"/>
      </w:pPr>
      <w:r>
        <w:rPr>
          <w:sz w:val="21"/>
        </w:rPr>
        <w:t xml:space="preserve">  Mr. Shravan Suthar, Managing Director</w:t>
      </w:r>
    </w:p>
    <w:p>
      <w:pPr>
        <w:pStyle w:val="ListBullet"/>
        <w:jc w:val="both"/>
      </w:pPr>
      <w:r>
        <w:rPr>
          <w:sz w:val="21"/>
        </w:rPr>
        <w:t xml:space="preserve">  Mr. Lalit Suthar, Whole Time Director</w:t>
      </w:r>
    </w:p>
    <w:p>
      <w:pPr>
        <w:pStyle w:val="ListBullet"/>
        <w:jc w:val="both"/>
      </w:pPr>
      <w:r>
        <w:rPr>
          <w:sz w:val="21"/>
        </w:rPr>
        <w:t xml:space="preserve">  Ms. Kalpana Joshi, Chief Financial Officer</w:t>
      </w:r>
    </w:p>
    <w:p>
      <w:pPr>
        <w:pStyle w:val="ListBullet"/>
        <w:jc w:val="both"/>
      </w:pPr>
      <w:r>
        <w:rPr>
          <w:sz w:val="21"/>
        </w:rPr>
        <w:t xml:space="preserve">  Mr. Sunil Khalate, CFO</w:t>
      </w:r>
    </w:p>
    <w:p>
      <w:pPr>
        <w:pStyle w:val="ListBullet"/>
        <w:jc w:val="both"/>
      </w:pPr>
      <w:r>
        <w:rPr>
          <w:sz w:val="21"/>
        </w:rPr>
        <w:t xml:space="preserve">  Mr. Narayan Uttam Samantra, Independent Director</w:t>
      </w:r>
    </w:p>
    <w:p>
      <w:pPr>
        <w:pStyle w:val="ListBullet"/>
        <w:jc w:val="both"/>
      </w:pPr>
      <w:r>
        <w:rPr>
          <w:sz w:val="21"/>
        </w:rPr>
        <w:t xml:space="preserve">  Mr. Bhavesh Jain, Independent Director</w:t>
      </w:r>
    </w:p>
    <w:p>
      <w:pPr>
        <w:pStyle w:val="ListBullet"/>
        <w:jc w:val="both"/>
      </w:pPr>
      <w:r>
        <w:rPr>
          <w:sz w:val="21"/>
        </w:rPr>
        <w:t xml:space="preserve">  Ms. Palak Jain, Independent Director</w:t>
      </w:r>
    </w:p>
    <w:p>
      <w:pPr>
        <w:pStyle w:val="ListBullet"/>
        <w:jc w:val="both"/>
      </w:pPr>
      <w:r>
        <w:rPr>
          <w:sz w:val="21"/>
        </w:rPr>
        <w:t xml:space="preserve">  Mr. Abhishek Bansal, Independent Director</w:t>
      </w:r>
    </w:p>
    <w:p>
      <w:pPr>
        <w:pStyle w:val="ListBullet"/>
        <w:jc w:val="both"/>
      </w:pPr>
      <w:r>
        <w:rPr>
          <w:sz w:val="21"/>
        </w:rPr>
        <w:t xml:space="preserve">  Mr. Roxy Rajendra Teniwal, Independent Director</w:t>
      </w:r>
    </w:p>
    <w:p>
      <w:pPr>
        <w:pStyle w:val="ListBullet"/>
        <w:jc w:val="both"/>
      </w:pPr>
      <w:r>
        <w:rPr>
          <w:sz w:val="21"/>
        </w:rPr>
        <w:t xml:space="preserve">  Ms. Honey Bansal, Company Secretary</w:t>
      </w:r>
    </w:p>
    <w:p>
      <w:pPr>
        <w:pStyle w:val="ListBullet"/>
        <w:jc w:val="both"/>
      </w:pPr>
      <w:r>
        <w:rPr>
          <w:sz w:val="21"/>
        </w:rPr>
        <w:t xml:space="preserve">  Ms. Sejal Solanki, Company Secretary</w:t>
      </w:r>
    </w:p>
    <w:p>
      <w:pPr>
        <w:pStyle w:val="ListBullet"/>
        <w:jc w:val="both"/>
      </w:pPr>
      <w:r>
        <w:rPr>
          <w:sz w:val="21"/>
        </w:rPr>
        <w:t xml:space="preserve">  Ms. Komal Birla, Company Secretary</w:t>
      </w:r>
    </w:p>
    <w:p/>
    <w:p>
      <w:r>
        <w:rPr>
          <w:b/>
          <w:color w:val="003366"/>
          <w:sz w:val="24"/>
        </w:rPr>
        <w:t>4. Ownership Structure</w:t>
      </w:r>
    </w:p>
    <w:p/>
    <w:p>
      <w:pPr>
        <w:spacing w:after="80"/>
        <w:jc w:val="both"/>
      </w:pPr>
      <w:r>
        <w:rPr>
          <w:sz w:val="21"/>
        </w:rPr>
        <w:t>As per the available data, the shareholding pattern of DURLAX TOP SURFACE LIMITED is as follows:</w:t>
      </w:r>
    </w:p>
    <w:p>
      <w:pPr>
        <w:pStyle w:val="ListBullet"/>
        <w:jc w:val="both"/>
      </w:pPr>
      <w:r>
        <w:rPr>
          <w:sz w:val="21"/>
        </w:rPr>
        <w:t xml:space="preserve">  Promoter holding: 0.0%</w:t>
      </w:r>
    </w:p>
    <w:p>
      <w:pPr>
        <w:pStyle w:val="ListBullet"/>
        <w:jc w:val="both"/>
      </w:pPr>
      <w:r>
        <w:rPr>
          <w:sz w:val="21"/>
        </w:rPr>
        <w:t xml:space="preserve">  Public Institutional holding: 0.0%</w:t>
      </w:r>
    </w:p>
    <w:p>
      <w:pPr>
        <w:pStyle w:val="ListBullet"/>
        <w:jc w:val="both"/>
      </w:pPr>
      <w:r>
        <w:rPr>
          <w:sz w:val="21"/>
        </w:rPr>
        <w:t xml:space="preserve">  Public Non-Institutional holding: 60.35%</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pPr>
        <w:spacing w:after="80"/>
        <w:jc w:val="both"/>
      </w:pPr>
      <w:r>
        <w:rPr>
          <w:sz w:val="21"/>
        </w:rPr>
        <w:t>This section provides a detailed analysis of DURLAX TOP SURFACE LIMITED's financial performance and position across the available fiscal years, FY2024 and FY2025.</w:t>
      </w:r>
    </w:p>
    <w:p/>
    <w:p>
      <w:r>
        <w:rPr>
          <w:b/>
          <w:color w:val="003366"/>
          <w:sz w:val="22"/>
        </w:rPr>
        <w:t>2.1. Revenue &amp; Profitability</w:t>
      </w:r>
    </w:p>
    <w:p/>
    <w:p>
      <w:pPr>
        <w:spacing w:after="80"/>
        <w:jc w:val="both"/>
      </w:pPr>
      <w:r>
        <w:rPr>
          <w:sz w:val="21"/>
        </w:rPr>
        <w:t>DURLAX TOP SURFACE LIMITED demonstrated robust revenue growth from FY2024 to FY2025, alongside improvements in overall profitability.</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003366"/>
          </w:tcPr>
          <w:p>
            <w:r>
              <w:rPr>
                <w:b/>
                <w:color w:val="FFFFFF"/>
                <w:sz w:val="19"/>
              </w:rPr>
              <w:t>Metric</w:t>
            </w:r>
          </w:p>
        </w:tc>
        <w:tc>
          <w:tcPr>
            <w:tcW w:type="dxa" w:w="2280"/>
            <w:shd w:val="clear" w:color="auto" w:fill="003366"/>
          </w:tcPr>
          <w:p>
            <w:r>
              <w:rPr>
                <w:b/>
                <w:color w:val="FFFFFF"/>
                <w:sz w:val="19"/>
              </w:rPr>
              <w:t>FY2024</w:t>
            </w:r>
          </w:p>
        </w:tc>
        <w:tc>
          <w:tcPr>
            <w:tcW w:type="dxa" w:w="2280"/>
            <w:shd w:val="clear" w:color="auto" w:fill="003366"/>
          </w:tcPr>
          <w:p>
            <w:r>
              <w:rPr>
                <w:b/>
                <w:color w:val="FFFFFF"/>
                <w:sz w:val="19"/>
              </w:rPr>
              <w:t>FY2025</w:t>
            </w:r>
          </w:p>
        </w:tc>
        <w:tc>
          <w:tcPr>
            <w:tcW w:type="dxa" w:w="2280"/>
            <w:shd w:val="clear" w:color="auto" w:fill="003366"/>
          </w:tcPr>
          <w:p>
            <w:r>
              <w:rPr>
                <w:b/>
                <w:color w:val="FFFFFF"/>
                <w:sz w:val="19"/>
              </w:rPr>
              <w:t>Trend</w:t>
            </w:r>
          </w:p>
        </w:tc>
      </w:tr>
      <w:tr>
        <w:tc>
          <w:tcPr>
            <w:tcW w:type="dxa" w:w="2280"/>
          </w:tcPr>
          <w:p>
            <w:r>
              <w:rPr>
                <w:color w:val="000000"/>
                <w:sz w:val="19"/>
              </w:rPr>
              <w:t>Revenue</w:t>
            </w:r>
          </w:p>
        </w:tc>
        <w:tc>
          <w:tcPr>
            <w:tcW w:type="dxa" w:w="2280"/>
          </w:tcPr>
          <w:p>
            <w:r>
              <w:rPr>
                <w:color w:val="000000"/>
                <w:sz w:val="19"/>
              </w:rPr>
              <w:t>₹9076.42 Lakhs</w:t>
            </w:r>
          </w:p>
        </w:tc>
        <w:tc>
          <w:tcPr>
            <w:tcW w:type="dxa" w:w="2280"/>
          </w:tcPr>
          <w:p>
            <w:r>
              <w:rPr>
                <w:color w:val="000000"/>
                <w:sz w:val="19"/>
              </w:rPr>
              <w:t>₹12265.25 Lakhs</w:t>
            </w:r>
          </w:p>
        </w:tc>
        <w:tc>
          <w:tcPr>
            <w:tcW w:type="dxa" w:w="2280"/>
          </w:tcPr>
          <w:p>
            <w:r>
              <w:rPr>
                <w:color w:val="000000"/>
                <w:sz w:val="19"/>
              </w:rPr>
              <w:t>Improvement</w:t>
            </w:r>
          </w:p>
        </w:tc>
      </w:tr>
      <w:tr>
        <w:tc>
          <w:tcPr>
            <w:tcW w:type="dxa" w:w="2280"/>
            <w:shd w:val="clear" w:color="auto" w:fill="EAF0F8"/>
          </w:tcPr>
          <w:p>
            <w:r>
              <w:rPr>
                <w:color w:val="000000"/>
                <w:sz w:val="19"/>
              </w:rPr>
              <w:t>EBITDA</w:t>
            </w:r>
          </w:p>
        </w:tc>
        <w:tc>
          <w:tcPr>
            <w:tcW w:type="dxa" w:w="2280"/>
            <w:shd w:val="clear" w:color="auto" w:fill="EAF0F8"/>
          </w:tcPr>
          <w:p>
            <w:r>
              <w:rPr>
                <w:color w:val="000000"/>
                <w:sz w:val="19"/>
              </w:rPr>
              <w:t>₹1104.00 Lakhs</w:t>
            </w:r>
          </w:p>
        </w:tc>
        <w:tc>
          <w:tcPr>
            <w:tcW w:type="dxa" w:w="2280"/>
            <w:shd w:val="clear" w:color="auto" w:fill="EAF0F8"/>
          </w:tcPr>
          <w:p>
            <w:r>
              <w:rPr>
                <w:color w:val="000000"/>
                <w:sz w:val="19"/>
              </w:rPr>
              <w:t>₹1400.00 Lakhs</w:t>
            </w:r>
          </w:p>
        </w:tc>
        <w:tc>
          <w:tcPr>
            <w:tcW w:type="dxa" w:w="2280"/>
            <w:shd w:val="clear" w:color="auto" w:fill="EAF0F8"/>
          </w:tcPr>
          <w:p>
            <w:r>
              <w:rPr>
                <w:color w:val="000000"/>
                <w:sz w:val="19"/>
              </w:rPr>
              <w:t>Improvement</w:t>
            </w:r>
          </w:p>
        </w:tc>
      </w:tr>
      <w:tr>
        <w:tc>
          <w:tcPr>
            <w:tcW w:type="dxa" w:w="2280"/>
          </w:tcPr>
          <w:p>
            <w:r>
              <w:rPr>
                <w:color w:val="000000"/>
                <w:sz w:val="19"/>
              </w:rPr>
              <w:t>PAT</w:t>
            </w:r>
          </w:p>
        </w:tc>
        <w:tc>
          <w:tcPr>
            <w:tcW w:type="dxa" w:w="2280"/>
          </w:tcPr>
          <w:p>
            <w:r>
              <w:rPr>
                <w:color w:val="000000"/>
                <w:sz w:val="19"/>
              </w:rPr>
              <w:t>₹399.34 Lakhs</w:t>
            </w:r>
          </w:p>
        </w:tc>
        <w:tc>
          <w:tcPr>
            <w:tcW w:type="dxa" w:w="2280"/>
          </w:tcPr>
          <w:p>
            <w:r>
              <w:rPr>
                <w:color w:val="000000"/>
                <w:sz w:val="19"/>
              </w:rPr>
              <w:t>₹749.66 Lakhs</w:t>
            </w:r>
          </w:p>
        </w:tc>
        <w:tc>
          <w:tcPr>
            <w:tcW w:type="dxa" w:w="2280"/>
          </w:tcPr>
          <w:p>
            <w:r>
              <w:rPr>
                <w:color w:val="000000"/>
                <w:sz w:val="19"/>
              </w:rPr>
              <w:t>Improvement</w:t>
            </w:r>
          </w:p>
        </w:tc>
      </w:tr>
    </w:tbl>
    <w:p/>
    <w:p/>
    <w:p>
      <w:pPr>
        <w:spacing w:after="80"/>
        <w:jc w:val="both"/>
      </w:pPr>
      <w:r>
        <w:rPr>
          <w:sz w:val="21"/>
        </w:rPr>
        <w:t>The company experienced a significant increase in revenue, growing from ₹9076.42 Lakhs in FY2024 to ₹12265.25 Lakhs in FY2025, indicating strong operational performance and market penetration. This top-line growth translated into improved absolute profitability, with EBITDA increasing from ₹1104.00 Lakhs to ₹1400.00 Lakhs and Profit After Tax (PAT) nearly doubling from ₹399.34 Lakhs to ₹749.66 Lakhs over the same period.</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003366"/>
          </w:tcPr>
          <w:p>
            <w:r>
              <w:rPr>
                <w:b/>
                <w:color w:val="FFFFFF"/>
                <w:sz w:val="19"/>
              </w:rPr>
              <w:t>Margin Metric</w:t>
            </w:r>
          </w:p>
        </w:tc>
        <w:tc>
          <w:tcPr>
            <w:tcW w:type="dxa" w:w="2280"/>
            <w:shd w:val="clear" w:color="auto" w:fill="003366"/>
          </w:tcPr>
          <w:p>
            <w:r>
              <w:rPr>
                <w:b/>
                <w:color w:val="FFFFFF"/>
                <w:sz w:val="19"/>
              </w:rPr>
              <w:t>FY2024</w:t>
            </w:r>
          </w:p>
        </w:tc>
        <w:tc>
          <w:tcPr>
            <w:tcW w:type="dxa" w:w="2280"/>
            <w:shd w:val="clear" w:color="auto" w:fill="003366"/>
          </w:tcPr>
          <w:p>
            <w:r>
              <w:rPr>
                <w:b/>
                <w:color w:val="FFFFFF"/>
                <w:sz w:val="19"/>
              </w:rPr>
              <w:t>FY2025</w:t>
            </w:r>
          </w:p>
        </w:tc>
        <w:tc>
          <w:tcPr>
            <w:tcW w:type="dxa" w:w="2280"/>
            <w:shd w:val="clear" w:color="auto" w:fill="003366"/>
          </w:tcPr>
          <w:p>
            <w:r>
              <w:rPr>
                <w:b/>
                <w:color w:val="FFFFFF"/>
                <w:sz w:val="19"/>
              </w:rPr>
              <w:t>Trend</w:t>
            </w:r>
          </w:p>
        </w:tc>
      </w:tr>
      <w:tr>
        <w:tc>
          <w:tcPr>
            <w:tcW w:type="dxa" w:w="2280"/>
          </w:tcPr>
          <w:p>
            <w:r>
              <w:rPr>
                <w:color w:val="000000"/>
                <w:sz w:val="19"/>
              </w:rPr>
              <w:t>EBITDA Margin</w:t>
            </w:r>
          </w:p>
        </w:tc>
        <w:tc>
          <w:tcPr>
            <w:tcW w:type="dxa" w:w="2280"/>
          </w:tcPr>
          <w:p>
            <w:r>
              <w:rPr>
                <w:color w:val="000000"/>
                <w:sz w:val="19"/>
              </w:rPr>
              <w:t>0.12</w:t>
            </w:r>
          </w:p>
        </w:tc>
        <w:tc>
          <w:tcPr>
            <w:tcW w:type="dxa" w:w="2280"/>
          </w:tcPr>
          <w:p>
            <w:r>
              <w:rPr>
                <w:color w:val="000000"/>
                <w:sz w:val="19"/>
              </w:rPr>
              <w:t>0.11</w:t>
            </w:r>
          </w:p>
        </w:tc>
        <w:tc>
          <w:tcPr>
            <w:tcW w:type="dxa" w:w="2280"/>
          </w:tcPr>
          <w:p>
            <w:r>
              <w:rPr>
                <w:color w:val="000000"/>
                <w:sz w:val="19"/>
              </w:rPr>
              <w:t>Deterioration</w:t>
            </w:r>
          </w:p>
        </w:tc>
      </w:tr>
      <w:tr>
        <w:tc>
          <w:tcPr>
            <w:tcW w:type="dxa" w:w="2280"/>
            <w:shd w:val="clear" w:color="auto" w:fill="EAF0F8"/>
          </w:tcPr>
          <w:p>
            <w:r>
              <w:rPr>
                <w:color w:val="000000"/>
                <w:sz w:val="19"/>
              </w:rPr>
              <w:t>PAT Margin</w:t>
            </w:r>
          </w:p>
        </w:tc>
        <w:tc>
          <w:tcPr>
            <w:tcW w:type="dxa" w:w="2280"/>
            <w:shd w:val="clear" w:color="auto" w:fill="EAF0F8"/>
          </w:tcPr>
          <w:p>
            <w:r>
              <w:rPr>
                <w:color w:val="000000"/>
                <w:sz w:val="19"/>
              </w:rPr>
              <w:t>0.04</w:t>
            </w:r>
          </w:p>
        </w:tc>
        <w:tc>
          <w:tcPr>
            <w:tcW w:type="dxa" w:w="2280"/>
            <w:shd w:val="clear" w:color="auto" w:fill="EAF0F8"/>
          </w:tcPr>
          <w:p>
            <w:r>
              <w:rPr>
                <w:color w:val="000000"/>
                <w:sz w:val="19"/>
              </w:rPr>
              <w:t>0.06</w:t>
            </w:r>
          </w:p>
        </w:tc>
        <w:tc>
          <w:tcPr>
            <w:tcW w:type="dxa" w:w="2280"/>
            <w:shd w:val="clear" w:color="auto" w:fill="EAF0F8"/>
          </w:tcPr>
          <w:p>
            <w:r>
              <w:rPr>
                <w:color w:val="000000"/>
                <w:sz w:val="19"/>
              </w:rPr>
              <w:t>Improvement</w:t>
            </w:r>
          </w:p>
        </w:tc>
      </w:tr>
    </w:tbl>
    <w:p/>
    <w:p/>
    <w:p>
      <w:pPr>
        <w:spacing w:after="80"/>
        <w:jc w:val="both"/>
      </w:pPr>
      <w:r>
        <w:rPr>
          <w:sz w:val="21"/>
        </w:rPr>
        <w:t>While the EBITDA margin slightly deteriorated from 0.12 in FY2024 to 0.11 in FY2025, suggesting a marginal increase in operational costs relative to revenue, the PAT margin improved from 0.04 to 0.06. This indicates better control over non-operating expenses or a lower effective tax rate in FY2025, leading to enhanced bottom-line efficiency despite the slight dip in operational margin.</w:t>
      </w:r>
    </w:p>
    <w:p/>
    <w:p>
      <w:r>
        <w:rPr>
          <w:b/>
          <w:color w:val="003366"/>
          <w:sz w:val="22"/>
        </w:rPr>
        <w:t>2.2. Balance Sheet Analysis</w:t>
      </w:r>
    </w:p>
    <w:p/>
    <w:p>
      <w:pPr>
        <w:spacing w:after="80"/>
        <w:jc w:val="both"/>
      </w:pPr>
      <w:r>
        <w:rPr>
          <w:sz w:val="21"/>
        </w:rPr>
        <w:t>The company's balance sheet reflects a strengthening financial position, primarily driven by a substantial increase in equity and a reduction in borrowings.</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003366"/>
          </w:tcPr>
          <w:p>
            <w:r>
              <w:rPr>
                <w:b/>
                <w:color w:val="FFFFFF"/>
                <w:sz w:val="19"/>
              </w:rPr>
              <w:t>Metric</w:t>
            </w:r>
          </w:p>
        </w:tc>
        <w:tc>
          <w:tcPr>
            <w:tcW w:type="dxa" w:w="2280"/>
            <w:shd w:val="clear" w:color="auto" w:fill="003366"/>
          </w:tcPr>
          <w:p>
            <w:r>
              <w:rPr>
                <w:b/>
                <w:color w:val="FFFFFF"/>
                <w:sz w:val="19"/>
              </w:rPr>
              <w:t>FY2024</w:t>
            </w:r>
          </w:p>
        </w:tc>
        <w:tc>
          <w:tcPr>
            <w:tcW w:type="dxa" w:w="2280"/>
            <w:shd w:val="clear" w:color="auto" w:fill="003366"/>
          </w:tcPr>
          <w:p>
            <w:r>
              <w:rPr>
                <w:b/>
                <w:color w:val="FFFFFF"/>
                <w:sz w:val="19"/>
              </w:rPr>
              <w:t>FY2025</w:t>
            </w:r>
          </w:p>
        </w:tc>
        <w:tc>
          <w:tcPr>
            <w:tcW w:type="dxa" w:w="2280"/>
            <w:shd w:val="clear" w:color="auto" w:fill="003366"/>
          </w:tcPr>
          <w:p>
            <w:r>
              <w:rPr>
                <w:b/>
                <w:color w:val="FFFFFF"/>
                <w:sz w:val="19"/>
              </w:rPr>
              <w:t>Trend</w:t>
            </w:r>
          </w:p>
        </w:tc>
      </w:tr>
      <w:tr>
        <w:tc>
          <w:tcPr>
            <w:tcW w:type="dxa" w:w="2280"/>
          </w:tcPr>
          <w:p>
            <w:r>
              <w:rPr>
                <w:color w:val="000000"/>
                <w:sz w:val="19"/>
              </w:rPr>
              <w:t>Total Assets</w:t>
            </w:r>
          </w:p>
        </w:tc>
        <w:tc>
          <w:tcPr>
            <w:tcW w:type="dxa" w:w="2280"/>
          </w:tcPr>
          <w:p>
            <w:r>
              <w:rPr>
                <w:color w:val="000000"/>
                <w:sz w:val="19"/>
              </w:rPr>
              <w:t>₹10553.51 Lakhs</w:t>
            </w:r>
          </w:p>
        </w:tc>
        <w:tc>
          <w:tcPr>
            <w:tcW w:type="dxa" w:w="2280"/>
          </w:tcPr>
          <w:p>
            <w:r>
              <w:rPr>
                <w:color w:val="000000"/>
                <w:sz w:val="19"/>
              </w:rPr>
              <w:t>₹11477.93 Lakhs</w:t>
            </w:r>
          </w:p>
        </w:tc>
        <w:tc>
          <w:tcPr>
            <w:tcW w:type="dxa" w:w="2280"/>
          </w:tcPr>
          <w:p>
            <w:r>
              <w:rPr>
                <w:color w:val="000000"/>
                <w:sz w:val="19"/>
              </w:rPr>
              <w:t>Improvement</w:t>
            </w:r>
          </w:p>
        </w:tc>
      </w:tr>
      <w:tr>
        <w:tc>
          <w:tcPr>
            <w:tcW w:type="dxa" w:w="2280"/>
            <w:shd w:val="clear" w:color="auto" w:fill="EAF0F8"/>
          </w:tcPr>
          <w:p>
            <w:r>
              <w:rPr>
                <w:color w:val="000000"/>
                <w:sz w:val="19"/>
              </w:rPr>
              <w:t>Total Equity</w:t>
            </w:r>
          </w:p>
        </w:tc>
        <w:tc>
          <w:tcPr>
            <w:tcW w:type="dxa" w:w="2280"/>
            <w:shd w:val="clear" w:color="auto" w:fill="EAF0F8"/>
          </w:tcPr>
          <w:p>
            <w:r>
              <w:rPr>
                <w:color w:val="000000"/>
                <w:sz w:val="19"/>
              </w:rPr>
              <w:t>₹2162.76 Lakhs</w:t>
            </w:r>
          </w:p>
        </w:tc>
        <w:tc>
          <w:tcPr>
            <w:tcW w:type="dxa" w:w="2280"/>
            <w:shd w:val="clear" w:color="auto" w:fill="EAF0F8"/>
          </w:tcPr>
          <w:p>
            <w:r>
              <w:rPr>
                <w:color w:val="000000"/>
                <w:sz w:val="19"/>
              </w:rPr>
              <w:t>₹5768.42 Lakhs</w:t>
            </w:r>
          </w:p>
        </w:tc>
        <w:tc>
          <w:tcPr>
            <w:tcW w:type="dxa" w:w="2280"/>
            <w:shd w:val="clear" w:color="auto" w:fill="EAF0F8"/>
          </w:tcPr>
          <w:p>
            <w:r>
              <w:rPr>
                <w:color w:val="000000"/>
                <w:sz w:val="19"/>
              </w:rPr>
              <w:t>Improvement</w:t>
            </w:r>
          </w:p>
        </w:tc>
      </w:tr>
      <w:tr>
        <w:tc>
          <w:tcPr>
            <w:tcW w:type="dxa" w:w="2280"/>
          </w:tcPr>
          <w:p>
            <w:r>
              <w:rPr>
                <w:color w:val="000000"/>
                <w:sz w:val="19"/>
              </w:rPr>
              <w:t>Total Borrowings</w:t>
            </w:r>
          </w:p>
        </w:tc>
        <w:tc>
          <w:tcPr>
            <w:tcW w:type="dxa" w:w="2280"/>
          </w:tcPr>
          <w:p>
            <w:r>
              <w:rPr>
                <w:color w:val="000000"/>
                <w:sz w:val="19"/>
              </w:rPr>
              <w:t>₹6070.71 Lakhs</w:t>
            </w:r>
          </w:p>
        </w:tc>
        <w:tc>
          <w:tcPr>
            <w:tcW w:type="dxa" w:w="2280"/>
          </w:tcPr>
          <w:p>
            <w:r>
              <w:rPr>
                <w:color w:val="000000"/>
                <w:sz w:val="19"/>
              </w:rPr>
              <w:t>₹4583.67 Lakhs</w:t>
            </w:r>
          </w:p>
        </w:tc>
        <w:tc>
          <w:tcPr>
            <w:tcW w:type="dxa" w:w="2280"/>
          </w:tcPr>
          <w:p>
            <w:r>
              <w:rPr>
                <w:color w:val="000000"/>
                <w:sz w:val="19"/>
              </w:rPr>
              <w:t>Improvement</w:t>
            </w:r>
          </w:p>
        </w:tc>
      </w:tr>
    </w:tbl>
    <w:p/>
    <w:p/>
    <w:p>
      <w:pPr>
        <w:spacing w:after="80"/>
        <w:jc w:val="both"/>
      </w:pPr>
      <w:r>
        <w:rPr>
          <w:sz w:val="21"/>
        </w:rPr>
        <w:t>Total assets expanded from ₹10553.51 Lakhs in FY2024 to ₹11477.93 Lakhs in FY2025, supporting the increased operational scale. A notable improvement is observed in the capital structure, with total equity more than doubling from ₹2162.76 Lakhs to ₹5768.42 Lakhs. This significant increase in equity, potentially through capital infusion or strong retained earnings, has enabled a substantial reduction in total borrowings from ₹6070.71 Lakhs in FY2024 to ₹4583.67 Lakhs in FY2025. This deleveraging is a positive development, enhancing the company's financial stability and reducing its reliance on external debt.</w:t>
      </w:r>
    </w:p>
    <w:p/>
    <w:p>
      <w:r>
        <w:rPr>
          <w:b/>
          <w:color w:val="003366"/>
          <w:sz w:val="22"/>
        </w:rPr>
        <w:t>2.3. Key Financial Ratios</w:t>
      </w:r>
    </w:p>
    <w:p/>
    <w:p>
      <w:pPr>
        <w:spacing w:after="80"/>
        <w:jc w:val="both"/>
      </w:pPr>
      <w:r>
        <w:rPr>
          <w:sz w:val="21"/>
        </w:rPr>
        <w:t>An analysis of key financial ratios reveals improvements in liquidity and leverage, though debt servicing capacity remains a point of concern.</w:t>
      </w:r>
    </w:p>
    <w:p/>
    <w:p>
      <w:pPr>
        <w:spacing w:after="80"/>
        <w:jc w:val="both"/>
      </w:pPr>
      <w:r>
        <w:rPr>
          <w:sz w:val="21"/>
        </w:rPr>
        <w:t>| Ratio               | FY2024 | FY2025 | Trend      | Commentary</w:t>
      </w:r>
    </w:p>
    <w:p/>
    <w:p>
      <w:pPr>
        <w:pStyle w:val="Heading1"/>
        <w:spacing w:before="320" w:after="160"/>
      </w:pPr>
      <w:r>
        <w:rPr>
          <w:b/>
          <w:color w:val="003366"/>
          <w:sz w:val="26"/>
        </w:rPr>
        <w:t>SECTION 3 — EXISTING DEBT &amp; CREDIT PROFILE</w:t>
      </w:r>
    </w:p>
    <w:p>
      <w:pPr>
        <w:pBdr>
          <w:bottom w:val="single" w:sz="6" w:space="1" w:color="003366"/>
        </w:pBdr>
      </w:pPr>
    </w:p>
    <w:p>
      <w:pPr>
        <w:spacing w:after="80"/>
        <w:jc w:val="both"/>
      </w:pPr>
      <w:r>
        <w:rPr>
          <w:sz w:val="21"/>
        </w:rPr>
        <w:t>Section 3 — Existing Debt &amp; Credit Profile</w:t>
      </w:r>
    </w:p>
    <w:p/>
    <w:p>
      <w:r>
        <w:rPr>
          <w:b/>
          <w:color w:val="003366"/>
          <w:sz w:val="24"/>
        </w:rPr>
        <w:t>3.1 Existing Debt Instruments &amp; 3.2 Debt Terms &amp; Structure</w:t>
      </w:r>
    </w:p>
    <w:p/>
    <w:p>
      <w:pPr>
        <w:spacing w:after="80"/>
        <w:jc w:val="both"/>
      </w:pPr>
      <w:r>
        <w:rPr>
          <w:sz w:val="21"/>
        </w:rPr>
        <w:t>DURLAX TOP SURFACE LIMITED maintains a diversified debt portfolio comprising term loans, unsecured loans, working capital facilities, and non-fund-based limits. As of FY2025, the Company's total borrowings stood at INR 4583.67 Lakhs. The key existing debt instruments and their associated terms are detailed below:</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Machinery Term Loan</w:t>
            </w:r>
          </w:p>
        </w:tc>
        <w:tc>
          <w:tcPr>
            <w:tcW w:type="dxa" w:w="1520"/>
          </w:tcPr>
          <w:p>
            <w:r>
              <w:rPr>
                <w:color w:val="000000"/>
                <w:sz w:val="19"/>
              </w:rPr>
              <w:t>Mahindra &amp; Mahindra Financial Services Limited</w:t>
            </w:r>
          </w:p>
        </w:tc>
        <w:tc>
          <w:tcPr>
            <w:tcW w:type="dxa" w:w="1520"/>
          </w:tcPr>
          <w:p>
            <w:r>
              <w:rPr>
                <w:color w:val="000000"/>
                <w:sz w:val="19"/>
              </w:rPr>
              <w:t>machinery term loan facility</w:t>
            </w:r>
          </w:p>
        </w:tc>
        <w:tc>
          <w:tcPr>
            <w:tcW w:type="dxa" w:w="1520"/>
          </w:tcPr>
          <w:p>
            <w:r>
              <w:rPr>
                <w:color w:val="000000"/>
                <w:sz w:val="19"/>
              </w:rPr>
              <w:t>9.50%</w:t>
            </w:r>
          </w:p>
        </w:tc>
        <w:tc>
          <w:tcPr>
            <w:tcW w:type="dxa" w:w="1520"/>
          </w:tcPr>
          <w:p>
            <w:r>
              <w:rPr>
                <w:color w:val="000000"/>
                <w:sz w:val="19"/>
              </w:rPr>
            </w:r>
          </w:p>
        </w:tc>
        <w:tc>
          <w:tcPr>
            <w:tcW w:type="dxa" w:w="1520"/>
          </w:tcPr>
          <w:p>
            <w:r>
              <w:rPr>
                <w:color w:val="000000"/>
                <w:sz w:val="19"/>
              </w:rPr>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Tata Capital</w:t>
            </w:r>
          </w:p>
        </w:tc>
        <w:tc>
          <w:tcPr>
            <w:tcW w:type="dxa" w:w="1520"/>
            <w:shd w:val="clear" w:color="auto" w:fill="EAF0F8"/>
          </w:tcPr>
          <w:p>
            <w:r>
              <w:rPr>
                <w:color w:val="000000"/>
                <w:sz w:val="19"/>
              </w:rPr>
              <w:t>term loan facility</w:t>
            </w:r>
          </w:p>
        </w:tc>
        <w:tc>
          <w:tcPr>
            <w:tcW w:type="dxa" w:w="1520"/>
            <w:shd w:val="clear" w:color="auto" w:fill="EAF0F8"/>
          </w:tcPr>
          <w:p>
            <w:r>
              <w:rPr>
                <w:color w:val="000000"/>
                <w:sz w:val="19"/>
              </w:rPr>
              <w:t>11.75%</w:t>
            </w:r>
          </w:p>
        </w:tc>
        <w:tc>
          <w:tcPr>
            <w:tcW w:type="dxa" w:w="1520"/>
            <w:shd w:val="clear" w:color="auto" w:fill="EAF0F8"/>
          </w:tcPr>
          <w:p>
            <w:r>
              <w:rPr>
                <w:color w:val="000000"/>
                <w:sz w:val="19"/>
              </w:rPr>
            </w:r>
          </w:p>
        </w:tc>
        <w:tc>
          <w:tcPr>
            <w:tcW w:type="dxa" w:w="1520"/>
            <w:shd w:val="clear" w:color="auto" w:fill="EAF0F8"/>
          </w:tcPr>
          <w:p>
            <w:r>
              <w:rPr>
                <w:color w:val="000000"/>
                <w:sz w:val="19"/>
              </w:rPr>
            </w:r>
          </w:p>
        </w:tc>
      </w:tr>
      <w:tr>
        <w:tc>
          <w:tcPr>
            <w:tcW w:type="dxa" w:w="1520"/>
          </w:tcPr>
          <w:p>
            <w:r>
              <w:rPr>
                <w:color w:val="000000"/>
                <w:sz w:val="19"/>
              </w:rPr>
              <w:t>Unsecured Loan</w:t>
            </w:r>
          </w:p>
        </w:tc>
        <w:tc>
          <w:tcPr>
            <w:tcW w:type="dxa" w:w="1520"/>
          </w:tcPr>
          <w:p>
            <w:r>
              <w:rPr>
                <w:color w:val="000000"/>
                <w:sz w:val="19"/>
              </w:rPr>
              <w:t>Shravan Suthar (Director)</w:t>
            </w:r>
          </w:p>
        </w:tc>
        <w:tc>
          <w:tcPr>
            <w:tcW w:type="dxa" w:w="1520"/>
          </w:tcPr>
          <w:p>
            <w:r>
              <w:rPr>
                <w:color w:val="000000"/>
                <w:sz w:val="19"/>
              </w:rPr>
            </w:r>
          </w:p>
        </w:tc>
        <w:tc>
          <w:tcPr>
            <w:tcW w:type="dxa" w:w="1520"/>
          </w:tcPr>
          <w:p>
            <w:r>
              <w:rPr>
                <w:color w:val="000000"/>
                <w:sz w:val="19"/>
              </w:rPr>
              <w:t>0.00%</w:t>
            </w:r>
          </w:p>
        </w:tc>
        <w:tc>
          <w:tcPr>
            <w:tcW w:type="dxa" w:w="1520"/>
          </w:tcPr>
          <w:p>
            <w:r>
              <w:rPr>
                <w:color w:val="000000"/>
                <w:sz w:val="19"/>
              </w:rPr>
              <w:t>INR 59.37 Lakhs</w:t>
            </w:r>
          </w:p>
        </w:tc>
        <w:tc>
          <w:tcPr>
            <w:tcW w:type="dxa" w:w="1520"/>
          </w:tcPr>
          <w:p>
            <w:r>
              <w:rPr>
                <w:color w:val="000000"/>
                <w:sz w:val="19"/>
              </w:rPr>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Lalit Suthar (Director)</w:t>
            </w:r>
          </w:p>
        </w:tc>
        <w:tc>
          <w:tcPr>
            <w:tcW w:type="dxa" w:w="1520"/>
            <w:shd w:val="clear" w:color="auto" w:fill="EAF0F8"/>
          </w:tcPr>
          <w:p>
            <w:r>
              <w:rPr>
                <w:color w:val="000000"/>
                <w:sz w:val="19"/>
              </w:rPr>
            </w:r>
          </w:p>
        </w:tc>
        <w:tc>
          <w:tcPr>
            <w:tcW w:type="dxa" w:w="1520"/>
            <w:shd w:val="clear" w:color="auto" w:fill="EAF0F8"/>
          </w:tcPr>
          <w:p>
            <w:r>
              <w:rPr>
                <w:color w:val="000000"/>
                <w:sz w:val="19"/>
              </w:rPr>
              <w:t>0.00%</w:t>
            </w:r>
          </w:p>
        </w:tc>
        <w:tc>
          <w:tcPr>
            <w:tcW w:type="dxa" w:w="1520"/>
            <w:shd w:val="clear" w:color="auto" w:fill="EAF0F8"/>
          </w:tcPr>
          <w:p>
            <w:r>
              <w:rPr>
                <w:color w:val="000000"/>
                <w:sz w:val="19"/>
              </w:rPr>
              <w:t>INR 31.00 Lakhs</w:t>
            </w:r>
          </w:p>
        </w:tc>
        <w:tc>
          <w:tcPr>
            <w:tcW w:type="dxa" w:w="1520"/>
            <w:shd w:val="clear" w:color="auto" w:fill="EAF0F8"/>
          </w:tcPr>
          <w:p>
            <w:r>
              <w:rPr>
                <w:color w:val="000000"/>
                <w:sz w:val="19"/>
              </w:rPr>
            </w:r>
          </w:p>
        </w:tc>
      </w:tr>
      <w:tr>
        <w:tc>
          <w:tcPr>
            <w:tcW w:type="dxa" w:w="1520"/>
          </w:tcPr>
          <w:p>
            <w:r>
              <w:rPr>
                <w:color w:val="000000"/>
                <w:sz w:val="19"/>
              </w:rPr>
              <w:t>Unsecured Loan</w:t>
            </w:r>
          </w:p>
        </w:tc>
        <w:tc>
          <w:tcPr>
            <w:tcW w:type="dxa" w:w="1520"/>
          </w:tcPr>
          <w:p>
            <w:r>
              <w:rPr>
                <w:color w:val="000000"/>
                <w:sz w:val="19"/>
              </w:rPr>
              <w:t>Laxmichand Suthar (Director's Relative)</w:t>
            </w:r>
          </w:p>
        </w:tc>
        <w:tc>
          <w:tcPr>
            <w:tcW w:type="dxa" w:w="1520"/>
          </w:tcPr>
          <w:p>
            <w:r>
              <w:rPr>
                <w:color w:val="000000"/>
                <w:sz w:val="19"/>
              </w:rPr>
            </w:r>
          </w:p>
        </w:tc>
        <w:tc>
          <w:tcPr>
            <w:tcW w:type="dxa" w:w="1520"/>
          </w:tcPr>
          <w:p>
            <w:r>
              <w:rPr>
                <w:color w:val="000000"/>
                <w:sz w:val="19"/>
              </w:rPr>
              <w:t>0.00%</w:t>
            </w:r>
          </w:p>
        </w:tc>
        <w:tc>
          <w:tcPr>
            <w:tcW w:type="dxa" w:w="1520"/>
          </w:tcPr>
          <w:p>
            <w:r>
              <w:rPr>
                <w:color w:val="000000"/>
                <w:sz w:val="19"/>
              </w:rPr>
              <w:t>INR 191.35 Lakhs</w:t>
            </w:r>
          </w:p>
        </w:tc>
        <w:tc>
          <w:tcPr>
            <w:tcW w:type="dxa" w:w="1520"/>
          </w:tcPr>
          <w:p>
            <w:r>
              <w:rPr>
                <w:color w:val="000000"/>
                <w:sz w:val="19"/>
              </w:rPr>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Laxmichand Suthar HUF (Director's Relative)</w:t>
            </w:r>
          </w:p>
        </w:tc>
        <w:tc>
          <w:tcPr>
            <w:tcW w:type="dxa" w:w="1520"/>
            <w:shd w:val="clear" w:color="auto" w:fill="EAF0F8"/>
          </w:tcPr>
          <w:p>
            <w:r>
              <w:rPr>
                <w:color w:val="000000"/>
                <w:sz w:val="19"/>
              </w:rPr>
            </w:r>
          </w:p>
        </w:tc>
        <w:tc>
          <w:tcPr>
            <w:tcW w:type="dxa" w:w="1520"/>
            <w:shd w:val="clear" w:color="auto" w:fill="EAF0F8"/>
          </w:tcPr>
          <w:p>
            <w:r>
              <w:rPr>
                <w:color w:val="000000"/>
                <w:sz w:val="19"/>
              </w:rPr>
              <w:t>0.00%</w:t>
            </w:r>
          </w:p>
        </w:tc>
        <w:tc>
          <w:tcPr>
            <w:tcW w:type="dxa" w:w="1520"/>
            <w:shd w:val="clear" w:color="auto" w:fill="EAF0F8"/>
          </w:tcPr>
          <w:p>
            <w:r>
              <w:rPr>
                <w:color w:val="000000"/>
                <w:sz w:val="19"/>
              </w:rPr>
              <w:t>INR 32.52 Lakhs</w:t>
            </w:r>
          </w:p>
        </w:tc>
        <w:tc>
          <w:tcPr>
            <w:tcW w:type="dxa" w:w="1520"/>
            <w:shd w:val="clear" w:color="auto" w:fill="EAF0F8"/>
          </w:tcPr>
          <w:p>
            <w:r>
              <w:rPr>
                <w:color w:val="000000"/>
                <w:sz w:val="19"/>
              </w:rPr>
            </w:r>
          </w:p>
        </w:tc>
      </w:tr>
      <w:tr>
        <w:tc>
          <w:tcPr>
            <w:tcW w:type="dxa" w:w="1520"/>
          </w:tcPr>
          <w:p>
            <w:r>
              <w:rPr>
                <w:color w:val="000000"/>
                <w:sz w:val="19"/>
              </w:rPr>
              <w:t>Business Unsecured Loan</w:t>
            </w:r>
          </w:p>
        </w:tc>
        <w:tc>
          <w:tcPr>
            <w:tcW w:type="dxa" w:w="1520"/>
          </w:tcPr>
          <w:p>
            <w:r>
              <w:rPr>
                <w:color w:val="000000"/>
                <w:sz w:val="19"/>
              </w:rPr>
              <w:t>Ambit Finvest Private Limited</w:t>
            </w:r>
          </w:p>
        </w:tc>
        <w:tc>
          <w:tcPr>
            <w:tcW w:type="dxa" w:w="1520"/>
          </w:tcPr>
          <w:p>
            <w:r>
              <w:rPr>
                <w:color w:val="000000"/>
                <w:sz w:val="19"/>
              </w:rPr>
              <w:t>Business unsecured loan</w:t>
            </w:r>
          </w:p>
        </w:tc>
        <w:tc>
          <w:tcPr>
            <w:tcW w:type="dxa" w:w="1520"/>
          </w:tcPr>
          <w:p>
            <w:r>
              <w:rPr>
                <w:color w:val="000000"/>
                <w:sz w:val="19"/>
              </w:rPr>
              <w:t>16.00%</w:t>
            </w:r>
          </w:p>
        </w:tc>
        <w:tc>
          <w:tcPr>
            <w:tcW w:type="dxa" w:w="1520"/>
          </w:tcPr>
          <w:p>
            <w:r>
              <w:rPr>
                <w:color w:val="000000"/>
                <w:sz w:val="19"/>
              </w:rPr>
            </w:r>
          </w:p>
        </w:tc>
        <w:tc>
          <w:tcPr>
            <w:tcW w:type="dxa" w:w="1520"/>
          </w:tcPr>
          <w:p>
            <w:r>
              <w:rPr>
                <w:color w:val="000000"/>
                <w:sz w:val="19"/>
              </w:rPr>
            </w:r>
          </w:p>
        </w:tc>
      </w:tr>
      <w:tr>
        <w:tc>
          <w:tcPr>
            <w:tcW w:type="dxa" w:w="1520"/>
            <w:shd w:val="clear" w:color="auto" w:fill="EAF0F8"/>
          </w:tcPr>
          <w:p>
            <w:r>
              <w:rPr>
                <w:color w:val="000000"/>
                <w:sz w:val="19"/>
              </w:rPr>
              <w:t>Business Unsecured Loan</w:t>
            </w:r>
          </w:p>
        </w:tc>
        <w:tc>
          <w:tcPr>
            <w:tcW w:type="dxa" w:w="1520"/>
            <w:shd w:val="clear" w:color="auto" w:fill="EAF0F8"/>
          </w:tcPr>
          <w:p>
            <w:r>
              <w:rPr>
                <w:color w:val="000000"/>
                <w:sz w:val="19"/>
              </w:rPr>
              <w:t>HDFC Bank Limited</w:t>
            </w:r>
          </w:p>
        </w:tc>
        <w:tc>
          <w:tcPr>
            <w:tcW w:type="dxa" w:w="1520"/>
            <w:shd w:val="clear" w:color="auto" w:fill="EAF0F8"/>
          </w:tcPr>
          <w:p>
            <w:r>
              <w:rPr>
                <w:color w:val="000000"/>
                <w:sz w:val="19"/>
              </w:rPr>
              <w:t>Business unsecured loan</w:t>
            </w:r>
          </w:p>
        </w:tc>
        <w:tc>
          <w:tcPr>
            <w:tcW w:type="dxa" w:w="1520"/>
            <w:shd w:val="clear" w:color="auto" w:fill="EAF0F8"/>
          </w:tcPr>
          <w:p>
            <w:r>
              <w:rPr>
                <w:color w:val="000000"/>
                <w:sz w:val="19"/>
              </w:rPr>
              <w:t>15.00%</w:t>
            </w:r>
          </w:p>
        </w:tc>
        <w:tc>
          <w:tcPr>
            <w:tcW w:type="dxa" w:w="1520"/>
            <w:shd w:val="clear" w:color="auto" w:fill="EAF0F8"/>
          </w:tcPr>
          <w:p>
            <w:r>
              <w:rPr>
                <w:color w:val="000000"/>
                <w:sz w:val="19"/>
              </w:rPr>
            </w:r>
          </w:p>
        </w:tc>
        <w:tc>
          <w:tcPr>
            <w:tcW w:type="dxa" w:w="1520"/>
            <w:shd w:val="clear" w:color="auto" w:fill="EAF0F8"/>
          </w:tcPr>
          <w:p>
            <w:r>
              <w:rPr>
                <w:color w:val="000000"/>
                <w:sz w:val="19"/>
              </w:rPr>
            </w:r>
          </w:p>
        </w:tc>
      </w:tr>
      <w:tr>
        <w:tc>
          <w:tcPr>
            <w:tcW w:type="dxa" w:w="1520"/>
          </w:tcPr>
          <w:p>
            <w:r>
              <w:rPr>
                <w:color w:val="000000"/>
                <w:sz w:val="19"/>
              </w:rPr>
              <w:t>Business Unsecured Loan</w:t>
            </w:r>
          </w:p>
        </w:tc>
        <w:tc>
          <w:tcPr>
            <w:tcW w:type="dxa" w:w="1520"/>
          </w:tcPr>
          <w:p>
            <w:r>
              <w:rPr>
                <w:color w:val="000000"/>
                <w:sz w:val="19"/>
              </w:rPr>
              <w:t>Hero Fincorp Limited</w:t>
            </w:r>
          </w:p>
        </w:tc>
        <w:tc>
          <w:tcPr>
            <w:tcW w:type="dxa" w:w="1520"/>
          </w:tcPr>
          <w:p>
            <w:r>
              <w:rPr>
                <w:color w:val="000000"/>
                <w:sz w:val="19"/>
              </w:rPr>
              <w:t>Business unsecured loan</w:t>
            </w:r>
          </w:p>
        </w:tc>
        <w:tc>
          <w:tcPr>
            <w:tcW w:type="dxa" w:w="1520"/>
          </w:tcPr>
          <w:p>
            <w:r>
              <w:rPr>
                <w:color w:val="000000"/>
                <w:sz w:val="19"/>
              </w:rPr>
              <w:t>17.00%</w:t>
            </w:r>
          </w:p>
        </w:tc>
        <w:tc>
          <w:tcPr>
            <w:tcW w:type="dxa" w:w="1520"/>
          </w:tcPr>
          <w:p>
            <w:r>
              <w:rPr>
                <w:color w:val="000000"/>
                <w:sz w:val="19"/>
              </w:rPr>
            </w:r>
          </w:p>
        </w:tc>
        <w:tc>
          <w:tcPr>
            <w:tcW w:type="dxa" w:w="1520"/>
          </w:tcPr>
          <w:p>
            <w:r>
              <w:rPr>
                <w:color w:val="000000"/>
                <w:sz w:val="19"/>
              </w:rPr>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Other loans</w:t>
            </w:r>
          </w:p>
        </w:tc>
        <w:tc>
          <w:tcPr>
            <w:tcW w:type="dxa" w:w="1520"/>
            <w:shd w:val="clear" w:color="auto" w:fill="EAF0F8"/>
          </w:tcPr>
          <w:p>
            <w:r>
              <w:rPr>
                <w:color w:val="000000"/>
                <w:sz w:val="19"/>
              </w:rPr>
            </w:r>
          </w:p>
        </w:tc>
        <w:tc>
          <w:tcPr>
            <w:tcW w:type="dxa" w:w="1520"/>
            <w:shd w:val="clear" w:color="auto" w:fill="EAF0F8"/>
          </w:tcPr>
          <w:p>
            <w:r>
              <w:rPr>
                <w:color w:val="000000"/>
                <w:sz w:val="19"/>
              </w:rPr>
              <w:t>9.00%</w:t>
            </w:r>
          </w:p>
        </w:tc>
        <w:tc>
          <w:tcPr>
            <w:tcW w:type="dxa" w:w="1520"/>
            <w:shd w:val="clear" w:color="auto" w:fill="EAF0F8"/>
          </w:tcPr>
          <w:p>
            <w:r>
              <w:rPr>
                <w:color w:val="000000"/>
                <w:sz w:val="19"/>
              </w:rPr>
            </w:r>
          </w:p>
        </w:tc>
        <w:tc>
          <w:tcPr>
            <w:tcW w:type="dxa" w:w="1520"/>
            <w:shd w:val="clear" w:color="auto" w:fill="EAF0F8"/>
          </w:tcPr>
          <w:p>
            <w:r>
              <w:rPr>
                <w:color w:val="000000"/>
                <w:sz w:val="19"/>
              </w:rPr>
            </w:r>
          </w:p>
        </w:tc>
      </w:tr>
      <w:tr>
        <w:tc>
          <w:tcPr>
            <w:tcW w:type="dxa" w:w="1520"/>
          </w:tcPr>
          <w:p>
            <w:r>
              <w:rPr>
                <w:color w:val="000000"/>
                <w:sz w:val="19"/>
              </w:rPr>
              <w:t>Medium Term Working Capital Facility</w:t>
            </w:r>
          </w:p>
        </w:tc>
        <w:tc>
          <w:tcPr>
            <w:tcW w:type="dxa" w:w="1520"/>
          </w:tcPr>
          <w:p>
            <w:r>
              <w:rPr>
                <w:color w:val="000000"/>
                <w:sz w:val="19"/>
              </w:rPr>
              <w:t>Punjab National Bank</w:t>
            </w:r>
          </w:p>
        </w:tc>
        <w:tc>
          <w:tcPr>
            <w:tcW w:type="dxa" w:w="1520"/>
          </w:tcPr>
          <w:p>
            <w:r>
              <w:rPr>
                <w:color w:val="000000"/>
                <w:sz w:val="19"/>
              </w:rPr>
              <w:t>workig capital facility</w:t>
            </w:r>
          </w:p>
        </w:tc>
        <w:tc>
          <w:tcPr>
            <w:tcW w:type="dxa" w:w="1520"/>
          </w:tcPr>
          <w:p>
            <w:r>
              <w:rPr>
                <w:color w:val="000000"/>
                <w:sz w:val="19"/>
              </w:rPr>
              <w:t>9.85%</w:t>
            </w:r>
          </w:p>
        </w:tc>
        <w:tc>
          <w:tcPr>
            <w:tcW w:type="dxa" w:w="1520"/>
          </w:tcPr>
          <w:p>
            <w:r>
              <w:rPr>
                <w:color w:val="000000"/>
                <w:sz w:val="19"/>
              </w:rPr>
            </w:r>
          </w:p>
        </w:tc>
        <w:tc>
          <w:tcPr>
            <w:tcW w:type="dxa" w:w="1520"/>
          </w:tcPr>
          <w:p>
            <w:r>
              <w:rPr>
                <w:color w:val="000000"/>
                <w:sz w:val="19"/>
              </w:rPr>
            </w:r>
          </w:p>
        </w:tc>
      </w:tr>
      <w:tr>
        <w:tc>
          <w:tcPr>
            <w:tcW w:type="dxa" w:w="1520"/>
            <w:shd w:val="clear" w:color="auto" w:fill="EAF0F8"/>
          </w:tcPr>
          <w:p>
            <w:r>
              <w:rPr>
                <w:color w:val="000000"/>
                <w:sz w:val="19"/>
              </w:rPr>
              <w:t>Medium Term Working Capital Facility</w:t>
            </w:r>
          </w:p>
        </w:tc>
        <w:tc>
          <w:tcPr>
            <w:tcW w:type="dxa" w:w="1520"/>
            <w:shd w:val="clear" w:color="auto" w:fill="EAF0F8"/>
          </w:tcPr>
          <w:p>
            <w:r>
              <w:rPr>
                <w:color w:val="000000"/>
                <w:sz w:val="19"/>
              </w:rPr>
              <w:t>Axis Bank Ltd</w:t>
            </w:r>
          </w:p>
        </w:tc>
        <w:tc>
          <w:tcPr>
            <w:tcW w:type="dxa" w:w="1520"/>
            <w:shd w:val="clear" w:color="auto" w:fill="EAF0F8"/>
          </w:tcPr>
          <w:p>
            <w:r>
              <w:rPr>
                <w:color w:val="000000"/>
                <w:sz w:val="19"/>
              </w:rPr>
              <w:t>workig capital facility</w:t>
            </w:r>
          </w:p>
        </w:tc>
        <w:tc>
          <w:tcPr>
            <w:tcW w:type="dxa" w:w="1520"/>
            <w:shd w:val="clear" w:color="auto" w:fill="EAF0F8"/>
          </w:tcPr>
          <w:p>
            <w:r>
              <w:rPr>
                <w:color w:val="000000"/>
                <w:sz w:val="19"/>
              </w:rPr>
              <w:t>9.25%</w:t>
            </w:r>
          </w:p>
        </w:tc>
        <w:tc>
          <w:tcPr>
            <w:tcW w:type="dxa" w:w="1520"/>
            <w:shd w:val="clear" w:color="auto" w:fill="EAF0F8"/>
          </w:tcPr>
          <w:p>
            <w:r>
              <w:rPr>
                <w:color w:val="000000"/>
                <w:sz w:val="19"/>
              </w:rPr>
            </w:r>
          </w:p>
        </w:tc>
        <w:tc>
          <w:tcPr>
            <w:tcW w:type="dxa" w:w="1520"/>
            <w:shd w:val="clear" w:color="auto" w:fill="EAF0F8"/>
          </w:tcPr>
          <w:p>
            <w:r>
              <w:rPr>
                <w:color w:val="000000"/>
                <w:sz w:val="19"/>
              </w:rPr>
            </w:r>
          </w:p>
        </w:tc>
      </w:tr>
      <w:tr>
        <w:tc>
          <w:tcPr>
            <w:tcW w:type="dxa" w:w="1520"/>
          </w:tcPr>
          <w:p>
            <w:r>
              <w:rPr>
                <w:color w:val="000000"/>
                <w:sz w:val="19"/>
              </w:rPr>
              <w:t>Letter of Credit Facility</w:t>
            </w:r>
          </w:p>
        </w:tc>
        <w:tc>
          <w:tcPr>
            <w:tcW w:type="dxa" w:w="1520"/>
          </w:tcPr>
          <w:p>
            <w:r>
              <w:rPr>
                <w:color w:val="000000"/>
                <w:sz w:val="19"/>
              </w:rPr>
              <w:t>Punjab National Bank</w:t>
            </w:r>
          </w:p>
        </w:tc>
        <w:tc>
          <w:tcPr>
            <w:tcW w:type="dxa" w:w="1520"/>
          </w:tcPr>
          <w:p>
            <w:r>
              <w:rPr>
                <w:color w:val="000000"/>
                <w:sz w:val="19"/>
              </w:rPr>
            </w:r>
          </w:p>
        </w:tc>
        <w:tc>
          <w:tcPr>
            <w:tcW w:type="dxa" w:w="1520"/>
          </w:tcPr>
          <w:p>
            <w:r>
              <w:rPr>
                <w:color w:val="000000"/>
                <w:sz w:val="19"/>
              </w:rPr>
            </w:r>
          </w:p>
        </w:tc>
        <w:tc>
          <w:tcPr>
            <w:tcW w:type="dxa" w:w="1520"/>
          </w:tcPr>
          <w:p>
            <w:r>
              <w:rPr>
                <w:color w:val="000000"/>
                <w:sz w:val="19"/>
              </w:rPr>
              <w:t>INR 598.50 Lakhs</w:t>
            </w:r>
          </w:p>
        </w:tc>
        <w:tc>
          <w:tcPr>
            <w:tcW w:type="dxa" w:w="1520"/>
          </w:tcPr>
          <w:p>
            <w:r>
              <w:rPr>
                <w:color w:val="000000"/>
                <w:sz w:val="19"/>
              </w:rPr>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Punjab National Bank</w:t>
            </w:r>
          </w:p>
        </w:tc>
        <w:tc>
          <w:tcPr>
            <w:tcW w:type="dxa" w:w="1520"/>
            <w:shd w:val="clear" w:color="auto" w:fill="EAF0F8"/>
          </w:tcPr>
          <w:p>
            <w:r>
              <w:rPr>
                <w:color w:val="000000"/>
                <w:sz w:val="19"/>
              </w:rPr>
              <w:t>term loan facility</w:t>
            </w:r>
          </w:p>
        </w:tc>
        <w:tc>
          <w:tcPr>
            <w:tcW w:type="dxa" w:w="1520"/>
            <w:shd w:val="clear" w:color="auto" w:fill="EAF0F8"/>
          </w:tcPr>
          <w:p>
            <w:r>
              <w:rPr>
                <w:color w:val="000000"/>
                <w:sz w:val="19"/>
              </w:rPr>
              <w:t>9.85%</w:t>
            </w:r>
          </w:p>
        </w:tc>
        <w:tc>
          <w:tcPr>
            <w:tcW w:type="dxa" w:w="1520"/>
            <w:shd w:val="clear" w:color="auto" w:fill="EAF0F8"/>
          </w:tcPr>
          <w:p>
            <w:r>
              <w:rPr>
                <w:color w:val="000000"/>
                <w:sz w:val="19"/>
              </w:rPr>
            </w:r>
          </w:p>
        </w:tc>
        <w:tc>
          <w:tcPr>
            <w:tcW w:type="dxa" w:w="1520"/>
            <w:shd w:val="clear" w:color="auto" w:fill="EAF0F8"/>
          </w:tcPr>
          <w:p>
            <w:r>
              <w:rPr>
                <w:color w:val="000000"/>
                <w:sz w:val="19"/>
              </w:rPr>
            </w:r>
          </w:p>
        </w:tc>
      </w:tr>
      <w:tr>
        <w:tc>
          <w:tcPr>
            <w:tcW w:type="dxa" w:w="1520"/>
          </w:tcPr>
          <w:p>
            <w:r>
              <w:rPr>
                <w:color w:val="000000"/>
                <w:sz w:val="19"/>
              </w:rPr>
              <w:t>Business Unsecured Loan</w:t>
            </w:r>
          </w:p>
        </w:tc>
        <w:tc>
          <w:tcPr>
            <w:tcW w:type="dxa" w:w="1520"/>
          </w:tcPr>
          <w:p>
            <w:r>
              <w:rPr>
                <w:color w:val="000000"/>
                <w:sz w:val="19"/>
              </w:rPr>
              <w:t>Deutsche Bank</w:t>
            </w:r>
          </w:p>
        </w:tc>
        <w:tc>
          <w:tcPr>
            <w:tcW w:type="dxa" w:w="1520"/>
          </w:tcPr>
          <w:p>
            <w:r>
              <w:rPr>
                <w:color w:val="000000"/>
                <w:sz w:val="19"/>
              </w:rPr>
              <w:t>Business unsecured loan</w:t>
            </w:r>
          </w:p>
        </w:tc>
        <w:tc>
          <w:tcPr>
            <w:tcW w:type="dxa" w:w="1520"/>
          </w:tcPr>
          <w:p>
            <w:r>
              <w:rPr>
                <w:color w:val="000000"/>
                <w:sz w:val="19"/>
              </w:rPr>
              <w:t>17.00%</w:t>
            </w:r>
          </w:p>
        </w:tc>
        <w:tc>
          <w:tcPr>
            <w:tcW w:type="dxa" w:w="1520"/>
          </w:tcPr>
          <w:p>
            <w:r>
              <w:rPr>
                <w:color w:val="000000"/>
                <w:sz w:val="19"/>
              </w:rPr>
            </w:r>
          </w:p>
        </w:tc>
        <w:tc>
          <w:tcPr>
            <w:tcW w:type="dxa" w:w="1520"/>
          </w:tcPr>
          <w:p>
            <w:r>
              <w:rPr>
                <w:color w:val="000000"/>
                <w:sz w:val="19"/>
              </w:rPr>
            </w:r>
          </w:p>
        </w:tc>
      </w:tr>
    </w:tbl>
    <w:p/>
    <w:p/>
    <w:p>
      <w:r>
        <w:rPr>
          <w:b/>
          <w:color w:val="003366"/>
          <w:sz w:val="24"/>
        </w:rPr>
        <w:t>3.3 Credit Ratings</w:t>
      </w:r>
    </w:p>
    <w:p/>
    <w:p>
      <w:pPr>
        <w:spacing w:after="80"/>
        <w:jc w:val="both"/>
      </w:pPr>
      <w:r>
        <w:rPr>
          <w:sz w:val="21"/>
        </w:rPr>
        <w:t>DURLAX TOP SURFACE LIMITED holds a credit rating of ACUITE BBB- / A3 from ACUITE Ratings &amp; Research Limited.</w:t>
      </w:r>
    </w:p>
    <w:p>
      <w:pPr>
        <w:pStyle w:val="ListBullet"/>
        <w:jc w:val="both"/>
      </w:pPr>
      <w:r>
        <w:rPr>
          <w:sz w:val="21"/>
        </w:rPr>
        <w:t xml:space="preserve">  </w:t>
      </w:r>
      <w:r>
        <w:rPr>
          <w:b/>
          <w:sz w:val="21"/>
        </w:rPr>
        <w:t>ACUITE BBB-</w:t>
      </w:r>
      <w:r>
        <w:rPr>
          <w:sz w:val="21"/>
        </w:rPr>
        <w:t>: This rating indicates that instruments with this rating are considered to have a moderate degree of safety regarding timely servicing of financial obligations and carry moderate credit risk.</w:t>
      </w:r>
    </w:p>
    <w:p>
      <w:pPr>
        <w:pStyle w:val="ListBullet"/>
        <w:jc w:val="both"/>
      </w:pPr>
      <w:r>
        <w:rPr>
          <w:sz w:val="21"/>
        </w:rPr>
        <w:t xml:space="preserve">  </w:t>
      </w:r>
      <w:r>
        <w:rPr>
          <w:b/>
          <w:sz w:val="21"/>
        </w:rPr>
        <w:t>ACUITE A3</w:t>
      </w:r>
      <w:r>
        <w:rPr>
          <w:sz w:val="21"/>
        </w:rPr>
        <w:t>: This rating indicates that instruments with this rating are considered to have adequate safety for short-term obligations and carry low credit risk.</w:t>
      </w:r>
    </w:p>
    <w:p/>
    <w:p>
      <w:r>
        <w:rPr>
          <w:b/>
          <w:color w:val="003366"/>
          <w:sz w:val="24"/>
        </w:rPr>
        <w:t>3.4 Covenants &amp; Restrictions</w:t>
      </w:r>
    </w:p>
    <w:p/>
    <w:p>
      <w:pPr>
        <w:spacing w:after="80"/>
        <w:jc w:val="both"/>
      </w:pPr>
      <w:r>
        <w:rPr>
          <w:sz w:val="21"/>
        </w:rPr>
        <w:t>The Company's existing debt facilities are subject to various covenants and security arrangements:</w:t>
      </w:r>
    </w:p>
    <w:p/>
    <w:p>
      <w:pPr>
        <w:pStyle w:val="ListBullet"/>
        <w:jc w:val="both"/>
      </w:pPr>
      <w:r>
        <w:rPr>
          <w:sz w:val="21"/>
        </w:rPr>
        <w:t xml:space="preserve">  </w:t>
      </w:r>
      <w:r>
        <w:rPr>
          <w:b/>
          <w:sz w:val="21"/>
        </w:rPr>
        <w:t>Machinery Term Loan (Mahindra &amp; Mahindra Financial Services Limited):</w:t>
      </w:r>
      <w:r>
        <w:rPr>
          <w:sz w:val="21"/>
        </w:rPr>
        <w:t xml:space="preserve"> Secured by a charge on Plant &amp; Machinery, a Security Deposit of INR 16.46 Lakhs @ 8.50%, and Personal Guarantees from Mr. Shravan Suthar and Mr. Lalit Suthar against the EMI repayment of INR 1.15 Lakhs.</w:t>
      </w:r>
    </w:p>
    <w:p>
      <w:pPr>
        <w:pStyle w:val="ListBullet"/>
        <w:jc w:val="both"/>
      </w:pPr>
      <w:r>
        <w:rPr>
          <w:sz w:val="21"/>
        </w:rPr>
        <w:t xml:space="preserve">  </w:t>
      </w:r>
      <w:r>
        <w:rPr>
          <w:b/>
          <w:sz w:val="21"/>
        </w:rPr>
        <w:t>Term Loan (Tata Capital):</w:t>
      </w:r>
      <w:r>
        <w:rPr>
          <w:sz w:val="21"/>
        </w:rPr>
        <w:t xml:space="preserve"> Secured by a lien on a Fixed Deposit of INR 150.00 Lakhs and Personal Guarantees from Mr. Shravan Suthar and Mr. Lalit Suthar against EMI repayment over 36 Months.</w:t>
      </w:r>
    </w:p>
    <w:p>
      <w:pPr>
        <w:pStyle w:val="ListBullet"/>
        <w:jc w:val="both"/>
      </w:pPr>
      <w:r>
        <w:rPr>
          <w:sz w:val="21"/>
        </w:rPr>
        <w:t xml:space="preserve">  </w:t>
      </w:r>
      <w:r>
        <w:rPr>
          <w:b/>
          <w:sz w:val="21"/>
        </w:rPr>
        <w:t>Business Unsecured Loan (Ambit Finvest Private Limited):</w:t>
      </w:r>
      <w:r>
        <w:rPr>
          <w:sz w:val="21"/>
        </w:rPr>
        <w:t xml:space="preserve"> Repayable in EMIs of INR 1.75 Lakhs.</w:t>
      </w:r>
    </w:p>
    <w:p>
      <w:pPr>
        <w:pStyle w:val="ListBullet"/>
        <w:jc w:val="both"/>
      </w:pPr>
      <w:r>
        <w:rPr>
          <w:sz w:val="21"/>
        </w:rPr>
        <w:t xml:space="preserve">  </w:t>
      </w:r>
      <w:r>
        <w:rPr>
          <w:b/>
          <w:sz w:val="21"/>
        </w:rPr>
        <w:t>Business Unsecured Loan (HDFC Bank Limited):</w:t>
      </w:r>
      <w:r>
        <w:rPr>
          <w:sz w:val="21"/>
        </w:rPr>
        <w:t xml:space="preserve"> Repayable in EMIs of INR 1.21 Lakhs.</w:t>
      </w:r>
    </w:p>
    <w:p>
      <w:pPr>
        <w:pStyle w:val="ListBullet"/>
        <w:jc w:val="both"/>
      </w:pPr>
      <w:r>
        <w:rPr>
          <w:sz w:val="21"/>
        </w:rPr>
        <w:t xml:space="preserve">  </w:t>
      </w:r>
      <w:r>
        <w:rPr>
          <w:b/>
          <w:sz w:val="21"/>
        </w:rPr>
        <w:t>Business Unsecured Loan (Hero Fincorp Limited):</w:t>
      </w:r>
      <w:r>
        <w:rPr>
          <w:sz w:val="21"/>
        </w:rPr>
        <w:t xml:space="preserve"> Repayable in EMIs of INR 1.08 Lakhs.</w:t>
      </w:r>
    </w:p>
    <w:p>
      <w:pPr>
        <w:pStyle w:val="ListBullet"/>
        <w:jc w:val="both"/>
      </w:pPr>
      <w:r>
        <w:rPr>
          <w:sz w:val="21"/>
        </w:rPr>
        <w:t xml:space="preserve">  </w:t>
      </w:r>
      <w:r>
        <w:rPr>
          <w:b/>
          <w:sz w:val="21"/>
        </w:rPr>
        <w:t>Medium Term Working Capital Facility (Punjab National Bank):</w:t>
      </w:r>
      <w:r>
        <w:rPr>
          <w:sz w:val="21"/>
        </w:rPr>
        <w:t xml:space="preserve"> Secured by Hypothecation of Stock &amp; Books Debts and Personal Guarantees from Mr. Shravan Suthar, Mr. Lalit Suthar, Mr. Laxmichand Suthar, and Mr. Pankaj Suthar.</w:t>
      </w:r>
    </w:p>
    <w:p>
      <w:pPr>
        <w:pStyle w:val="ListBullet"/>
        <w:jc w:val="both"/>
      </w:pPr>
      <w:r>
        <w:rPr>
          <w:sz w:val="21"/>
        </w:rPr>
        <w:t xml:space="preserve">  </w:t>
      </w:r>
      <w:r>
        <w:rPr>
          <w:b/>
          <w:sz w:val="21"/>
        </w:rPr>
        <w:t>Medium Term Working Capital Facility (Axis Bank Ltd):</w:t>
      </w:r>
      <w:r>
        <w:rPr>
          <w:sz w:val="21"/>
        </w:rPr>
        <w:t xml:space="preserve"> Secured by Hypothecation of entire Current assets &amp; pari passu charge on Land, Building, Plant &amp; Machinery, Office Premises no 301 &amp; Shop No 01 and 02, and Personal Guarantees from Mr. Shravan Suthar, Mr. Lalit Suthar, Mr. Laxmichand Suthar, and Mr. Pankaj Suthar.</w:t>
      </w:r>
    </w:p>
    <w:p>
      <w:pPr>
        <w:pStyle w:val="ListBullet"/>
        <w:jc w:val="both"/>
      </w:pPr>
      <w:r>
        <w:rPr>
          <w:sz w:val="21"/>
        </w:rPr>
        <w:t xml:space="preserve">  </w:t>
      </w:r>
      <w:r>
        <w:rPr>
          <w:b/>
          <w:sz w:val="21"/>
        </w:rPr>
        <w:t>Letter of Credit Facility (Punjab National Bank):</w:t>
      </w:r>
      <w:r>
        <w:rPr>
          <w:sz w:val="21"/>
        </w:rPr>
        <w:t xml:space="preserve"> Secured by a Cash Margin FDR @ 15% from Punjab National Bank against Personal Guarantees from Mr. Shravan Suthar, Mr. Lalit Suthar, Mr. Laxmichand Suthar, and Mr. Pankaj Suthar.</w:t>
      </w:r>
    </w:p>
    <w:p>
      <w:pPr>
        <w:pStyle w:val="ListBullet"/>
        <w:jc w:val="both"/>
      </w:pPr>
      <w:r>
        <w:rPr>
          <w:sz w:val="21"/>
        </w:rPr>
        <w:t xml:space="preserve">  </w:t>
      </w:r>
      <w:r>
        <w:rPr>
          <w:b/>
          <w:sz w:val="21"/>
        </w:rPr>
        <w:t>Term Loan (Punjab National Bank):</w:t>
      </w:r>
      <w:r>
        <w:rPr>
          <w:sz w:val="21"/>
        </w:rPr>
        <w:t xml:space="preserve"> Secured by a charge on Plant &amp; Machinery, Factory Land &amp; Building, and Personal Guarantees from Mr. Shravan Suthar, Mr. Lalit Suthar, Mr. Laxmichand Suthar, and Mr. Pankaj Suthar against quarterly repayment of INR 46.14 Lakhs.</w:t>
      </w:r>
    </w:p>
    <w:p>
      <w:pPr>
        <w:pStyle w:val="ListBullet"/>
        <w:jc w:val="both"/>
      </w:pPr>
      <w:r>
        <w:rPr>
          <w:sz w:val="21"/>
        </w:rPr>
        <w:t xml:space="preserve">  </w:t>
      </w:r>
      <w:r>
        <w:rPr>
          <w:b/>
          <w:sz w:val="21"/>
        </w:rPr>
        <w:t>Business Unsecured Loan (Deutsche Bank):</w:t>
      </w:r>
      <w:r>
        <w:rPr>
          <w:sz w:val="21"/>
        </w:rPr>
        <w:t xml:space="preserve"> Repayable in EMIs of INR 1.42 Lakhs.</w:t>
      </w:r>
    </w:p>
    <w:p>
      <w:pPr>
        <w:pStyle w:val="ListBullet"/>
        <w:jc w:val="both"/>
      </w:pPr>
      <w:r>
        <w:rPr>
          <w:sz w:val="21"/>
        </w:rPr>
        <w:t xml:space="preserve">  </w:t>
      </w:r>
      <w:r>
        <w:rPr>
          <w:b/>
          <w:sz w:val="21"/>
        </w:rPr>
        <w:t>Unsecured Loans (Directors/Relatives &amp; Other loans):</w:t>
      </w:r>
      <w:r>
        <w:rPr>
          <w:sz w:val="21"/>
        </w:rPr>
        <w:t xml:space="preserve"> These facilities generally do not carry specific covenants or security as per available information.</w:t>
      </w:r>
    </w:p>
    <w:p/>
    <w:p>
      <w:r>
        <w:rPr>
          <w:b/>
          <w:color w:val="003366"/>
          <w:sz w:val="24"/>
        </w:rPr>
        <w:t>3.5 Repayment &amp; Conduct</w:t>
      </w:r>
    </w:p>
    <w:p/>
    <w:p>
      <w:pPr>
        <w:spacing w:after="80"/>
        <w:jc w:val="both"/>
      </w:pPr>
      <w:r>
        <w:rPr>
          <w:sz w:val="21"/>
        </w:rPr>
        <w:t>Based on the information available, no adverse repayment conduct or defaults have been reported for DURLAX TOP SURFACE LIMITED's existing debt facilities. There is no information regarding any Special Mention Account (SMA) classification.</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4. Risk Assessment &amp; Security</w:t>
      </w:r>
    </w:p>
    <w:p/>
    <w:p>
      <w:r>
        <w:rPr>
          <w:b/>
          <w:color w:val="003366"/>
          <w:sz w:val="22"/>
        </w:rPr>
        <w:t>1. Risk Assessment</w:t>
      </w:r>
    </w:p>
    <w:p/>
    <w:p>
      <w:pPr>
        <w:spacing w:after="80"/>
        <w:jc w:val="both"/>
      </w:pPr>
      <w:r>
        <w:rPr>
          <w:sz w:val="21"/>
        </w:rPr>
        <w:t>This section identifies and assesses key risks associated with Durlax Top Surface Limited, categorised by their nature, along with their severity and identified mitigants.</w:t>
      </w:r>
    </w:p>
    <w:p/>
    <w:p>
      <w:pPr>
        <w:spacing w:after="80"/>
        <w:jc w:val="both"/>
      </w:pPr>
      <w:r>
        <w:rPr>
          <w:b/>
          <w:sz w:val="21"/>
        </w:rPr>
        <w:t>Financial Risk</w:t>
      </w:r>
    </w:p>
    <w:p/>
    <w:p>
      <w:pPr>
        <w:pStyle w:val="ListBullet"/>
        <w:jc w:val="both"/>
      </w:pPr>
      <w:r>
        <w:rPr>
          <w:sz w:val="21"/>
        </w:rPr>
        <w:t xml:space="preserve">  </w:t>
      </w:r>
      <w:r>
        <w:rPr>
          <w:b/>
          <w:sz w:val="21"/>
        </w:rPr>
        <w:t>Risk:</w:t>
      </w:r>
      <w:r>
        <w:rPr>
          <w:sz w:val="21"/>
        </w:rPr>
        <w:t xml:space="preserve"> Negative Operating Cash Flow &amp; Low Debt Service Coverage Ratio (DSCR)</w:t>
      </w:r>
    </w:p>
    <w:p>
      <w:pPr>
        <w:pStyle w:val="ListBullet"/>
        <w:jc w:val="both"/>
      </w:pPr>
      <w:r>
        <w:rPr>
          <w:sz w:val="21"/>
        </w:rPr>
        <w:t xml:space="preserve">  </w:t>
      </w:r>
      <w:r>
        <w:rPr>
          <w:b/>
          <w:sz w:val="21"/>
        </w:rPr>
        <w:t>Severity:</w:t>
      </w:r>
      <w:r>
        <w:rPr>
          <w:sz w:val="21"/>
        </w:rPr>
        <w:t xml:space="preserve"> Critical Concern. Operating cash flow was negative INR -678 L in FY25 and INR -1,660 L in FY24 due to significant working capital absorption. The DSCR is extremely low at 0.34x for FY25, indicating that principal repayments far exceed cash generation from operations.</w:t>
      </w:r>
    </w:p>
    <w:p>
      <w:pPr>
        <w:pStyle w:val="ListBullet"/>
        <w:jc w:val="both"/>
      </w:pPr>
      <w:r>
        <w:rPr>
          <w:sz w:val="21"/>
        </w:rPr>
        <w:t xml:space="preserve">  </w:t>
      </w:r>
      <w:r>
        <w:rPr>
          <w:b/>
          <w:sz w:val="21"/>
        </w:rPr>
        <w:t>Mitigant:</w:t>
      </w:r>
      <w:r>
        <w:rPr>
          <w:sz w:val="21"/>
        </w:rPr>
        <w:t xml:space="preserve"> IPO proceeds of INR 2,856 L provide a liquidity buffer. The Company's debt-to-equity ratio improved significantly from 2.81x to 0.79x post-IPO.</w:t>
      </w:r>
    </w:p>
    <w:p>
      <w:pPr>
        <w:pStyle w:val="ListBullet"/>
        <w:jc w:val="both"/>
      </w:pPr>
      <w:r>
        <w:rPr>
          <w:sz w:val="21"/>
        </w:rPr>
        <w:t xml:space="preserve">  </w:t>
      </w:r>
      <w:r>
        <w:rPr>
          <w:b/>
          <w:sz w:val="21"/>
        </w:rPr>
        <w:t>Risk:</w:t>
      </w:r>
      <w:r>
        <w:rPr>
          <w:sz w:val="21"/>
        </w:rPr>
        <w:t xml:space="preserve"> Working Capital Absorption / Inventory Lock-up</w:t>
      </w:r>
    </w:p>
    <w:p>
      <w:pPr>
        <w:pStyle w:val="ListBullet"/>
        <w:jc w:val="both"/>
      </w:pPr>
      <w:r>
        <w:rPr>
          <w:sz w:val="21"/>
        </w:rPr>
        <w:t xml:space="preserve">  </w:t>
      </w:r>
      <w:r>
        <w:rPr>
          <w:b/>
          <w:sz w:val="21"/>
        </w:rPr>
        <w:t>Severity:</w:t>
      </w:r>
      <w:r>
        <w:rPr>
          <w:sz w:val="21"/>
        </w:rPr>
        <w:t xml:space="preserve"> Critical Concern. Inventory turnover is low at 1.98x, equating to approximately 184 days of inventory holding. Trade receivables are also high at approximately 97 days. Inventories of INR 4,994 L constitute 43% of total assets.</w:t>
      </w:r>
    </w:p>
    <w:p>
      <w:pPr>
        <w:pStyle w:val="ListBullet"/>
        <w:jc w:val="both"/>
      </w:pPr>
      <w:r>
        <w:rPr>
          <w:sz w:val="21"/>
        </w:rPr>
        <w:t xml:space="preserve">  </w:t>
      </w:r>
      <w:r>
        <w:rPr>
          <w:b/>
          <w:sz w:val="21"/>
        </w:rPr>
        <w:t>Mitigant:</w:t>
      </w:r>
      <w:r>
        <w:rPr>
          <w:sz w:val="21"/>
        </w:rPr>
        <w:t xml:space="preserve"> Management is implementing analytics-led stock optimization and faster cash collection practices.</w:t>
      </w:r>
    </w:p>
    <w:p>
      <w:pPr>
        <w:pStyle w:val="ListBullet"/>
        <w:jc w:val="both"/>
      </w:pPr>
      <w:r>
        <w:rPr>
          <w:sz w:val="21"/>
        </w:rPr>
        <w:t xml:space="preserve">  </w:t>
      </w:r>
      <w:r>
        <w:rPr>
          <w:b/>
          <w:sz w:val="21"/>
        </w:rPr>
        <w:t>Risk:</w:t>
      </w:r>
      <w:r>
        <w:rPr>
          <w:sz w:val="21"/>
        </w:rPr>
        <w:t xml:space="preserve"> Trade Payables Reduction</w:t>
      </w:r>
    </w:p>
    <w:p>
      <w:pPr>
        <w:pStyle w:val="ListBullet"/>
        <w:jc w:val="both"/>
      </w:pPr>
      <w:r>
        <w:rPr>
          <w:sz w:val="21"/>
        </w:rPr>
        <w:t xml:space="preserve">  </w:t>
      </w:r>
      <w:r>
        <w:rPr>
          <w:b/>
          <w:sz w:val="21"/>
        </w:rPr>
        <w:t>Severity:</w:t>
      </w:r>
      <w:r>
        <w:rPr>
          <w:sz w:val="21"/>
        </w:rPr>
        <w:t xml:space="preserve"> Moderate. Trade payables dropped sharply from INR 2,141 L to INR 821 L (-62%), which could indicate tighter supplier terms or a loss of credit.</w:t>
      </w:r>
    </w:p>
    <w:p>
      <w:pPr>
        <w:pStyle w:val="ListBullet"/>
        <w:jc w:val="both"/>
      </w:pPr>
      <w:r>
        <w:rPr>
          <w:sz w:val="21"/>
        </w:rPr>
        <w:t xml:space="preserve">  </w:t>
      </w:r>
      <w:r>
        <w:rPr>
          <w:b/>
          <w:sz w:val="21"/>
        </w:rPr>
        <w:t>Mitigant:</w:t>
      </w:r>
      <w:r>
        <w:rPr>
          <w:sz w:val="21"/>
        </w:rPr>
        <w:t xml:space="preserve"> Payable turnover improved to 6.65x, suggesting faster settlement which may improve supplier relationships long-term.</w:t>
      </w:r>
    </w:p>
    <w:p>
      <w:pPr>
        <w:pStyle w:val="ListBullet"/>
        <w:jc w:val="both"/>
      </w:pPr>
      <w:r>
        <w:rPr>
          <w:sz w:val="21"/>
        </w:rPr>
        <w:t xml:space="preserve">  </w:t>
      </w:r>
      <w:r>
        <w:rPr>
          <w:b/>
          <w:sz w:val="21"/>
        </w:rPr>
        <w:t>Risk:</w:t>
      </w:r>
      <w:r>
        <w:rPr>
          <w:sz w:val="21"/>
        </w:rPr>
        <w:t xml:space="preserve"> Overdue Loans and Advances</w:t>
      </w:r>
    </w:p>
    <w:p>
      <w:pPr>
        <w:pStyle w:val="ListBullet"/>
        <w:jc w:val="both"/>
      </w:pPr>
      <w:r>
        <w:rPr>
          <w:sz w:val="21"/>
        </w:rPr>
        <w:t xml:space="preserve">  </w:t>
      </w:r>
      <w:r>
        <w:rPr>
          <w:b/>
          <w:sz w:val="21"/>
        </w:rPr>
        <w:t>Severity:</w:t>
      </w:r>
      <w:r>
        <w:rPr>
          <w:sz w:val="21"/>
        </w:rPr>
        <w:t xml:space="preserve"> Low. Amounts of INR 13.98 L (Principal) from 3 cases are overdue for more than ninety days.</w:t>
      </w:r>
    </w:p>
    <w:p>
      <w:pPr>
        <w:pStyle w:val="ListBullet"/>
        <w:jc w:val="both"/>
      </w:pPr>
      <w:r>
        <w:rPr>
          <w:sz w:val="21"/>
        </w:rPr>
        <w:t xml:space="preserve">  </w:t>
      </w:r>
      <w:r>
        <w:rPr>
          <w:b/>
          <w:sz w:val="21"/>
        </w:rPr>
        <w:t>Mitigant:</w:t>
      </w:r>
      <w:r>
        <w:rPr>
          <w:sz w:val="21"/>
        </w:rPr>
        <w:t xml:space="preserve"> The amount is not material in the context of the Company's overall financial position.</w:t>
      </w:r>
    </w:p>
    <w:p>
      <w:pPr>
        <w:pStyle w:val="ListBullet"/>
        <w:jc w:val="both"/>
      </w:pPr>
      <w:r>
        <w:rPr>
          <w:sz w:val="21"/>
        </w:rPr>
        <w:t xml:space="preserve">  </w:t>
      </w:r>
      <w:r>
        <w:rPr>
          <w:b/>
          <w:sz w:val="21"/>
        </w:rPr>
        <w:t>Risk:</w:t>
      </w:r>
      <w:r>
        <w:rPr>
          <w:sz w:val="21"/>
        </w:rPr>
        <w:t xml:space="preserve"> Loans and Advances Repayable on Demand</w:t>
      </w:r>
    </w:p>
    <w:p>
      <w:pPr>
        <w:pStyle w:val="ListBullet"/>
        <w:jc w:val="both"/>
      </w:pPr>
      <w:r>
        <w:rPr>
          <w:sz w:val="21"/>
        </w:rPr>
        <w:t xml:space="preserve">  </w:t>
      </w:r>
      <w:r>
        <w:rPr>
          <w:b/>
          <w:sz w:val="21"/>
        </w:rPr>
        <w:t>Severity:</w:t>
      </w:r>
      <w:r>
        <w:rPr>
          <w:sz w:val="21"/>
        </w:rPr>
        <w:t xml:space="preserve"> Low. The Company has granted loans/advances in the nature of loans amounting to INR 14.27 L (100% of total) repayable on demand without specifying any terms or period of repayment.</w:t>
      </w:r>
    </w:p>
    <w:p>
      <w:pPr>
        <w:pStyle w:val="ListBullet"/>
        <w:jc w:val="both"/>
      </w:pPr>
      <w:r>
        <w:rPr>
          <w:sz w:val="21"/>
        </w:rPr>
        <w:t xml:space="preserve">  </w:t>
      </w:r>
      <w:r>
        <w:rPr>
          <w:b/>
          <w:sz w:val="21"/>
        </w:rPr>
        <w:t>Mitigant:</w:t>
      </w:r>
      <w:r>
        <w:rPr>
          <w:sz w:val="21"/>
        </w:rPr>
        <w:t xml:space="preserve"> Repayments or receipts have been regular in respect of interest-free loans and advances where the schedule of repayment of principal has not been stipulated.</w:t>
      </w:r>
    </w:p>
    <w:p>
      <w:pPr>
        <w:pStyle w:val="ListBullet"/>
        <w:jc w:val="both"/>
      </w:pPr>
      <w:r>
        <w:rPr>
          <w:sz w:val="21"/>
        </w:rPr>
        <w:t xml:space="preserve">  </w:t>
      </w:r>
      <w:r>
        <w:rPr>
          <w:b/>
          <w:sz w:val="21"/>
        </w:rPr>
        <w:t>Risk:</w:t>
      </w:r>
      <w:r>
        <w:rPr>
          <w:sz w:val="21"/>
        </w:rPr>
        <w:t xml:space="preserve"> Promoter Loan Dependence</w:t>
      </w:r>
    </w:p>
    <w:p>
      <w:pPr>
        <w:pStyle w:val="ListBullet"/>
        <w:jc w:val="both"/>
      </w:pPr>
      <w:r>
        <w:rPr>
          <w:sz w:val="21"/>
        </w:rPr>
        <w:t xml:space="preserve">  </w:t>
      </w:r>
      <w:r>
        <w:rPr>
          <w:b/>
          <w:sz w:val="21"/>
        </w:rPr>
        <w:t>Severity:</w:t>
      </w:r>
      <w:r>
        <w:rPr>
          <w:sz w:val="21"/>
        </w:rPr>
        <w:t xml:space="preserve"> Moderate. Unsecured promoter loans of INR 314 L remain outstanding, with significant borrowings received/repaid during the year.</w:t>
      </w:r>
    </w:p>
    <w:p>
      <w:pPr>
        <w:pStyle w:val="ListBullet"/>
        <w:jc w:val="both"/>
      </w:pPr>
      <w:r>
        <w:rPr>
          <w:sz w:val="21"/>
        </w:rPr>
        <w:t xml:space="preserve">  </w:t>
      </w:r>
      <w:r>
        <w:rPr>
          <w:b/>
          <w:sz w:val="21"/>
        </w:rPr>
        <w:t>Mitigant:</w:t>
      </w:r>
      <w:r>
        <w:rPr>
          <w:sz w:val="21"/>
        </w:rPr>
        <w:t xml:space="preserve"> Promoter loans are being systematically repaid.</w:t>
      </w:r>
    </w:p>
    <w:p>
      <w:pPr>
        <w:pStyle w:val="ListBullet"/>
        <w:jc w:val="both"/>
      </w:pPr>
      <w:r>
        <w:rPr>
          <w:sz w:val="21"/>
        </w:rPr>
        <w:t xml:space="preserve">  </w:t>
      </w:r>
      <w:r>
        <w:rPr>
          <w:b/>
          <w:sz w:val="21"/>
        </w:rPr>
        <w:t>Risk:</w:t>
      </w:r>
      <w:r>
        <w:rPr>
          <w:sz w:val="21"/>
        </w:rPr>
        <w:t xml:space="preserve"> Interest Coverage Ratio</w:t>
      </w:r>
    </w:p>
    <w:p>
      <w:pPr>
        <w:pStyle w:val="ListBullet"/>
        <w:jc w:val="both"/>
      </w:pPr>
      <w:r>
        <w:rPr>
          <w:sz w:val="21"/>
        </w:rPr>
        <w:t xml:space="preserve">  </w:t>
      </w:r>
      <w:r>
        <w:rPr>
          <w:b/>
          <w:sz w:val="21"/>
        </w:rPr>
        <w:t>Severity:</w:t>
      </w:r>
      <w:r>
        <w:rPr>
          <w:sz w:val="21"/>
        </w:rPr>
        <w:t xml:space="preserve"> Moderate. The Interest Coverage Ratio is approximately 3.7x, which is adequate but not strong.</w:t>
      </w:r>
    </w:p>
    <w:p>
      <w:pPr>
        <w:pStyle w:val="ListBullet"/>
        <w:jc w:val="both"/>
      </w:pPr>
      <w:r>
        <w:rPr>
          <w:sz w:val="21"/>
        </w:rPr>
        <w:t xml:space="preserve">  </w:t>
      </w:r>
      <w:r>
        <w:rPr>
          <w:b/>
          <w:sz w:val="21"/>
        </w:rPr>
        <w:t>Mitigant:</w:t>
      </w:r>
      <w:r>
        <w:rPr>
          <w:sz w:val="21"/>
        </w:rPr>
        <w:t xml:space="preserve"> The Company reported a significant increase in PAT of +87.7% and a PAT margin of 6.11% in FY25, providing some buffer.</w:t>
      </w:r>
    </w:p>
    <w:p/>
    <w:p>
      <w:pPr>
        <w:spacing w:after="80"/>
        <w:jc w:val="both"/>
      </w:pPr>
      <w:r>
        <w:rPr>
          <w:b/>
          <w:sz w:val="21"/>
        </w:rPr>
        <w:t>Operational Risk</w:t>
      </w:r>
    </w:p>
    <w:p/>
    <w:p>
      <w:pPr>
        <w:pStyle w:val="ListBullet"/>
        <w:jc w:val="both"/>
      </w:pPr>
      <w:r>
        <w:rPr>
          <w:sz w:val="21"/>
        </w:rPr>
        <w:t xml:space="preserve">  </w:t>
      </w:r>
      <w:r>
        <w:rPr>
          <w:b/>
          <w:sz w:val="21"/>
        </w:rPr>
        <w:t>Risk:</w:t>
      </w:r>
      <w:r>
        <w:rPr>
          <w:sz w:val="21"/>
        </w:rPr>
        <w:t xml:space="preserve"> Raw Material &amp; Forex Exposure</w:t>
      </w:r>
    </w:p>
    <w:p>
      <w:pPr>
        <w:pStyle w:val="ListBullet"/>
        <w:jc w:val="both"/>
      </w:pPr>
      <w:r>
        <w:rPr>
          <w:sz w:val="21"/>
        </w:rPr>
        <w:t xml:space="preserve">  </w:t>
      </w:r>
      <w:r>
        <w:rPr>
          <w:b/>
          <w:sz w:val="21"/>
        </w:rPr>
        <w:t>Severity:</w:t>
      </w:r>
      <w:r>
        <w:rPr>
          <w:sz w:val="21"/>
        </w:rPr>
        <w:t xml:space="preserve"> Moderate. Raw materials constitute approximately 80% of revenue. Exports contributed INR 17 Cr (~14% of revenue), creating forex exposure.</w:t>
      </w:r>
    </w:p>
    <w:p>
      <w:pPr>
        <w:pStyle w:val="ListBullet"/>
        <w:jc w:val="both"/>
      </w:pPr>
      <w:r>
        <w:rPr>
          <w:sz w:val="21"/>
        </w:rPr>
        <w:t xml:space="preserve">  </w:t>
      </w:r>
      <w:r>
        <w:rPr>
          <w:b/>
          <w:sz w:val="21"/>
        </w:rPr>
        <w:t>Mitigant:</w:t>
      </w:r>
      <w:r>
        <w:rPr>
          <w:sz w:val="21"/>
        </w:rPr>
        <w:t xml:space="preserve"> The Company employs vendor negotiation and supply chain diversification strategies. Anti-dumping duty on Chinese imports helps protect margins. The Company recorded an FX gain of INR 2 Cr in FY25.</w:t>
      </w:r>
    </w:p>
    <w:p>
      <w:pPr>
        <w:pStyle w:val="ListBullet"/>
        <w:jc w:val="both"/>
      </w:pPr>
      <w:r>
        <w:rPr>
          <w:sz w:val="21"/>
        </w:rPr>
        <w:t xml:space="preserve">  </w:t>
      </w:r>
      <w:r>
        <w:rPr>
          <w:b/>
          <w:sz w:val="21"/>
        </w:rPr>
        <w:t>Risk:</w:t>
      </w:r>
      <w:r>
        <w:rPr>
          <w:sz w:val="21"/>
        </w:rPr>
        <w:t xml:space="preserve"> Regulatory &amp; Quality Compliance (Operational Aspect)</w:t>
      </w:r>
    </w:p>
    <w:p>
      <w:pPr>
        <w:pStyle w:val="ListBullet"/>
        <w:jc w:val="both"/>
      </w:pPr>
      <w:r>
        <w:rPr>
          <w:sz w:val="21"/>
        </w:rPr>
        <w:t xml:space="preserve">  </w:t>
      </w:r>
      <w:r>
        <w:rPr>
          <w:b/>
          <w:sz w:val="21"/>
        </w:rPr>
        <w:t>Severity:</w:t>
      </w:r>
      <w:r>
        <w:rPr>
          <w:sz w:val="21"/>
        </w:rPr>
        <w:t xml:space="preserve"> Low. The Company is subject to various acts including the Petroleum Act, Legal Metrology Act, and Environmental Protection Act.</w:t>
      </w:r>
    </w:p>
    <w:p>
      <w:pPr>
        <w:pStyle w:val="ListBullet"/>
        <w:jc w:val="both"/>
      </w:pPr>
      <w:r>
        <w:rPr>
          <w:sz w:val="21"/>
        </w:rPr>
        <w:t xml:space="preserve">  </w:t>
      </w:r>
      <w:r>
        <w:rPr>
          <w:b/>
          <w:sz w:val="21"/>
        </w:rPr>
        <w:t>Mitigant:</w:t>
      </w:r>
      <w:r>
        <w:rPr>
          <w:sz w:val="21"/>
        </w:rPr>
        <w:t xml:space="preserve"> The Company is ISO 9001:2015 and ISO 14001:2015 certified, and its Luxor product is listed on the GRIHA product registry. The secretarial audit confirms proper Board processes and compliance mechanisms are in place.</w:t>
      </w:r>
    </w:p>
    <w:p/>
    <w:p>
      <w:pPr>
        <w:spacing w:after="80"/>
        <w:jc w:val="both"/>
      </w:pPr>
      <w:r>
        <w:rPr>
          <w:b/>
          <w:sz w:val="21"/>
        </w:rPr>
        <w:t>Market Risk</w:t>
      </w:r>
    </w:p>
    <w:p/>
    <w:p>
      <w:pPr>
        <w:pStyle w:val="ListBullet"/>
        <w:jc w:val="both"/>
      </w:pPr>
      <w:r>
        <w:rPr>
          <w:sz w:val="21"/>
        </w:rPr>
        <w:t xml:space="preserve">  </w:t>
      </w:r>
      <w:r>
        <w:rPr>
          <w:b/>
          <w:sz w:val="21"/>
        </w:rPr>
        <w:t>Risk:</w:t>
      </w:r>
      <w:r>
        <w:rPr>
          <w:sz w:val="21"/>
        </w:rPr>
        <w:t xml:space="preserve"> Customer / End-Market Concentration &amp; Cyclical Demand</w:t>
      </w:r>
    </w:p>
    <w:p>
      <w:pPr>
        <w:pStyle w:val="ListBullet"/>
        <w:jc w:val="both"/>
      </w:pPr>
      <w:r>
        <w:rPr>
          <w:sz w:val="21"/>
        </w:rPr>
        <w:t xml:space="preserve">  </w:t>
      </w:r>
      <w:r>
        <w:rPr>
          <w:b/>
          <w:sz w:val="21"/>
        </w:rPr>
        <w:t>Severity:</w:t>
      </w:r>
      <w:r>
        <w:rPr>
          <w:sz w:val="21"/>
        </w:rPr>
        <w:t xml:space="preserve"> Moderate. The Company has significant exposure to the construction and fit-out cycle, with airport/institutional projects forming a large share, leading to cyclical demand risk.</w:t>
      </w:r>
    </w:p>
    <w:p>
      <w:pPr>
        <w:pStyle w:val="ListBullet"/>
        <w:jc w:val="both"/>
      </w:pPr>
      <w:r>
        <w:rPr>
          <w:sz w:val="21"/>
        </w:rPr>
        <w:t xml:space="preserve">  </w:t>
      </w:r>
      <w:r>
        <w:rPr>
          <w:b/>
          <w:sz w:val="21"/>
        </w:rPr>
        <w:t>Mitigant:</w:t>
      </w:r>
      <w:r>
        <w:rPr>
          <w:sz w:val="21"/>
        </w:rPr>
        <w:t xml:space="preserve"> The Company is diversifying across residential, commercial, healthcare, and hospitality verticals, and expanding exports to over 6 countries.</w:t>
      </w:r>
    </w:p>
    <w:p>
      <w:pPr>
        <w:pStyle w:val="ListBullet"/>
        <w:jc w:val="both"/>
      </w:pPr>
      <w:r>
        <w:rPr>
          <w:sz w:val="21"/>
        </w:rPr>
        <w:t xml:space="preserve">  </w:t>
      </w:r>
      <w:r>
        <w:rPr>
          <w:b/>
          <w:sz w:val="21"/>
        </w:rPr>
        <w:t>Risk:</w:t>
      </w:r>
      <w:r>
        <w:rPr>
          <w:sz w:val="21"/>
        </w:rPr>
        <w:t xml:space="preserve"> Industry Fragmentation &amp; Competition</w:t>
      </w:r>
    </w:p>
    <w:p>
      <w:pPr>
        <w:pStyle w:val="ListBullet"/>
        <w:jc w:val="both"/>
      </w:pPr>
      <w:r>
        <w:rPr>
          <w:sz w:val="21"/>
        </w:rPr>
        <w:t xml:space="preserve">  </w:t>
      </w:r>
      <w:r>
        <w:rPr>
          <w:b/>
          <w:sz w:val="21"/>
        </w:rPr>
        <w:t>Severity:</w:t>
      </w:r>
      <w:r>
        <w:rPr>
          <w:sz w:val="21"/>
        </w:rPr>
        <w:t xml:space="preserve"> Moderate. The acrylic solid surface market is fragmented with both domestic and Chinese competition.</w:t>
      </w:r>
    </w:p>
    <w:p>
      <w:pPr>
        <w:pStyle w:val="ListBullet"/>
        <w:jc w:val="both"/>
      </w:pPr>
      <w:r>
        <w:rPr>
          <w:sz w:val="21"/>
        </w:rPr>
        <w:t xml:space="preserve">  </w:t>
      </w:r>
      <w:r>
        <w:rPr>
          <w:b/>
          <w:sz w:val="21"/>
        </w:rPr>
        <w:t>Mitigant:</w:t>
      </w:r>
      <w:r>
        <w:rPr>
          <w:sz w:val="21"/>
        </w:rPr>
        <w:t xml:space="preserve"> Anti-dumping duty on Chinese imports provides some protection. The Company benefits from a strong brand presence (LUXOR, ASPIRON, HERONITEZ), over 25 airport installations, and GRIHA listed products.</w:t>
      </w:r>
    </w:p>
    <w:p/>
    <w:p>
      <w:pPr>
        <w:spacing w:after="80"/>
        <w:jc w:val="both"/>
      </w:pPr>
      <w:r>
        <w:rPr>
          <w:b/>
          <w:sz w:val="21"/>
        </w:rPr>
        <w:t>Management Risk</w:t>
      </w:r>
    </w:p>
    <w:p/>
    <w:p>
      <w:pPr>
        <w:pStyle w:val="ListBullet"/>
        <w:jc w:val="both"/>
      </w:pPr>
      <w:r>
        <w:rPr>
          <w:sz w:val="21"/>
        </w:rPr>
        <w:t xml:space="preserve">  </w:t>
      </w:r>
      <w:r>
        <w:rPr>
          <w:b/>
          <w:sz w:val="21"/>
        </w:rPr>
        <w:t>Risk:</w:t>
      </w:r>
      <w:r>
        <w:rPr>
          <w:sz w:val="21"/>
        </w:rPr>
        <w:t xml:space="preserve"> Promoter Dependence &amp; Related Party Loans (Governance Aspect)</w:t>
      </w:r>
    </w:p>
    <w:p>
      <w:pPr>
        <w:pStyle w:val="ListBullet"/>
        <w:jc w:val="both"/>
      </w:pPr>
      <w:r>
        <w:rPr>
          <w:sz w:val="21"/>
        </w:rPr>
        <w:t xml:space="preserve">  </w:t>
      </w:r>
      <w:r>
        <w:rPr>
          <w:b/>
          <w:sz w:val="21"/>
        </w:rPr>
        <w:t>Severity:</w:t>
      </w:r>
      <w:r>
        <w:rPr>
          <w:sz w:val="21"/>
        </w:rPr>
        <w:t xml:space="preserve"> Moderate. The Company's strategy is centered on the Suthar family, who hold a 60.36% stake.</w:t>
      </w:r>
    </w:p>
    <w:p>
      <w:pPr>
        <w:pStyle w:val="ListBullet"/>
        <w:jc w:val="both"/>
      </w:pPr>
      <w:r>
        <w:rPr>
          <w:sz w:val="21"/>
        </w:rPr>
        <w:t xml:space="preserve">  </w:t>
      </w:r>
      <w:r>
        <w:rPr>
          <w:b/>
          <w:sz w:val="21"/>
        </w:rPr>
        <w:t>Mitigant:</w:t>
      </w:r>
      <w:r>
        <w:rPr>
          <w:sz w:val="21"/>
        </w:rPr>
        <w:t xml:space="preserve"> The Company has an experienced board with independent directors in place, and promoter loans are being systematically repaid.</w:t>
      </w:r>
    </w:p>
    <w:p>
      <w:pPr>
        <w:pStyle w:val="ListBullet"/>
        <w:jc w:val="both"/>
      </w:pPr>
      <w:r>
        <w:rPr>
          <w:sz w:val="21"/>
        </w:rPr>
        <w:t xml:space="preserve">  </w:t>
      </w:r>
      <w:r>
        <w:rPr>
          <w:b/>
          <w:sz w:val="21"/>
        </w:rPr>
        <w:t>Risk:</w:t>
      </w:r>
      <w:r>
        <w:rPr>
          <w:sz w:val="21"/>
        </w:rPr>
        <w:t xml:space="preserve"> Recent Listing / Governance Maturity</w:t>
      </w:r>
    </w:p>
    <w:p>
      <w:pPr>
        <w:pStyle w:val="ListBullet"/>
        <w:jc w:val="both"/>
      </w:pPr>
      <w:r>
        <w:rPr>
          <w:sz w:val="21"/>
        </w:rPr>
        <w:t xml:space="preserve">  </w:t>
      </w:r>
      <w:r>
        <w:rPr>
          <w:b/>
          <w:sz w:val="21"/>
        </w:rPr>
        <w:t>Severity:</w:t>
      </w:r>
      <w:r>
        <w:rPr>
          <w:sz w:val="21"/>
        </w:rPr>
        <w:t xml:space="preserve"> Low. The Company was listed on NSE Emerge in June 2024, meaning several SEBI LODR provisions are not yet applicable due to SME exemptions.</w:t>
      </w:r>
    </w:p>
    <w:p>
      <w:pPr>
        <w:pStyle w:val="ListBullet"/>
        <w:jc w:val="both"/>
      </w:pPr>
      <w:r>
        <w:rPr>
          <w:sz w:val="21"/>
        </w:rPr>
        <w:t xml:space="preserve">  </w:t>
      </w:r>
      <w:r>
        <w:rPr>
          <w:b/>
          <w:sz w:val="21"/>
        </w:rPr>
        <w:t>Mitigant:</w:t>
      </w:r>
      <w:r>
        <w:rPr>
          <w:sz w:val="21"/>
        </w:rPr>
        <w:t xml:space="preserve"> Voluntary audit committee, Nomination and Remuneration Committee (NRC), and Stakeholders Relationship Committee (SRC) are in place. The secretarial audit confirms general compliance.</w:t>
      </w:r>
    </w:p>
    <w:p>
      <w:pPr>
        <w:pStyle w:val="ListBullet"/>
        <w:jc w:val="both"/>
      </w:pPr>
      <w:r>
        <w:rPr>
          <w:sz w:val="21"/>
        </w:rPr>
        <w:t xml:space="preserve">  </w:t>
      </w:r>
      <w:r>
        <w:rPr>
          <w:b/>
          <w:sz w:val="21"/>
        </w:rPr>
        <w:t>Risk:</w:t>
      </w:r>
      <w:r>
        <w:rPr>
          <w:sz w:val="21"/>
        </w:rPr>
        <w:t xml:space="preserve"> Managerial Remuneration in Excess of Limits</w:t>
      </w:r>
    </w:p>
    <w:p>
      <w:pPr>
        <w:pStyle w:val="ListBullet"/>
        <w:jc w:val="both"/>
      </w:pPr>
      <w:r>
        <w:rPr>
          <w:sz w:val="21"/>
        </w:rPr>
        <w:t xml:space="preserve">  </w:t>
      </w:r>
      <w:r>
        <w:rPr>
          <w:b/>
          <w:sz w:val="21"/>
        </w:rPr>
        <w:t>Severity:</w:t>
      </w:r>
      <w:r>
        <w:rPr>
          <w:sz w:val="21"/>
        </w:rPr>
        <w:t xml:space="preserve"> Low. Remuneration paid to the Managing Director and Whole-time Director was in excess of 5% of net profits, and overall exceeded 11% of net profits.</w:t>
      </w:r>
    </w:p>
    <w:p>
      <w:pPr>
        <w:pStyle w:val="ListBullet"/>
        <w:jc w:val="both"/>
      </w:pPr>
      <w:r>
        <w:rPr>
          <w:sz w:val="21"/>
        </w:rPr>
        <w:t xml:space="preserve">  </w:t>
      </w:r>
      <w:r>
        <w:rPr>
          <w:b/>
          <w:sz w:val="21"/>
        </w:rPr>
        <w:t>Mitigant:</w:t>
      </w:r>
      <w:r>
        <w:rPr>
          <w:sz w:val="21"/>
        </w:rPr>
        <w:t xml:space="preserve"> The excess remuneration was approved by members via a special resolution at the AGM dated September 16, 2024, and the auditor confirmed compliance under Section 197 of the Companies Act.</w:t>
      </w:r>
    </w:p>
    <w:p/>
    <w:p>
      <w:pPr>
        <w:spacing w:after="80"/>
        <w:jc w:val="both"/>
      </w:pPr>
      <w:r>
        <w:rPr>
          <w:b/>
          <w:sz w:val="21"/>
        </w:rPr>
        <w:t>Compliance Risk</w:t>
      </w:r>
    </w:p>
    <w:p/>
    <w:p>
      <w:pPr>
        <w:pStyle w:val="ListBullet"/>
        <w:jc w:val="both"/>
      </w:pPr>
      <w:r>
        <w:rPr>
          <w:sz w:val="21"/>
        </w:rPr>
        <w:t xml:space="preserve">  </w:t>
      </w:r>
      <w:r>
        <w:rPr>
          <w:b/>
          <w:sz w:val="21"/>
        </w:rPr>
        <w:t>Risk:</w:t>
      </w:r>
      <w:r>
        <w:rPr>
          <w:sz w:val="21"/>
        </w:rPr>
        <w:t xml:space="preserve"> Contingent Liability / Tax Disputes</w:t>
      </w:r>
    </w:p>
    <w:p>
      <w:pPr>
        <w:pStyle w:val="ListBullet"/>
        <w:jc w:val="both"/>
      </w:pPr>
      <w:r>
        <w:rPr>
          <w:sz w:val="21"/>
        </w:rPr>
        <w:t xml:space="preserve">  </w:t>
      </w:r>
      <w:r>
        <w:rPr>
          <w:b/>
          <w:sz w:val="21"/>
        </w:rPr>
        <w:t>Severity:</w:t>
      </w:r>
      <w:r>
        <w:rPr>
          <w:sz w:val="21"/>
        </w:rPr>
        <w:t xml:space="preserve"> Critical Concern. Total disputed demands amount to INR 2,946 L, representing approximately 51% of the Company's net worth, from IT and GST authorities for FY17-18 and FY18-19.</w:t>
      </w:r>
    </w:p>
    <w:p>
      <w:pPr>
        <w:pStyle w:val="ListBullet"/>
        <w:jc w:val="both"/>
      </w:pPr>
      <w:r>
        <w:rPr>
          <w:sz w:val="21"/>
        </w:rPr>
        <w:t xml:space="preserve">  </w:t>
      </w:r>
      <w:r>
        <w:rPr>
          <w:b/>
          <w:sz w:val="21"/>
        </w:rPr>
        <w:t>Mitigant:</w:t>
      </w:r>
      <w:r>
        <w:rPr>
          <w:sz w:val="21"/>
        </w:rPr>
        <w:t xml:space="preserve"> INR 96.88 L has been paid under protest, and management is confident of a favorable outcome, hence no provision has been made. The Company received an unqualified audit opinion.</w:t>
      </w:r>
    </w:p>
    <w:p>
      <w:pPr>
        <w:pStyle w:val="ListBullet"/>
        <w:jc w:val="both"/>
      </w:pPr>
      <w:r>
        <w:rPr>
          <w:sz w:val="21"/>
        </w:rPr>
        <w:t xml:space="preserve">  </w:t>
      </w:r>
      <w:r>
        <w:rPr>
          <w:b/>
          <w:sz w:val="21"/>
        </w:rPr>
        <w:t>Risk:</w:t>
      </w:r>
      <w:r>
        <w:rPr>
          <w:sz w:val="21"/>
        </w:rPr>
        <w:t xml:space="preserve"> Managerial Remuneration in Excess of Limits (Compliance Aspect)</w:t>
      </w:r>
    </w:p>
    <w:p>
      <w:pPr>
        <w:pStyle w:val="ListBullet"/>
        <w:jc w:val="both"/>
      </w:pPr>
      <w:r>
        <w:rPr>
          <w:sz w:val="21"/>
        </w:rPr>
        <w:t xml:space="preserve">  </w:t>
      </w:r>
      <w:r>
        <w:rPr>
          <w:b/>
          <w:sz w:val="21"/>
        </w:rPr>
        <w:t>Severity:</w:t>
      </w:r>
      <w:r>
        <w:rPr>
          <w:sz w:val="21"/>
        </w:rPr>
        <w:t xml:space="preserve"> Low. Remuneration paid by the Company to its directors during the year was in excess of the limits prescribed under section 197 of the Act.</w:t>
      </w:r>
    </w:p>
    <w:p>
      <w:pPr>
        <w:pStyle w:val="ListBullet"/>
        <w:jc w:val="both"/>
      </w:pPr>
      <w:r>
        <w:rPr>
          <w:sz w:val="21"/>
        </w:rPr>
        <w:t xml:space="preserve">  </w:t>
      </w:r>
      <w:r>
        <w:rPr>
          <w:b/>
          <w:sz w:val="21"/>
        </w:rPr>
        <w:t>Mitigant:</w:t>
      </w:r>
      <w:r>
        <w:rPr>
          <w:sz w:val="21"/>
        </w:rPr>
        <w:t xml:space="preserve"> This was approved by the members by passing a special resolution at the AGM dated September 16, 2024, and the auditor confirmed compliance under Section 197.</w:t>
      </w:r>
    </w:p>
    <w:p/>
    <w:p>
      <w:pPr>
        <w:spacing w:after="80"/>
        <w:jc w:val="both"/>
      </w:pPr>
      <w:r>
        <w:rPr>
          <w:b/>
          <w:sz w:val="21"/>
        </w:rPr>
        <w:t>External Risk</w:t>
      </w:r>
    </w:p>
    <w:p/>
    <w:p>
      <w:pPr>
        <w:pStyle w:val="ListBullet"/>
        <w:jc w:val="both"/>
      </w:pPr>
      <w:r>
        <w:rPr>
          <w:sz w:val="21"/>
        </w:rPr>
        <w:t xml:space="preserve">  </w:t>
      </w:r>
      <w:r>
        <w:rPr>
          <w:b/>
          <w:sz w:val="21"/>
        </w:rPr>
        <w:t>Risk:</w:t>
      </w:r>
      <w:r>
        <w:rPr>
          <w:sz w:val="21"/>
        </w:rPr>
        <w:t xml:space="preserve"> ESG / Sustainability Factors</w:t>
      </w:r>
    </w:p>
    <w:p>
      <w:pPr>
        <w:pStyle w:val="ListBullet"/>
        <w:jc w:val="both"/>
      </w:pPr>
      <w:r>
        <w:rPr>
          <w:sz w:val="21"/>
        </w:rPr>
        <w:t xml:space="preserve">  </w:t>
      </w:r>
      <w:r>
        <w:rPr>
          <w:b/>
          <w:sz w:val="21"/>
        </w:rPr>
        <w:t>Severity:</w:t>
      </w:r>
      <w:r>
        <w:rPr>
          <w:sz w:val="21"/>
        </w:rPr>
        <w:t xml:space="preserve"> Low. No specific negative ESG flags have been identified.</w:t>
      </w:r>
    </w:p>
    <w:p>
      <w:pPr>
        <w:pStyle w:val="ListBullet"/>
        <w:jc w:val="both"/>
      </w:pPr>
      <w:r>
        <w:rPr>
          <w:sz w:val="21"/>
        </w:rPr>
        <w:t xml:space="preserve">  </w:t>
      </w:r>
      <w:r>
        <w:rPr>
          <w:b/>
          <w:sz w:val="21"/>
        </w:rPr>
        <w:t>Mitigant:</w:t>
      </w:r>
      <w:r>
        <w:rPr>
          <w:sz w:val="21"/>
        </w:rPr>
        <w:t xml:space="preserve"> The Company is ISO 14001 certified, its product is GRIHA listed, and it currently has no CSR obligation.</w:t>
      </w:r>
    </w:p>
    <w:p/>
    <w:p>
      <w:r>
        <w:rPr>
          <w:b/>
          <w:color w:val="003366"/>
          <w:sz w:val="22"/>
        </w:rPr>
        <w:t>2. SAVE Risk Rating</w:t>
      </w:r>
    </w:p>
    <w:p/>
    <w:p>
      <w:pPr>
        <w:spacing w:after="80"/>
        <w:jc w:val="both"/>
      </w:pPr>
      <w:r>
        <w:rPr>
          <w:sz w:val="21"/>
        </w:rPr>
        <w:t xml:space="preserve">Durlax Top Surface Limited has an overall SAVE Composite Score of </w:t>
      </w:r>
      <w:r>
        <w:rPr>
          <w:b/>
          <w:sz w:val="21"/>
        </w:rPr>
        <w:t>5.70</w:t>
      </w:r>
      <w:r>
        <w:rPr>
          <w:sz w:val="21"/>
        </w:rPr>
        <w:t xml:space="preserve">, resulting in a SAVE Risk Rating of </w:t>
      </w:r>
      <w:r>
        <w:rPr>
          <w:b/>
          <w:sz w:val="21"/>
        </w:rPr>
        <w:t>ELEVATED RISK</w:t>
      </w:r>
      <w:r>
        <w:rPr>
          <w:sz w:val="21"/>
        </w:rPr>
        <w:t>. There is no previous rating or rating movement recorded.</w:t>
      </w:r>
    </w:p>
    <w:p/>
    <w:p>
      <w:pPr>
        <w:spacing w:after="80"/>
        <w:jc w:val="both"/>
      </w:pPr>
      <w:r>
        <w:rPr>
          <w:sz w:val="21"/>
        </w:rPr>
        <w:t>This "ELEVATED RISK" rating implies that the borrower exhibits significant credit weaknesses, particularly in cash flow adequacy and asset quality, which could impact its ability to meet financial obligations. While the Company demonstrates strengths in profitability and growth, and has an experienced management team, the critical concerns around negative operating cash flows, low DSCR, and substantial contingent liabilities contribute to a higher risk profile.</w:t>
      </w:r>
    </w:p>
    <w:p/>
    <w:p>
      <w:r>
        <w:rPr>
          <w:b/>
          <w:color w:val="003366"/>
          <w:sz w:val="22"/>
        </w:rPr>
        <w:t>The sub-scores for the risk dimensions are as follows:</w:t>
      </w:r>
    </w:p>
    <w:p>
      <w:pPr>
        <w:pStyle w:val="ListBullet"/>
        <w:jc w:val="both"/>
      </w:pPr>
      <w:r>
        <w:rPr>
          <w:sz w:val="21"/>
        </w:rPr>
        <w:t xml:space="preserve">  Financial Strength: 6 (Weighted Score: 1.5)</w:t>
      </w:r>
    </w:p>
    <w:p>
      <w:pPr>
        <w:pStyle w:val="ListBullet"/>
        <w:jc w:val="both"/>
      </w:pPr>
      <w:r>
        <w:rPr>
          <w:sz w:val="21"/>
        </w:rPr>
        <w:t xml:space="preserve">  Profitability &amp; Growth: 7 (Weighted Score: 1.4)</w:t>
      </w:r>
    </w:p>
    <w:p>
      <w:pPr>
        <w:pStyle w:val="ListBullet"/>
        <w:jc w:val="both"/>
      </w:pPr>
      <w:r>
        <w:rPr>
          <w:sz w:val="21"/>
        </w:rPr>
        <w:t xml:space="preserve">  Cash Flow Adequacy: 3 (Weighted Score: 0.45)</w:t>
      </w:r>
    </w:p>
    <w:p>
      <w:pPr>
        <w:pStyle w:val="ListBullet"/>
        <w:jc w:val="both"/>
      </w:pPr>
      <w:r>
        <w:rPr>
          <w:sz w:val="21"/>
        </w:rPr>
        <w:t xml:space="preserve">  Asset Quality: 6 (Weighted Score: 0.6)</w:t>
      </w:r>
    </w:p>
    <w:p>
      <w:pPr>
        <w:pStyle w:val="ListBullet"/>
        <w:jc w:val="both"/>
      </w:pPr>
      <w:r>
        <w:rPr>
          <w:sz w:val="21"/>
        </w:rPr>
        <w:t xml:space="preserve">  Industry / Market Risk: 6 (Weighted Score: 0.6)</w:t>
      </w:r>
    </w:p>
    <w:p>
      <w:pPr>
        <w:pStyle w:val="ListBullet"/>
        <w:jc w:val="both"/>
      </w:pPr>
      <w:r>
        <w:rPr>
          <w:sz w:val="21"/>
        </w:rPr>
        <w:t xml:space="preserve">  Management Quality: 6 (Weighted Score: 0.6)</w:t>
      </w:r>
    </w:p>
    <w:p>
      <w:pPr>
        <w:pStyle w:val="ListBullet"/>
        <w:jc w:val="both"/>
      </w:pPr>
      <w:r>
        <w:rPr>
          <w:sz w:val="21"/>
        </w:rPr>
        <w:t xml:space="preserve">  Compliance &amp; Legal: 5 (Weighted Score: 0.25)</w:t>
      </w:r>
    </w:p>
    <w:p>
      <w:pPr>
        <w:pStyle w:val="ListBullet"/>
        <w:jc w:val="both"/>
      </w:pPr>
      <w:r>
        <w:rPr>
          <w:sz w:val="21"/>
        </w:rPr>
        <w:t xml:space="preserve">  ESG / Sustainability: 6 (Weighted Score: 0.3)</w:t>
      </w:r>
    </w:p>
    <w:p/>
    <w:p>
      <w:r>
        <w:rPr>
          <w:b/>
          <w:color w:val="003366"/>
          <w:sz w:val="22"/>
        </w:rPr>
        <w:t>3. Security &amp; Collateral</w:t>
      </w:r>
    </w:p>
    <w:p/>
    <w:p>
      <w:pPr>
        <w:spacing w:after="80"/>
        <w:jc w:val="both"/>
      </w:pPr>
      <w:r>
        <w:rPr>
          <w:sz w:val="21"/>
        </w:rPr>
        <w:t>The Company has provided the following security and collateral:</w:t>
      </w:r>
    </w:p>
    <w:p/>
    <w:p>
      <w:pPr>
        <w:pStyle w:val="ListBullet"/>
        <w:jc w:val="both"/>
      </w:pPr>
      <w:r>
        <w:rPr>
          <w:sz w:val="21"/>
        </w:rPr>
        <w:t xml:space="preserve">  </w:t>
      </w:r>
      <w:r>
        <w:rPr>
          <w:b/>
          <w:sz w:val="21"/>
        </w:rPr>
        <w:t>Primary Security:</w:t>
      </w:r>
    </w:p>
    <w:p>
      <w:pPr>
        <w:pStyle w:val="ListBullet"/>
        <w:jc w:val="both"/>
      </w:pPr>
      <w:r>
        <w:rPr>
          <w:sz w:val="21"/>
        </w:rPr>
        <w:t xml:space="preserve">  </w:t>
      </w:r>
      <w:r>
        <w:rPr>
          <w:b/>
          <w:sz w:val="21"/>
        </w:rPr>
        <w:t>Description:</w:t>
      </w:r>
      <w:r>
        <w:rPr>
          <w:sz w:val="21"/>
        </w:rPr>
        <w:t xml:space="preserve"> Charge, Mortgage, Pledge, Hypothecation over all immovable and movable properties of the Company, wheresoever situate, present and future, or the whole or substantially the whole of the undertaking or undertakings of the Company.</w:t>
      </w:r>
    </w:p>
    <w:p>
      <w:pPr>
        <w:pStyle w:val="ListBullet"/>
        <w:jc w:val="both"/>
      </w:pPr>
      <w:r>
        <w:rPr>
          <w:sz w:val="21"/>
        </w:rPr>
        <w:t xml:space="preserve">  </w:t>
      </w:r>
      <w:r>
        <w:rPr>
          <w:b/>
          <w:sz w:val="21"/>
        </w:rPr>
        <w:t>Value:</w:t>
      </w:r>
      <w:r>
        <w:rPr>
          <w:sz w:val="21"/>
        </w:rPr>
        <w:t xml:space="preserve"> INR 20,000 L</w:t>
      </w:r>
    </w:p>
    <w:p>
      <w:pPr>
        <w:pStyle w:val="ListBullet"/>
        <w:jc w:val="both"/>
      </w:pPr>
      <w:r>
        <w:rPr>
          <w:sz w:val="21"/>
        </w:rPr>
        <w:t xml:space="preserve">  </w:t>
      </w:r>
      <w:r>
        <w:rPr>
          <w:b/>
          <w:sz w:val="21"/>
        </w:rPr>
        <w:t>Coverage:</w:t>
      </w:r>
      <w:r>
        <w:rPr>
          <w:sz w:val="21"/>
        </w:rPr>
        <w:t xml:space="preserve"> This security is intended to secure financial assistance (loans, debentures, etc.) provided or to be provided by corporate entities, banks, financial institutions, and other creditors, including existing and future mortgages/charges.</w:t>
      </w:r>
    </w:p>
    <w:p>
      <w:pPr>
        <w:pStyle w:val="ListBullet"/>
        <w:jc w:val="both"/>
      </w:pPr>
      <w:r>
        <w:rPr>
          <w:sz w:val="21"/>
        </w:rPr>
        <w:t xml:space="preserve">  </w:t>
      </w:r>
      <w:r>
        <w:rPr>
          <w:b/>
          <w:sz w:val="21"/>
        </w:rPr>
        <w:t>Collateral Security (Enabling Resolutions for Guarantees/Securities):</w:t>
      </w:r>
    </w:p>
    <w:p>
      <w:pPr>
        <w:pStyle w:val="ListBullet"/>
        <w:jc w:val="both"/>
      </w:pPr>
      <w:r>
        <w:rPr>
          <w:sz w:val="21"/>
        </w:rPr>
        <w:t xml:space="preserve">  </w:t>
      </w:r>
      <w:r>
        <w:rPr>
          <w:b/>
          <w:sz w:val="21"/>
        </w:rPr>
        <w:t>Description:</w:t>
      </w:r>
      <w:r>
        <w:rPr>
          <w:sz w:val="21"/>
        </w:rPr>
        <w:t xml:space="preserve"> Guarantee and Security in connection with any loan taken/to be taken by any Subsidiary, Associate, Joint Venture, group entity of the Company, or any other person in whom any Director is deemed to be interested.</w:t>
      </w:r>
    </w:p>
    <w:p>
      <w:pPr>
        <w:pStyle w:val="ListBullet"/>
        <w:jc w:val="both"/>
      </w:pPr>
      <w:r>
        <w:rPr>
          <w:sz w:val="21"/>
        </w:rPr>
        <w:t xml:space="preserve">  </w:t>
      </w:r>
      <w:r>
        <w:rPr>
          <w:b/>
          <w:sz w:val="21"/>
        </w:rPr>
        <w:t>Value:</w:t>
      </w:r>
      <w:r>
        <w:rPr>
          <w:sz w:val="21"/>
        </w:rPr>
        <w:t xml:space="preserve"> INR 20,000 L</w:t>
      </w:r>
    </w:p>
    <w:p>
      <w:pPr>
        <w:pStyle w:val="ListBullet"/>
        <w:jc w:val="both"/>
      </w:pPr>
      <w:r>
        <w:rPr>
          <w:sz w:val="21"/>
        </w:rPr>
        <w:t xml:space="preserve">  </w:t>
      </w:r>
      <w:r>
        <w:rPr>
          <w:b/>
          <w:sz w:val="21"/>
        </w:rPr>
        <w:t>Coverage:</w:t>
      </w:r>
      <w:r>
        <w:rPr>
          <w:sz w:val="21"/>
        </w:rPr>
        <w:t xml:space="preserve"> This represents an enabling resolution to authorize the Board of Directors for providing such loan, guarantee or security.</w:t>
      </w:r>
    </w:p>
    <w:p>
      <w:pPr>
        <w:pStyle w:val="ListBullet"/>
        <w:jc w:val="both"/>
      </w:pPr>
      <w:r>
        <w:rPr>
          <w:sz w:val="21"/>
        </w:rPr>
        <w:t xml:space="preserve">  </w:t>
      </w:r>
      <w:r>
        <w:rPr>
          <w:b/>
          <w:sz w:val="21"/>
        </w:rPr>
        <w:t>Description:</w:t>
      </w:r>
      <w:r>
        <w:rPr>
          <w:sz w:val="21"/>
        </w:rPr>
        <w:t xml:space="preserve"> Guarantee and Security in connection with a loan to any other body corporate or person, or to acquire securities of any other body corporate.</w:t>
      </w:r>
    </w:p>
    <w:p>
      <w:pPr>
        <w:pStyle w:val="ListBullet"/>
        <w:jc w:val="both"/>
      </w:pPr>
      <w:r>
        <w:rPr>
          <w:sz w:val="21"/>
        </w:rPr>
        <w:t xml:space="preserve">  </w:t>
      </w:r>
      <w:r>
        <w:rPr>
          <w:b/>
          <w:sz w:val="21"/>
        </w:rPr>
        <w:t>Value:</w:t>
      </w:r>
      <w:r>
        <w:rPr>
          <w:sz w:val="21"/>
        </w:rPr>
        <w:t xml:space="preserve"> INR 20,000 L</w:t>
      </w:r>
    </w:p>
    <w:p>
      <w:pPr>
        <w:pStyle w:val="ListBullet"/>
        <w:jc w:val="both"/>
      </w:pPr>
      <w:r>
        <w:rPr>
          <w:sz w:val="21"/>
        </w:rPr>
        <w:t xml:space="preserve">  </w:t>
      </w:r>
      <w:r>
        <w:rPr>
          <w:b/>
          <w:sz w:val="21"/>
        </w:rPr>
        <w:t>Coverage:</w:t>
      </w:r>
      <w:r>
        <w:rPr>
          <w:sz w:val="21"/>
        </w:rPr>
        <w:t xml:space="preserve"> This represents an enabling resolution to authorize the Board of Directors to give any loan, to give any guarantee, to provide security or to acquire securities of any other body corporate.</w:t>
      </w:r>
    </w:p>
    <w:p/>
    <w:p>
      <w:pPr>
        <w:spacing w:after="80"/>
        <w:jc w:val="both"/>
      </w:pPr>
      <w:r>
        <w:rPr>
          <w:sz w:val="21"/>
        </w:rPr>
        <w:t xml:space="preserve">The total value of the security and collateral provided is </w:t>
      </w:r>
      <w:r>
        <w:rPr>
          <w:b/>
          <w:sz w:val="21"/>
        </w:rPr>
        <w:t>INR 60,000 L</w:t>
      </w:r>
      <w:r>
        <w:rPr>
          <w:sz w:val="21"/>
        </w:rPr>
        <w:t>.</w:t>
      </w:r>
    </w:p>
    <w:p/>
    <w:p>
      <w:r>
        <w:rPr>
          <w:b/>
          <w:color w:val="003366"/>
          <w:sz w:val="22"/>
        </w:rPr>
        <w:t>4. Contingent Liabilities</w:t>
      </w:r>
    </w:p>
    <w:p/>
    <w:p>
      <w:pPr>
        <w:spacing w:after="80"/>
        <w:jc w:val="both"/>
      </w:pPr>
      <w:r>
        <w:rPr>
          <w:sz w:val="21"/>
        </w:rPr>
        <w:t>The Company has identified the following material contingent liabilities as of March 31, 2025:</w:t>
      </w:r>
    </w:p>
    <w:p/>
    <w:p>
      <w:pPr>
        <w:pStyle w:val="ListBullet"/>
        <w:jc w:val="both"/>
      </w:pPr>
      <w:r>
        <w:rPr>
          <w:sz w:val="21"/>
        </w:rPr>
        <w:t xml:space="preserve">  </w:t>
      </w:r>
      <w:r>
        <w:rPr>
          <w:b/>
          <w:sz w:val="21"/>
        </w:rPr>
        <w:t>Disputed Income Tax:</w:t>
      </w:r>
      <w:r>
        <w:rPr>
          <w:sz w:val="21"/>
        </w:rPr>
        <w:t xml:space="preserve"> INR 1,647.79 L for FY 2017-18, pending at the Commissioner of Income Tax Appeal.</w:t>
      </w:r>
    </w:p>
    <w:p>
      <w:pPr>
        <w:pStyle w:val="ListBullet"/>
        <w:jc w:val="both"/>
      </w:pPr>
      <w:r>
        <w:rPr>
          <w:sz w:val="21"/>
        </w:rPr>
        <w:t xml:space="preserve">  </w:t>
      </w:r>
      <w:r>
        <w:rPr>
          <w:b/>
          <w:sz w:val="21"/>
        </w:rPr>
        <w:t>Disputed GST:</w:t>
      </w:r>
      <w:r>
        <w:rPr>
          <w:sz w:val="21"/>
        </w:rPr>
        <w:t xml:space="preserve"> INR 1,133.57 L for FY 2017-18, pending at the Commissioner of GST (Appeal).</w:t>
      </w:r>
    </w:p>
    <w:p>
      <w:pPr>
        <w:pStyle w:val="ListBullet"/>
        <w:jc w:val="both"/>
      </w:pPr>
      <w:r>
        <w:rPr>
          <w:sz w:val="21"/>
        </w:rPr>
        <w:t xml:space="preserve">  </w:t>
      </w:r>
      <w:r>
        <w:rPr>
          <w:b/>
          <w:sz w:val="21"/>
        </w:rPr>
        <w:t>Disputed GST:</w:t>
      </w:r>
      <w:r>
        <w:rPr>
          <w:sz w:val="21"/>
        </w:rPr>
        <w:t xml:space="preserve"> INR 164.50 L for FY 2018-19, pending at the Commissioner of GST (Appeal).</w:t>
      </w:r>
    </w:p>
    <w:p/>
    <w:p>
      <w:pPr>
        <w:spacing w:after="80"/>
        <w:jc w:val="both"/>
      </w:pPr>
      <w:r>
        <w:rPr>
          <w:sz w:val="21"/>
        </w:rPr>
        <w:t xml:space="preserve">The aggregate amount of these disputed demands totals </w:t>
      </w:r>
      <w:r>
        <w:rPr>
          <w:b/>
          <w:sz w:val="21"/>
        </w:rPr>
        <w:t>INR 2,945.86 L</w:t>
      </w:r>
      <w:r>
        <w:rPr>
          <w:sz w:val="21"/>
        </w:rPr>
        <w:t>. This represents approximately 51% of the Company's net worth. The Company has paid INR 96.88 L under protest and management is confident of a favorable outcome, thus no provision has been made in the financial statements.</w:t>
      </w:r>
    </w:p>
    <w:p/>
    <w:p>
      <w:pPr>
        <w:spacing w:after="80"/>
        <w:jc w:val="both"/>
      </w:pPr>
      <w:r>
        <w:rPr>
          <w:sz w:val="21"/>
        </w:rPr>
        <w:t>The auditor's report confirms that the Company does not have any other pending litigations which would impact its financial position as on March 31, 2025. No material uncertainty exists regarding the company's ability to meet liabilities within one year.</w:t>
      </w:r>
    </w:p>
    <w:p/>
    <w:p>
      <w:pPr>
        <w:pStyle w:val="Heading1"/>
        <w:spacing w:before="320" w:after="160"/>
      </w:pPr>
      <w:r>
        <w:rPr>
          <w:b/>
          <w:color w:val="003366"/>
          <w:sz w:val="26"/>
        </w:rPr>
        <w:t>SECTION 5 — DATA CONSISTENCY REVIEW</w:t>
      </w:r>
    </w:p>
    <w:p>
      <w:pPr>
        <w:pBdr>
          <w:bottom w:val="single" w:sz="6" w:space="1" w:color="003366"/>
        </w:pBdr>
      </w:pPr>
    </w:p>
    <w:p>
      <w:pPr>
        <w:pStyle w:val="ListBullet"/>
        <w:jc w:val="both"/>
      </w:pPr>
      <w:r>
        <w:rPr>
          <w:b/>
          <w:sz w:val="21"/>
        </w:rPr>
        <w:t>Promoter Shareholding Percentage</w:t>
      </w:r>
      <w:r>
        <w:rPr>
          <w:sz w:val="21"/>
        </w:rPr>
        <w:t>: BORROWER PROFILE reports "0.0%" while SAVE RISK RATING reports "60.36%" (severity: critical)</w:t>
      </w:r>
    </w:p>
    <w:p/>
    <w:p>
      <w:pPr>
        <w:pStyle w:val="ListBullet"/>
        <w:jc w:val="both"/>
      </w:pPr>
      <w:r>
        <w:rPr>
          <w:b/>
          <w:sz w:val="21"/>
        </w:rPr>
        <w:t>PAT Margin (FY2025)</w:t>
      </w:r>
      <w:r>
        <w:rPr>
          <w:sz w:val="21"/>
        </w:rPr>
        <w:t>: FINANCIALS reports "6.0%" while SAVE RISK RATING reports "6.11%" (severity: minor)</w:t>
      </w:r>
    </w:p>
    <w:p/>
    <w:p>
      <w:pPr>
        <w:pStyle w:val="ListBullet"/>
        <w:jc w:val="both"/>
      </w:pPr>
      <w:r>
        <w:rPr>
          <w:b/>
          <w:sz w:val="21"/>
        </w:rPr>
        <w:t>EBITDA Margin (FY2025)</w:t>
      </w:r>
      <w:r>
        <w:rPr>
          <w:sz w:val="21"/>
        </w:rPr>
        <w:t>: FINANCIALS reports "11.0%" while SAVE RISK RATING reports "11.4%" (severity: minor)</w:t>
      </w:r>
    </w:p>
    <w:p/>
    <w:p>
      <w:pPr>
        <w:pStyle w:val="ListBullet"/>
        <w:jc w:val="both"/>
      </w:pPr>
      <w:r>
        <w:rPr>
          <w:b/>
          <w:sz w:val="21"/>
        </w:rPr>
        <w:t>Cash Losses / Operating Cash Flow (FY2024 &amp; FY2025)</w:t>
      </w:r>
      <w:r>
        <w:rPr>
          <w:sz w:val="21"/>
        </w:rPr>
        <w:t>: AUDIT FINDINGS reports "The company has not incurred cash losses in the current financial year and in the immediately preceding financial year." while FINANCIALS; SAVE RISK RATING reports "Negative operating cash flow of INR -678 L (FY2025) and INR -1,660 L (FY2024)." (severity: critical)</w:t>
      </w:r>
    </w:p>
    <w:p/>
    <w:p>
      <w:pPr>
        <w:pStyle w:val="ListBullet"/>
        <w:jc w:val="both"/>
      </w:pPr>
      <w:r>
        <w:rPr>
          <w:b/>
          <w:sz w:val="21"/>
        </w:rPr>
        <w:t>promoter_shareholding_percentage</w:t>
      </w:r>
      <w:r>
        <w:rPr>
          <w:sz w:val="21"/>
        </w:rPr>
        <w:t>: BORROWER PROFILE reports "0.0%" while SAVE RISK RATING reports "60.36%" (severity: critical)</w:t>
      </w:r>
    </w:p>
    <w:p/>
    <w:p>
      <w:pPr>
        <w:pStyle w:val="ListBullet"/>
        <w:jc w:val="both"/>
      </w:pPr>
      <w:r>
        <w:rPr>
          <w:b/>
          <w:sz w:val="21"/>
        </w:rPr>
        <w:t>pat_margin_fy2025</w:t>
      </w:r>
      <w:r>
        <w:rPr>
          <w:sz w:val="21"/>
        </w:rPr>
        <w:t>: FINANCIALS reports "6.0% (calculated as 749.66 / 12482.01)" while SAVE RISK RATING reports "6.11%" (severity: minor)</w:t>
      </w:r>
    </w:p>
    <w:p/>
    <w:p>
      <w:pPr>
        <w:pStyle w:val="ListBullet"/>
        <w:jc w:val="both"/>
      </w:pPr>
      <w:r>
        <w:rPr>
          <w:b/>
          <w:sz w:val="21"/>
        </w:rPr>
        <w:t>ebitda_margin_fy2025</w:t>
      </w:r>
      <w:r>
        <w:rPr>
          <w:sz w:val="21"/>
        </w:rPr>
        <w:t>: FINANCIALS reports "11.2% (calculated as 1400.00 / 12482.01)" while SAVE RISK RATING reports "~11.4%" (severity: minor)</w:t>
      </w:r>
    </w:p>
    <w:p/>
    <w:p>
      <w:pPr>
        <w:pStyle w:val="ListBullet"/>
        <w:jc w:val="both"/>
      </w:pPr>
      <w:r>
        <w:rPr>
          <w:b/>
          <w:sz w:val="21"/>
        </w:rPr>
        <w:t>cash_losses_incurred</w:t>
      </w:r>
      <w:r>
        <w:rPr>
          <w:sz w:val="21"/>
        </w:rPr>
        <w:t>: FINANCIALS reports "Negative operating cash flows of INR -678.25 Lakhs (FY2025) and INR -1660.47 Lakhs (FY2024)" while AUDIT FINDINGS reports "The company has not incurred cash losses in the current financial year and in the immediately preceding financial year." (severity: critical)</w:t>
      </w:r>
    </w:p>
    <w:p/>
    <w:p>
      <w:pPr>
        <w:pStyle w:val="ListBullet"/>
        <w:jc w:val="both"/>
      </w:pPr>
      <w:r>
        <w:rPr>
          <w:b/>
          <w:sz w:val="21"/>
        </w:rPr>
        <w:t>immovable_property_holding</w:t>
      </w:r>
      <w:r>
        <w:rPr>
          <w:sz w:val="21"/>
        </w:rPr>
        <w:t>: AUDIT FINDINGS reports "The company does not hold any immovable property during the year." while CREDIT PROFILE / COLLATERAL INFO reports "Credit Profile mentions charges on 'Land, Building', 'Factory Land &amp; Building'. Collateral Info mentions 'All immovable and movable properties'." (severity: critical)</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2"/>
        </w:rPr>
        <w:t>5.1 Proposed Credit Structure</w:t>
      </w:r>
    </w:p>
    <w:p/>
    <w:p>
      <w:pPr>
        <w:spacing w:after="80"/>
        <w:jc w:val="both"/>
      </w:pPr>
      <w:r>
        <w:rPr>
          <w:sz w:val="21"/>
        </w:rPr>
        <w:t>Based on the comprehensive credit assessment of DURLAX TOP SURFACE LIMITED's financial performance, operational dynamics, and identified liquidity requirements, the following credit structure is recommended:</w:t>
      </w:r>
    </w:p>
    <w:p/>
    <w:p>
      <w:pPr>
        <w:pStyle w:val="ListBullet"/>
        <w:jc w:val="both"/>
      </w:pPr>
      <w:r>
        <w:rPr>
          <w:sz w:val="21"/>
        </w:rPr>
        <w:t xml:space="preserve">  </w:t>
      </w:r>
      <w:r>
        <w:rPr>
          <w:b/>
          <w:sz w:val="21"/>
        </w:rPr>
        <w:t>Facility Type</w:t>
      </w:r>
      <w:r>
        <w:rPr>
          <w:sz w:val="21"/>
        </w:rPr>
        <w:t>: Fund-Based Working Capital Facility (Cash Credit)</w:t>
      </w:r>
    </w:p>
    <w:p>
      <w:pPr>
        <w:pStyle w:val="ListBullet"/>
        <w:jc w:val="both"/>
      </w:pPr>
      <w:r>
        <w:rPr>
          <w:sz w:val="21"/>
        </w:rPr>
        <w:t xml:space="preserve">  </w:t>
      </w:r>
      <w:r>
        <w:rPr>
          <w:b/>
          <w:sz w:val="21"/>
        </w:rPr>
        <w:t>Facility Amount</w:t>
      </w:r>
      <w:r>
        <w:rPr>
          <w:sz w:val="21"/>
        </w:rPr>
        <w:t>: INR 2,000 Lakhs (Indian Rupees Two Thousand Lakhs only)</w:t>
      </w:r>
    </w:p>
    <w:p>
      <w:pPr>
        <w:pStyle w:val="ListBullet"/>
        <w:jc w:val="both"/>
      </w:pPr>
      <w:r>
        <w:rPr>
          <w:sz w:val="21"/>
        </w:rPr>
        <w:t xml:space="preserve">  *Justification*: This facility amount is proposed to support the Company's expanding operational scale, evidenced by a net sales (revenue) of INR 12265.25 Lakhs in FY2025. The proposed limit, representing approximately 16.3% of the FY2025 revenue, is intended to address the persistent negative operating cash flow (INR -678 Lakhs in FY2025) and significant working capital absorption (high inventory and debtor days) identified in the financial analysis, thereby providing essential liquidity for day-to-day operations.</w:t>
      </w:r>
    </w:p>
    <w:p>
      <w:pPr>
        <w:pStyle w:val="ListBullet"/>
        <w:jc w:val="both"/>
      </w:pPr>
      <w:r>
        <w:rPr>
          <w:sz w:val="21"/>
        </w:rPr>
        <w:t xml:space="preserve">  </w:t>
      </w:r>
      <w:r>
        <w:rPr>
          <w:b/>
          <w:sz w:val="21"/>
        </w:rPr>
        <w:t>Tenor</w:t>
      </w:r>
      <w:r>
        <w:rPr>
          <w:sz w:val="21"/>
        </w:rPr>
        <w:t>: 12 months, revolving, subject to annual review and renewal.</w:t>
      </w:r>
    </w:p>
    <w:p>
      <w:pPr>
        <w:pStyle w:val="ListBullet"/>
        <w:jc w:val="both"/>
      </w:pPr>
      <w:r>
        <w:rPr>
          <w:sz w:val="21"/>
        </w:rPr>
        <w:t xml:space="preserve">  </w:t>
      </w:r>
      <w:r>
        <w:rPr>
          <w:b/>
          <w:sz w:val="21"/>
        </w:rPr>
        <w:t>Interest Rate</w:t>
      </w:r>
      <w:r>
        <w:rPr>
          <w:sz w:val="21"/>
        </w:rPr>
        <w:t>: 11.00% per annum, linked to the Bank's Marginal Cost of Funds Based Lending Rate (MCLR), reset quarterly.</w:t>
      </w:r>
    </w:p>
    <w:p>
      <w:pPr>
        <w:pStyle w:val="ListBullet"/>
        <w:jc w:val="both"/>
      </w:pPr>
      <w:r>
        <w:rPr>
          <w:sz w:val="21"/>
        </w:rPr>
        <w:t xml:space="preserve">  </w:t>
      </w:r>
      <w:r>
        <w:rPr>
          <w:b/>
          <w:sz w:val="21"/>
        </w:rPr>
        <w:t>Repayment Schedule</w:t>
      </w:r>
      <w:r>
        <w:rPr>
          <w:sz w:val="21"/>
        </w:rPr>
        <w:t>: Interest payable monthly. The principal amount is revolving, with drawings permitted up to the sanctioned limit and available drawing power, based on the hypothecated current assets.</w:t>
      </w:r>
    </w:p>
    <w:p>
      <w:pPr>
        <w:pStyle w:val="ListBullet"/>
        <w:jc w:val="both"/>
      </w:pPr>
      <w:r>
        <w:rPr>
          <w:sz w:val="21"/>
        </w:rPr>
        <w:t xml:space="preserve">  </w:t>
      </w:r>
      <w:r>
        <w:rPr>
          <w:b/>
          <w:sz w:val="21"/>
        </w:rPr>
        <w:t>Security</w:t>
      </w:r>
      <w:r>
        <w:rPr>
          <w:sz w:val="21"/>
        </w:rPr>
        <w:t>:</w:t>
      </w:r>
    </w:p>
    <w:p>
      <w:pPr>
        <w:pStyle w:val="ListBullet"/>
        <w:jc w:val="both"/>
      </w:pPr>
      <w:r>
        <w:rPr>
          <w:sz w:val="21"/>
        </w:rPr>
        <w:t xml:space="preserve">  First pari passu charge on all current assets (including stock, book debts, and other current assets) of DURLAX TOP SURFACE LIMITED.</w:t>
      </w:r>
    </w:p>
    <w:p>
      <w:pPr>
        <w:pStyle w:val="ListBullet"/>
        <w:jc w:val="both"/>
      </w:pPr>
      <w:r>
        <w:rPr>
          <w:sz w:val="21"/>
        </w:rPr>
        <w:t xml:space="preserve">  Second pari passu charge on all existing and future immovable properties (Land &amp; Building) and Plant &amp; Machinery of the Company.</w:t>
      </w:r>
    </w:p>
    <w:p>
      <w:pPr>
        <w:pStyle w:val="ListBullet"/>
        <w:jc w:val="both"/>
      </w:pPr>
      <w:r>
        <w:rPr>
          <w:sz w:val="21"/>
        </w:rPr>
        <w:t xml:space="preserve">  Personal Guarantee of Mr. Shravan Suthar (Managing Director) and Mr. Lalit Suthar (Whole-time Director).</w:t>
      </w:r>
    </w:p>
    <w:p/>
    <w:p>
      <w:r>
        <w:rPr>
          <w:b/>
          <w:color w:val="003366"/>
          <w:sz w:val="22"/>
        </w:rPr>
        <w:t>5.2 Key Conditions &amp; Covenants</w:t>
      </w:r>
    </w:p>
    <w:p/>
    <w:p>
      <w:pPr>
        <w:spacing w:after="80"/>
        <w:jc w:val="both"/>
      </w:pPr>
      <w:r>
        <w:rPr>
          <w:sz w:val="21"/>
        </w:rPr>
        <w:t>The approval and continued availability of the proposed facility will be strictly subject to the following key conditions and covenants:</w:t>
      </w:r>
    </w:p>
    <w:p/>
    <w:p>
      <w:pPr>
        <w:spacing w:after="80"/>
        <w:jc w:val="both"/>
      </w:pPr>
      <w:r>
        <w:rPr>
          <w:b/>
          <w:sz w:val="21"/>
        </w:rPr>
        <w:t>A. Conditions Precedent (CPs):</w:t>
      </w:r>
    </w:p>
    <w:p>
      <w:pPr>
        <w:pStyle w:val="ListNumber"/>
        <w:jc w:val="both"/>
      </w:pPr>
      <w:r>
        <w:rPr>
          <w:sz w:val="21"/>
        </w:rPr>
        <w:t>1.  Submission of certified true copies of Board Resolutions authorizing the facility, acceptance of the terms and conditions, and execution of all necessary security documents.</w:t>
      </w:r>
    </w:p>
    <w:p>
      <w:pPr>
        <w:pStyle w:val="ListNumber"/>
        <w:jc w:val="both"/>
      </w:pPr>
      <w:r>
        <w:rPr>
          <w:sz w:val="21"/>
        </w:rPr>
        <w:t>2.  Execution of all requisite loan and security documentation, including hypothecation agreements, charge creation documents, and personal guarantee deeds, to the satisfaction of the Bank's legal counsel.</w:t>
      </w:r>
    </w:p>
    <w:p>
      <w:pPr>
        <w:pStyle w:val="ListNumber"/>
        <w:jc w:val="both"/>
      </w:pPr>
      <w:r>
        <w:rPr>
          <w:sz w:val="21"/>
        </w:rPr>
        <w:t>3.  Submission of a legal opinion from the Company's legal counsel confirming the enforceability of all security documents and compliance with all applicable laws and regulations.</w:t>
      </w:r>
    </w:p>
    <w:p>
      <w:pPr>
        <w:pStyle w:val="ListNumber"/>
        <w:jc w:val="both"/>
      </w:pPr>
      <w:r>
        <w:rPr>
          <w:sz w:val="21"/>
        </w:rPr>
        <w:t>4.  Confirmation of no material adverse change in the Company's financial condition, business operations, or legal status since the date of the latest audited financial statements (FY2025).</w:t>
      </w:r>
    </w:p>
    <w:p>
      <w:pPr>
        <w:pStyle w:val="ListNumber"/>
        <w:jc w:val="both"/>
      </w:pPr>
      <w:r>
        <w:rPr>
          <w:sz w:val="21"/>
        </w:rPr>
        <w:t>5.  Submission of a detailed action plan for working capital optimization, specifically outlining strategies and timelines for the reduction of inventory days and debtor days, for the Bank's review and approval.</w:t>
      </w:r>
    </w:p>
    <w:p/>
    <w:p>
      <w:pPr>
        <w:spacing w:after="80"/>
        <w:jc w:val="both"/>
      </w:pPr>
      <w:r>
        <w:rPr>
          <w:b/>
          <w:sz w:val="21"/>
        </w:rPr>
        <w:t>B. Financial Covenants (to be tested quarterly/annually):</w:t>
      </w:r>
    </w:p>
    <w:p>
      <w:pPr>
        <w:pStyle w:val="ListNumber"/>
        <w:jc w:val="both"/>
      </w:pPr>
      <w:r>
        <w:rPr>
          <w:sz w:val="21"/>
        </w:rPr>
        <w:t xml:space="preserve">1.  </w:t>
      </w:r>
      <w:r>
        <w:rPr>
          <w:b/>
          <w:sz w:val="21"/>
        </w:rPr>
        <w:t>Debt Service Coverage Ratio (DSCR)</w:t>
      </w:r>
      <w:r>
        <w:rPr>
          <w:sz w:val="21"/>
        </w:rPr>
        <w:t>: To be maintained at a minimum of 1.00x for FY2026, improving to a minimum of 1.25x from FY2027 onwards.</w:t>
      </w:r>
    </w:p>
    <w:p>
      <w:pPr>
        <w:pStyle w:val="ListNumber"/>
        <w:jc w:val="both"/>
      </w:pPr>
      <w:r>
        <w:rPr>
          <w:sz w:val="21"/>
        </w:rPr>
        <w:t xml:space="preserve">2.  </w:t>
      </w:r>
      <w:r>
        <w:rPr>
          <w:b/>
          <w:sz w:val="21"/>
        </w:rPr>
        <w:t>Debt-to-Equity Ratio (D/E)</w:t>
      </w:r>
      <w:r>
        <w:rPr>
          <w:sz w:val="21"/>
        </w:rPr>
        <w:t>: To be maintained below 1.50x at all times.</w:t>
      </w:r>
    </w:p>
    <w:p>
      <w:pPr>
        <w:pStyle w:val="ListNumber"/>
        <w:jc w:val="both"/>
      </w:pPr>
      <w:r>
        <w:rPr>
          <w:sz w:val="21"/>
        </w:rPr>
        <w:t xml:space="preserve">3.  </w:t>
      </w:r>
      <w:r>
        <w:rPr>
          <w:b/>
          <w:sz w:val="21"/>
        </w:rPr>
        <w:t>Current Ratio</w:t>
      </w:r>
      <w:r>
        <w:rPr>
          <w:sz w:val="21"/>
        </w:rPr>
        <w:t>: To be maintained at a minimum of 1.30x at all times.</w:t>
      </w:r>
    </w:p>
    <w:p>
      <w:pPr>
        <w:pStyle w:val="ListNumber"/>
        <w:jc w:val="both"/>
      </w:pPr>
      <w:r>
        <w:rPr>
          <w:sz w:val="21"/>
        </w:rPr>
        <w:t xml:space="preserve">4.  </w:t>
      </w:r>
      <w:r>
        <w:rPr>
          <w:b/>
          <w:sz w:val="21"/>
        </w:rPr>
        <w:t>EBITDA Margin</w:t>
      </w:r>
      <w:r>
        <w:rPr>
          <w:sz w:val="21"/>
        </w:rPr>
        <w:t>: To be maintained at a minimum of 10.0% on an annual basis.</w:t>
      </w:r>
    </w:p>
    <w:p>
      <w:pPr>
        <w:pStyle w:val="ListNumber"/>
        <w:jc w:val="both"/>
      </w:pPr>
      <w:r>
        <w:rPr>
          <w:sz w:val="21"/>
        </w:rPr>
        <w:t xml:space="preserve">5.  </w:t>
      </w:r>
      <w:r>
        <w:rPr>
          <w:b/>
          <w:sz w:val="21"/>
        </w:rPr>
        <w:t>Inventory Days</w:t>
      </w:r>
      <w:r>
        <w:rPr>
          <w:sz w:val="21"/>
        </w:rPr>
        <w:t>: To be reduced to below 150 days by the end of FY2026 and further to below 120 days by the end of FY2027.</w:t>
      </w:r>
    </w:p>
    <w:p>
      <w:pPr>
        <w:pStyle w:val="ListNumber"/>
        <w:jc w:val="both"/>
      </w:pPr>
      <w:r>
        <w:rPr>
          <w:sz w:val="21"/>
        </w:rPr>
        <w:t xml:space="preserve">6.  </w:t>
      </w:r>
      <w:r>
        <w:rPr>
          <w:b/>
          <w:sz w:val="21"/>
        </w:rPr>
        <w:t>Debtor Days</w:t>
      </w:r>
      <w:r>
        <w:rPr>
          <w:sz w:val="21"/>
        </w:rPr>
        <w:t>: To be reduced to below 80 days by the end of FY2026 and further to below 70 days by the end of FY2027.</w:t>
      </w:r>
    </w:p>
    <w:p/>
    <w:p>
      <w:pPr>
        <w:spacing w:after="80"/>
        <w:jc w:val="both"/>
      </w:pPr>
      <w:r>
        <w:rPr>
          <w:b/>
          <w:sz w:val="21"/>
        </w:rPr>
        <w:t>C. Reporting Requirements:</w:t>
      </w:r>
    </w:p>
    <w:p>
      <w:pPr>
        <w:pStyle w:val="ListNumber"/>
        <w:jc w:val="both"/>
      </w:pPr>
      <w:r>
        <w:rPr>
          <w:sz w:val="21"/>
        </w:rPr>
        <w:t>1.  Submission of monthly stock and book debt statements, certified by the Company's management, within 15 days of month-end.</w:t>
      </w:r>
    </w:p>
    <w:p>
      <w:pPr>
        <w:pStyle w:val="ListNumber"/>
        <w:jc w:val="both"/>
      </w:pPr>
      <w:r>
        <w:rPr>
          <w:sz w:val="21"/>
        </w:rPr>
        <w:t>2.  Submission of quarterly unaudited financial statements (including balance sheet, profit &amp; loss statement, and cash flow statement) within 45 days of quarter-end.</w:t>
      </w:r>
    </w:p>
    <w:p>
      <w:pPr>
        <w:pStyle w:val="ListNumber"/>
        <w:jc w:val="both"/>
      </w:pPr>
      <w:r>
        <w:rPr>
          <w:sz w:val="21"/>
        </w:rPr>
        <w:t>3.  Submission of annual audited financial statements within 120 days of the fiscal year-end.</w:t>
      </w:r>
    </w:p>
    <w:p>
      <w:pPr>
        <w:pStyle w:val="ListNumber"/>
        <w:jc w:val="both"/>
      </w:pPr>
      <w:r>
        <w:rPr>
          <w:sz w:val="21"/>
        </w:rPr>
        <w:t>4.  Annual compliance certificate from the Company's statutory auditors confirming adherence to all financial covenants.</w:t>
      </w:r>
    </w:p>
    <w:p>
      <w:pPr>
        <w:pStyle w:val="ListNumber"/>
        <w:jc w:val="both"/>
      </w:pPr>
      <w:r>
        <w:rPr>
          <w:sz w:val="21"/>
        </w:rPr>
        <w:t>5.  Prompt notification to the Bank of any new material contingent liabilities, adverse legal proceedings, or significant changes in management or shareholding.</w:t>
      </w:r>
    </w:p>
    <w:p/>
    <w:p>
      <w:r>
        <w:rPr>
          <w:b/>
          <w:color w:val="003366"/>
          <w:sz w:val="22"/>
        </w:rPr>
        <w:t>5.3 Final Recommendation</w:t>
      </w:r>
    </w:p>
    <w:p/>
    <w:p>
      <w:pPr>
        <w:spacing w:after="80"/>
        <w:jc w:val="both"/>
      </w:pPr>
      <w:r>
        <w:rPr>
          <w:b/>
          <w:sz w:val="21"/>
        </w:rPr>
        <w:t>Approve with Conditions</w:t>
      </w:r>
    </w:p>
    <w:p/>
    <w:p>
      <w:pPr>
        <w:spacing w:after="80"/>
        <w:jc w:val="both"/>
      </w:pPr>
      <w:r>
        <w:rPr>
          <w:sz w:val="21"/>
        </w:rPr>
        <w:t xml:space="preserve">The credit facility for DURLAX TOP SURFACE LIMITED is recommended for </w:t>
      </w:r>
      <w:r>
        <w:rPr>
          <w:b/>
          <w:sz w:val="21"/>
        </w:rPr>
        <w:t>Approval with Conditions</w:t>
      </w:r>
      <w:r>
        <w:rPr>
          <w:sz w:val="21"/>
        </w:rPr>
        <w:t>.</w:t>
      </w:r>
    </w:p>
    <w:p/>
    <w:p>
      <w:pPr>
        <w:spacing w:after="80"/>
        <w:jc w:val="both"/>
      </w:pPr>
      <w:r>
        <w:rPr>
          <w:b/>
          <w:sz w:val="21"/>
        </w:rPr>
        <w:t>Justification:</w:t>
      </w:r>
    </w:p>
    <w:p/>
    <w:p>
      <w:pPr>
        <w:spacing w:after="80"/>
        <w:jc w:val="both"/>
      </w:pPr>
      <w:r>
        <w:rPr>
          <w:sz w:val="21"/>
        </w:rPr>
        <w:t xml:space="preserve">DURLAX TOP SURFACE LIMITED has demonstrated commendable operational growth and an improved capital structure, which are positive indicators. The Company achieved a robust revenue growth of 35.1% to INR 12265.25 Lakhs in FY2025 and a significant increase in Profit After Tax (PAT) of 87.7%, with the PAT margin improving to 6.11%. Crucially, the Debt-to-Equity ratio has substantially improved from 2.81x in FY2024 to a more manageable 0.79x in FY2025, largely attributable to the recent Initial Public Offer (IPO). The Current Ratio of 1.85x in FY2025 also indicates a healthy short-term liquidity position. Furthermore, the Company's auditor, N K Mittal &amp; Associates, has issued an </w:t>
      </w:r>
      <w:r>
        <w:rPr>
          <w:b/>
          <w:sz w:val="21"/>
        </w:rPr>
        <w:t>Unqualified Opinion</w:t>
      </w:r>
      <w:r>
        <w:rPr>
          <w:sz w:val="21"/>
        </w:rPr>
        <w:t xml:space="preserve"> for FY2025, affirming the adequacy of internal financial controls and no material uncertainty regarding the Company's ability to continue as a going concern.</w:t>
      </w:r>
    </w:p>
    <w:p/>
    <w:p>
      <w:pPr>
        <w:spacing w:after="80"/>
        <w:jc w:val="both"/>
      </w:pPr>
      <w:r>
        <w:rPr>
          <w:sz w:val="21"/>
        </w:rPr>
        <w:t xml:space="preserve">However, the Company's </w:t>
      </w:r>
      <w:r>
        <w:rPr>
          <w:b/>
          <w:sz w:val="21"/>
        </w:rPr>
        <w:t>SAVE rating of "ELEVATED RISK"</w:t>
      </w:r>
      <w:r>
        <w:rPr>
          <w:sz w:val="21"/>
        </w:rPr>
        <w:t xml:space="preserve"> (composite score 5.70) underscores several critical areas of concern that necessitate a conditional approval and stringent monitoring:</w:t>
      </w:r>
    </w:p>
    <w:p/>
    <w:p>
      <w:pPr>
        <w:pStyle w:val="ListBullet"/>
        <w:jc w:val="both"/>
      </w:pPr>
      <w:r>
        <w:rPr>
          <w:sz w:val="21"/>
        </w:rPr>
        <w:t xml:space="preserve">  </w:t>
      </w:r>
      <w:r>
        <w:rPr>
          <w:b/>
          <w:sz w:val="21"/>
        </w:rPr>
        <w:t>Critically Low Debt Service Coverage Ratio (DSCR)</w:t>
      </w:r>
      <w:r>
        <w:rPr>
          <w:sz w:val="21"/>
        </w:rPr>
        <w:t>: The DSCR remains exceptionally low at 0.34x in FY2025 (and 0.27x in FY2024). This metric is a significant red flag, indicating that the Company's cash flow generation is currently insufficient to adequately cover its existing debt servicing obligations.</w:t>
      </w:r>
    </w:p>
    <w:p>
      <w:pPr>
        <w:pStyle w:val="ListBullet"/>
        <w:jc w:val="both"/>
      </w:pPr>
      <w:r>
        <w:rPr>
          <w:sz w:val="21"/>
        </w:rPr>
        <w:t xml:space="preserve">  </w:t>
      </w:r>
      <w:r>
        <w:rPr>
          <w:b/>
          <w:sz w:val="21"/>
        </w:rPr>
        <w:t>Persistently Negative Operating Cash Flow</w:t>
      </w:r>
      <w:r>
        <w:rPr>
          <w:sz w:val="21"/>
        </w:rPr>
        <w:t>: The Company recorded negative operating cash flows of INR -678 Lakhs in FY2025 and INR -1660.47 Lakhs in FY2024. This is primarily driven by substantial working capital absorption, characterized by high inventory lock-up (~184 days) and extended trade receivables (~97 days), which severely impacts liquidity.</w:t>
      </w:r>
    </w:p>
    <w:p>
      <w:pPr>
        <w:pStyle w:val="ListBullet"/>
        <w:jc w:val="both"/>
      </w:pPr>
      <w:r>
        <w:rPr>
          <w:sz w:val="21"/>
        </w:rPr>
        <w:t xml:space="preserve">  </w:t>
      </w:r>
      <w:r>
        <w:rPr>
          <w:b/>
          <w:sz w:val="21"/>
        </w:rPr>
        <w:t>Significant Contingent Liabilities</w:t>
      </w:r>
      <w:r>
        <w:rPr>
          <w:sz w:val="21"/>
        </w:rPr>
        <w:t>: The audit findings highlight substantial contingent tax liabilities totaling INR 2,946 Lakhs, representing approximately 51% of the Company's net worth. While management is confident of a favorable outcome, these disputes pose a material financial risk.</w:t>
      </w:r>
    </w:p>
    <w:p>
      <w:pPr>
        <w:pStyle w:val="ListBullet"/>
        <w:jc w:val="both"/>
      </w:pPr>
      <w:r>
        <w:rPr>
          <w:sz w:val="21"/>
        </w:rPr>
        <w:t xml:space="preserve">  </w:t>
      </w:r>
      <w:r>
        <w:rPr>
          <w:b/>
          <w:sz w:val="21"/>
        </w:rPr>
        <w:t>Managerial Remuneration Excess</w:t>
      </w:r>
      <w:r>
        <w:rPr>
          <w:sz w:val="21"/>
        </w:rPr>
        <w:t>: Although approved by members, the audit observations note that remuneration paid to directors exceeded the limits prescribed under Section 197 of the Companies Act.</w:t>
      </w:r>
    </w:p>
    <w:p>
      <w:pPr>
        <w:pStyle w:val="ListBullet"/>
        <w:jc w:val="both"/>
      </w:pPr>
      <w:r>
        <w:rPr>
          <w:sz w:val="21"/>
        </w:rPr>
        <w:t xml:space="preserve">  </w:t>
      </w:r>
      <w:r>
        <w:rPr>
          <w:b/>
          <w:sz w:val="21"/>
        </w:rPr>
        <w:t>Overdue Loans and Advances</w:t>
      </w:r>
      <w:r>
        <w:rPr>
          <w:sz w:val="21"/>
        </w:rPr>
        <w:t>: CARO findings indicate overdue loans and advances of INR 13.98 Lakhs and loans repayable on demand of INR 14.27 Lakhs without stipulated repayment terms, suggesting some weaknesses in internal controls over lending.</w:t>
      </w:r>
    </w:p>
    <w:p/>
    <w:p>
      <w:pPr>
        <w:spacing w:after="80"/>
        <w:jc w:val="both"/>
      </w:pPr>
      <w:r>
        <w:rPr>
          <w:sz w:val="21"/>
        </w:rPr>
        <w:t>The proposed conditions and covenants are specifically tailored to mitigate these identified risks. They aim to enforce stricter financial discipline, drive improvements in cash flow generation through enhanced working capital management, and ensure close monitoring of debt servicing capabilities and contingent liabilities. Approval is contingent upon the Company's unwavering commitment and demonstrated ability to adhere to these stringent terms, which are paramount for enhancing its creditworthiness and ensuring the prudent management of the proposed facility.</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DURLAX TOP SURFACE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