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Assessment Memo</w:t>
      </w:r>
    </w:p>
    <w:p>
      <w:pPr>
        <w:jc w:val="center"/>
      </w:pPr>
      <w:r>
        <w:rPr>
          <w:b/>
          <w:sz w:val="24"/>
        </w:rPr>
        <w:t xml:space="preserve">Company: </w:t>
      </w:r>
      <w:r>
        <w:rPr>
          <w:sz w:val="24"/>
        </w:rPr>
        <w:t>Durlax Top Surface Limited</w:t>
      </w:r>
    </w:p>
    <w:p>
      <w:pPr>
        <w:jc w:val="center"/>
      </w:pPr>
      <w:r>
        <w:rPr>
          <w:b/>
          <w:sz w:val="24"/>
        </w:rPr>
        <w:t xml:space="preserve">Financial Year: </w:t>
      </w:r>
      <w:r>
        <w:rPr>
          <w:sz w:val="24"/>
        </w:rPr>
        <w:t>2025</w:t>
      </w:r>
    </w:p>
    <w:p>
      <w:r>
        <w:br w:type="page"/>
      </w:r>
    </w:p>
    <w:p>
      <w:pPr>
        <w:pStyle w:val="Heading1"/>
        <w:jc w:val="left"/>
      </w:pPr>
      <w:r>
        <w:rPr>
          <w:b/>
          <w:sz w:val="28"/>
        </w:rPr>
        <w:t>Applicant Overview</w:t>
      </w:r>
    </w:p>
    <w:p>
      <w:pPr>
        <w:jc w:val="both"/>
      </w:pPr>
      <w:r>
        <w:rPr>
          <w:b w:val="0"/>
          <w:sz w:val="22"/>
        </w:rPr>
        <w:t>DURLAX TOP SURFACE LIMITED (the "Company") has its registered office at Unit No 1601 16th Floor, Synergy Business Park, Premises Coop Society, Ltd Bhd Virwani Industrial, Estate Sahakarwadi Off, Vishweshwar Nagar Road, Goregaon East, Goregaon East, Mumbai, Maharashtra, India, 400063. The Company's Corporate Identification Number (CIN) is L74999MH2010PLC202712. The financial year concludes on March 31. The date of incorporation is not explicitly provided in the supplied evidence.</w:t>
      </w:r>
    </w:p>
    <w:p>
      <w:pPr>
        <w:jc w:val="both"/>
      </w:pPr>
      <w:r>
        <w:rPr>
          <w:b w:val="0"/>
          <w:sz w:val="22"/>
        </w:rPr>
        <w:t>The Company was listed on the NSE Emerge Platform in 2024. The financial year 2024-25 marked a significant period for Durlax Top Surface Limited, with the introduction of "Heronitez™" expanding its product portfolio. During this year, the Company achieved a notable milestone, surpassing the ₹100 crore turnover benchmark for the first time, closing the year at ₹122.65 crore. The Company's business appears to involve "Top Surfaces" and related products, based on its name and product launches.</w:t>
      </w:r>
    </w:p>
    <w:p>
      <w:pPr>
        <w:jc w:val="both"/>
      </w:pPr>
      <w:r>
        <w:rPr>
          <w:b/>
          <w:sz w:val="22"/>
        </w:rPr>
        <w:t>Key Managerial Personnel (KMP) and Board of Directors:</w:t>
      </w:r>
    </w:p>
    <w:p>
      <w:pPr>
        <w:jc w:val="both"/>
      </w:pPr>
      <w:r>
        <w:rPr>
          <w:b w:val="0"/>
          <w:sz w:val="22"/>
        </w:rPr>
        <w:t>As per the Annual Report 2024-25, the Key Managerial Personnel include:</w:t>
      </w:r>
    </w:p>
    <w:p>
      <w:pPr>
        <w:pStyle w:val="ListBullet"/>
        <w:jc w:val="both"/>
      </w:pPr>
      <w:r>
        <w:rPr>
          <w:b w:val="0"/>
          <w:sz w:val="22"/>
        </w:rPr>
        <w:t>Mr. Shravan Suthar, Managing Director (DIN: 02985316)</w:t>
      </w:r>
    </w:p>
    <w:p>
      <w:pPr>
        <w:pStyle w:val="ListBullet"/>
        <w:jc w:val="both"/>
      </w:pPr>
      <w:r>
        <w:rPr>
          <w:b w:val="0"/>
          <w:sz w:val="22"/>
        </w:rPr>
        <w:t>Mr. Lalit Suthar, Whole Time Director (DIN: 02985324)</w:t>
      </w:r>
    </w:p>
    <w:p>
      <w:pPr>
        <w:pStyle w:val="ListBullet"/>
        <w:jc w:val="both"/>
      </w:pPr>
      <w:r>
        <w:rPr>
          <w:b w:val="0"/>
          <w:sz w:val="22"/>
        </w:rPr>
        <w:t>Ms. Kalpana Nikam, Chief Financial Officer (appointed effective September 19, 2023)</w:t>
      </w:r>
    </w:p>
    <w:p>
      <w:pPr>
        <w:pStyle w:val="ListBullet"/>
        <w:jc w:val="both"/>
      </w:pPr>
      <w:r>
        <w:rPr>
          <w:b w:val="0"/>
          <w:sz w:val="22"/>
        </w:rPr>
        <w:t>Ms. Komal Upendra Birla, Company Secretary (appointed effective May 20, 2024)</w:t>
      </w:r>
    </w:p>
    <w:p>
      <w:pPr>
        <w:jc w:val="both"/>
      </w:pPr>
      <w:r>
        <w:rPr>
          <w:b w:val="0"/>
          <w:sz w:val="22"/>
        </w:rPr>
        <w:t>The Board of Directors comprises Mr. Shravan Suthar (Managing Director), Mr. Lalit Suthar (Whole Time Director), Mr. Narayan Uttam Samantra (Independent Director), Mr. Bhavesh Jain (Independent Director, appointed effective August 22, 2024), and Ms. Palak Jain (Independent Director, appointed effective August 22, 2024).</w:t>
      </w:r>
    </w:p>
    <w:p>
      <w:pPr>
        <w:jc w:val="both"/>
      </w:pPr>
      <w:r>
        <w:rPr>
          <w:b/>
          <w:sz w:val="22"/>
        </w:rPr>
        <w:t>Recent Corporate Actions:</w:t>
      </w:r>
    </w:p>
    <w:p>
      <w:pPr>
        <w:pStyle w:val="ListBullet"/>
        <w:jc w:val="both"/>
      </w:pPr>
      <w:r>
        <w:rPr>
          <w:b w:val="0"/>
          <w:sz w:val="22"/>
        </w:rPr>
        <w:t>The Board of Directors, at its meeting on August 29, 2025, was authorized to negotiate and finalize terms for loans, guarantees, security, and investments, with the aggregate outstanding amount not to exceed Rs. 200 Crores.</w:t>
      </w:r>
    </w:p>
    <w:p>
      <w:pPr>
        <w:pStyle w:val="ListBullet"/>
        <w:jc w:val="both"/>
      </w:pPr>
      <w:r>
        <w:rPr>
          <w:b w:val="0"/>
          <w:sz w:val="22"/>
        </w:rPr>
        <w:t>The 15th Annual General Meeting (AGM) is scheduled for September 25, 2025, for the adoption of the financial statements for the year ended March 31, 2025.</w:t>
      </w:r>
    </w:p>
    <w:p>
      <w:pPr>
        <w:pStyle w:val="ListBullet"/>
        <w:jc w:val="both"/>
      </w:pPr>
      <w:r>
        <w:rPr>
          <w:b w:val="0"/>
          <w:sz w:val="22"/>
        </w:rPr>
        <w:t>Managerial remuneration saw a 20% increase for Mr. Shravan Suthar (Managing Director) and a 100% increase for Mr. Lalit Suthar (Whole Time Director) in the financial year 2024-25. The Board, on August 29, 2025, approved and recommended to members an increase in managerial remuneration for the ongoing term (FY 2025-26) compared to the prior year.</w:t>
      </w:r>
    </w:p>
    <w:p>
      <w:pPr>
        <w:pStyle w:val="ListBullet"/>
        <w:jc w:val="both"/>
      </w:pPr>
      <w:r>
        <w:rPr>
          <w:b w:val="0"/>
          <w:sz w:val="22"/>
        </w:rPr>
        <w:t>M/s H. S. BAJAJ &amp; Co., Cost Accountants, have been appointed as Cost Auditors for the Financial Year 2025-2026, with a remuneration of Rs. 70,000/- plus applicable taxes.</w:t>
      </w:r>
    </w:p>
    <w:p>
      <w:pPr>
        <w:pStyle w:val="Heading1"/>
        <w:jc w:val="left"/>
      </w:pPr>
      <w:r>
        <w:rPr>
          <w:b/>
          <w:sz w:val="28"/>
        </w:rPr>
        <w:t>Company Background</w:t>
      </w:r>
    </w:p>
    <w:p>
      <w:pPr>
        <w:jc w:val="both"/>
      </w:pPr>
      <w:r>
        <w:rPr>
          <w:b/>
          <w:sz w:val="22"/>
        </w:rPr>
        <w:t>Company Background</w:t>
      </w:r>
    </w:p>
    <w:p>
      <w:pPr>
        <w:jc w:val="both"/>
      </w:pPr>
      <w:r>
        <w:rPr>
          <w:b w:val="0"/>
          <w:sz w:val="22"/>
        </w:rPr>
        <w:t>Durlax Top Surface Limited was initially incorporated in 2010 as a Private Limited Company under the name ‘Durlax Archtech Private Limited’. The company underwent a conversion to a Public Limited Company in 2023 and subsequently listed on the NSE Emerge Platform in 2024.</w:t>
      </w:r>
    </w:p>
    <w:p>
      <w:pPr>
        <w:jc w:val="both"/>
      </w:pPr>
      <w:r>
        <w:rPr>
          <w:b w:val="0"/>
          <w:sz w:val="22"/>
        </w:rPr>
        <w:t>The company has a history of product development and market expansion. In 2011, it launched its proprietary brands, ‘Luxor®’ and ‘Aspiron®’. By 2016, Durlax Top Surface Limited received ISO 9001:2015 certification for its sourcing, trading, and supply chain services, alongside ISO 14001:2015 certification for its manufacturing and trading of various solid surfaces. The year 2017 marked a significant operational milestone with the establishment of a state-of-the-art manufacturing unit in Vapi, Gujarat, and the commencement of commercial production and exports under its own brand. The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w:b/>
          <w:sz w:val="22"/>
        </w:rPr>
        <w:t>Key Managerial Personnel (as of FY 2024-25):</w:t>
      </w:r>
    </w:p>
    <w:p>
      <w:pPr>
        <w:pStyle w:val="ListBullet"/>
        <w:jc w:val="both"/>
      </w:pPr>
      <w:r>
        <w:rPr>
          <w:b w:val="0"/>
          <w:sz w:val="22"/>
        </w:rPr>
        <w:t>Mr. Shravan Suthar, Managing Director</w:t>
      </w:r>
    </w:p>
    <w:p>
      <w:pPr>
        <w:pStyle w:val="ListBullet"/>
        <w:jc w:val="both"/>
      </w:pPr>
      <w:r>
        <w:rPr>
          <w:b w:val="0"/>
          <w:sz w:val="22"/>
        </w:rPr>
        <w:t>Mr. Lalit Suthar, Whole Time Director</w:t>
      </w:r>
    </w:p>
    <w:p>
      <w:pPr>
        <w:pStyle w:val="ListBullet"/>
        <w:jc w:val="both"/>
      </w:pPr>
      <w:r>
        <w:rPr>
          <w:b w:val="0"/>
          <w:sz w:val="22"/>
        </w:rPr>
        <w:t>Ms. Kalpana Nikam, Chief Financial Officer</w:t>
      </w:r>
    </w:p>
    <w:p>
      <w:pPr>
        <w:pStyle w:val="ListBullet"/>
        <w:jc w:val="both"/>
      </w:pPr>
      <w:r>
        <w:rPr>
          <w:b w:val="0"/>
          <w:sz w:val="22"/>
        </w:rPr>
        <w:t>Ms. Komal Upendra Birla, Company Secretary</w:t>
      </w:r>
    </w:p>
    <w:p>
      <w:pPr>
        <w:jc w:val="both"/>
      </w:pPr>
      <w:r>
        <w:rPr>
          <w:b/>
          <w:sz w:val="22"/>
        </w:rPr>
        <w:t>Board of Directors (as of FY 2024-25):</w:t>
      </w:r>
    </w:p>
    <w:p>
      <w:pPr>
        <w:jc w:val="both"/>
      </w:pPr>
      <w:r>
        <w:rPr>
          <w:b w:val="0"/>
          <w:sz w:val="22"/>
        </w:rPr>
        <w:t>The Board of Directors comprised:</w:t>
      </w:r>
    </w:p>
    <w:p>
      <w:pPr>
        <w:pStyle w:val="ListBullet"/>
        <w:jc w:val="both"/>
      </w:pPr>
      <w:r>
        <w:rPr>
          <w:b w:val="0"/>
          <w:sz w:val="22"/>
        </w:rPr>
        <w:t>Mr. SHRAVAN SUTHAR (Managing Director)</w:t>
      </w:r>
    </w:p>
    <w:p>
      <w:pPr>
        <w:pStyle w:val="ListBullet"/>
        <w:jc w:val="both"/>
      </w:pPr>
      <w:r>
        <w:rPr>
          <w:b w:val="0"/>
          <w:sz w:val="22"/>
        </w:rPr>
        <w:t>Mr. LALIT SUTHAR (Whole-time Director)</w:t>
      </w:r>
    </w:p>
    <w:p>
      <w:pPr>
        <w:pStyle w:val="ListBullet"/>
        <w:jc w:val="both"/>
      </w:pPr>
      <w:r>
        <w:rPr>
          <w:b w:val="0"/>
          <w:sz w:val="22"/>
        </w:rPr>
        <w:t>Mr. NARAYAN SAMANTRA (Independent Director)</w:t>
      </w:r>
    </w:p>
    <w:p>
      <w:pPr>
        <w:pStyle w:val="ListBullet"/>
        <w:jc w:val="both"/>
      </w:pPr>
      <w:r>
        <w:rPr>
          <w:b w:val="0"/>
          <w:sz w:val="22"/>
        </w:rPr>
        <w:t>Ms. PALAK JAIN (Independent Director, appointed effective August 22, 2024)</w:t>
      </w:r>
    </w:p>
    <w:p>
      <w:pPr>
        <w:pStyle w:val="ListBullet"/>
        <w:jc w:val="both"/>
      </w:pPr>
      <w:r>
        <w:rPr>
          <w:b w:val="0"/>
          <w:sz w:val="22"/>
        </w:rPr>
        <w:t>Mr. BHAVESH JAIN (Independent Director, appointed effective August 22, 2024)</w:t>
      </w:r>
    </w:p>
    <w:p>
      <w:pPr>
        <w:jc w:val="both"/>
      </w:pPr>
      <w:r>
        <w:rPr>
          <w:b w:val="0"/>
          <w:sz w:val="22"/>
        </w:rPr>
        <w:t>Former Independent Directors Ms. Roxy Teniwal and Mr. Abhishek Bansal resigned effective August 22, 2024.</w:t>
      </w:r>
    </w:p>
    <w:p>
      <w:pPr>
        <w:jc w:val="both"/>
      </w:pPr>
      <w:r>
        <w:rPr>
          <w:b/>
          <w:sz w:val="22"/>
        </w:rPr>
        <w:t>Corporate Governance:</w:t>
      </w:r>
    </w:p>
    <w:p>
      <w:pPr>
        <w:jc w:val="both"/>
      </w:pPr>
      <w:r>
        <w:rPr>
          <w:b w:val="0"/>
          <w:sz w:val="22"/>
        </w:rPr>
        <w:t>During the financial year 2024-25, the Board of Directors convened 11 meetings. An independent Directors Meeting was held on August 22, 2024. The Nomination and Remuneration Committee also met once during the year on August 22, 2024.</w:t>
      </w:r>
    </w:p>
    <w:p>
      <w:pPr>
        <w:jc w:val="both"/>
      </w:pPr>
      <w:r>
        <w:rPr>
          <w:b w:val="0"/>
          <w:sz w:val="22"/>
        </w:rPr>
        <w:t>Information regarding the Company's Registered Office Address and Corporate Identification Number (CIN) is not available in the provided evidence.</w:t>
      </w:r>
    </w:p>
    <w:p>
      <w:pPr>
        <w:pStyle w:val="Heading1"/>
        <w:jc w:val="left"/>
      </w:pPr>
      <w:r>
        <w:rPr>
          <w:b/>
          <w:sz w:val="28"/>
        </w:rPr>
        <w:t>Financial Analysis</w:t>
      </w:r>
    </w:p>
    <w:p>
      <w:pPr>
        <w:jc w:val="both"/>
      </w:pPr>
      <w:r>
        <w:rPr>
          <w:b w:val="0"/>
          <w:sz w:val="22"/>
        </w:rPr>
        <w:t>Section: Financial Analysis</w:t>
      </w:r>
    </w:p>
    <w:p>
      <w:pPr>
        <w:jc w:val="both"/>
      </w:pPr>
      <w:r>
        <w:rPr>
          <w:b w:val="0"/>
          <w:sz w:val="22"/>
        </w:rPr>
        <w:t>Durlax Top Surface Limited demonstrated robust revenue growth and significant improvement in profitability for the financial year ended 30 March, 2025, compared to the previous year.</w:t>
      </w:r>
    </w:p>
    <w:p>
      <w:pPr>
        <w:jc w:val="both"/>
      </w:pPr>
      <w:r>
        <w:rPr>
          <w:b/>
          <w:sz w:val="22"/>
        </w:rPr>
        <w:t>Revenue and Profitability</w:t>
      </w:r>
    </w:p>
    <w:p>
      <w:pPr>
        <w:jc w:val="both"/>
      </w:pPr>
      <w:r>
        <w:rPr>
          <w:b w:val="0"/>
          <w:sz w:val="22"/>
        </w:rPr>
        <w:t>Total revenue increased by 37.4% to 12,482.01 Lakhs (equivalent to 122.56 Crores as per reconciliation) in FY25 from 9,083.93 Lakhs in FY24. This growth was primarily driven by a 35.1% increase in Revenue from operations (gross) to 12,265.25 Lakhs in FY25 from 9,076.42 Lakhs in FY24. Other income also saw a substantial increase to 216.76 Lakhs in FY25 from `7.51 Lakhs in FY24. As per accounting policies, revenue from operations is recognized net of returns, value-added tax, GST, and trade discounts, but inclusive of excise duty, and includes shipping and handling costs. Other income primarily consists of interest recognized on a time proportion basis.</w:t>
      </w:r>
    </w:p>
    <w:p>
      <w:pPr>
        <w:jc w:val="both"/>
      </w:pPr>
      <w:r>
        <w:rPr>
          <w:b w:val="0"/>
          <w:sz w:val="22"/>
        </w:rPr>
        <w:t>Profit before tax (PBT) showed significant improvement, rising to 996.72 Lakhs in FY25 from 412.28 Lakhs in FY24. After accounting for current tax of 259.35 Lakhs (FY24: 13.00 Lakhs) and deferred tax of -12.29 Lakhs (FY24: -0.06 Lakhs), the Profit from continuing operations (Net Profit) more than doubled, reaching 749.66 Lakhs (equivalent to 7.50 Crores as per reconciliation) in FY25, up 87.7% from `399.34 Lakhs in FY24.</w:t>
      </w:r>
    </w:p>
    <w:p>
      <w:pPr>
        <w:jc w:val="both"/>
      </w:pPr>
      <w:r>
        <w:rPr>
          <w:b/>
          <w:sz w:val="22"/>
        </w:rPr>
        <w:t>Expenses</w:t>
      </w:r>
    </w:p>
    <w:p>
      <w:pPr>
        <w:jc w:val="both"/>
      </w:pPr>
      <w:r>
        <w:rPr>
          <w:b w:val="0"/>
          <w:sz w:val="22"/>
        </w:rPr>
        <w:t>Total expenses increased to 11,485.29 Lakhs in FY25 from 8,575.26 Lakhs in FY24, in line with revenue growth. The largest expense component, Cost of materials consumed, rose to 9,803.38 Lakhs in FY25 from 7,447.64 Lakhs in FY24. Employee benefits expense increased to 231.30 Lakhs in FY25 from 169.79 Lakhs in FY24, with Directors Remuneration at 72.00 Lakhs (FY24: 48.00 Lakhs) and Salaries and wages at 144.21 Lakhs (FY24: 111.30 Lakhs). Finance costs remained relatively stable at 374.54 Lakhs in FY25 compared to 378.59 Lakhs in FY24, which includes processing fees for loans of 31.52 Lakhs in FY25 (FY24: 29.74 Lakhs). Depreciation and amortisation expense increased to 245.43 Lakhs in FY25 from 223.77 Lakhs in FY24. Other expenses also increased to 843.85 Lakhs in FY25 from 685.01 Lakhs in FY24. Changes in inventories of finished goods, work-in-progress, and stock-in-trade resulted in a net decrease of -13.21 Lakhs in FY25, compared to -329.54 Lakhs in FY24.</w:t>
      </w:r>
    </w:p>
    <w:p>
      <w:pPr>
        <w:jc w:val="both"/>
      </w:pPr>
      <w:r>
        <w:rPr>
          <w:b/>
          <w:sz w:val="22"/>
        </w:rPr>
        <w:t>Balance Sheet Analysis</w:t>
      </w:r>
    </w:p>
    <w:p>
      <w:pPr>
        <w:jc w:val="both"/>
      </w:pPr>
      <w:r>
        <w:rPr>
          <w:b w:val="0"/>
          <w:sz w:val="22"/>
        </w:rPr>
        <w:t>Total borrowings decreased by 24.5% to 4,583.67 Lakhs (equivalent to 45.84 Crores as per reconciliation) as of 31 March, 2025, from 6,070.71 Lakhs as of 31 March, 2024. This reduction was primarily due to a significant decrease in long-term borrowings to 667.11 Lakhs (FY24: 2,070.88 Lakhs), while short-term borrowings remained relatively stable at 3,916.56 Lakhs (FY24: 3,999.83 Lakhs). Shareholders' funds showed strong growth, increasing to 5,768.42 Lakhs in FY25 from `2,162.76 Lakhs in FY24, primarily due to an increase in reserves and surplus.</w:t>
      </w:r>
    </w:p>
    <w:p>
      <w:pPr>
        <w:jc w:val="both"/>
      </w:pPr>
      <w:r>
        <w:rPr>
          <w:b w:val="0"/>
          <w:sz w:val="22"/>
        </w:rPr>
        <w:t>Inventories increased marginally by 1.3% to 4,993.90 Lakhs (equivalent to 49.94 Crores as per reconciliation) as of 31 March, 2025, from 4,930.31 Lakhs as of 31 March, 2024. Trade receivables increased by 16.4% to 3,503.40 Lakhs (equivalent to 35.03 Crores as per reconciliation) in FY25 from 3,008.77 Lakhs in FY24. The majority of trade receivables ( 3,187.85 Lakhs in FY25) are less than 6 months old. Trade payables significantly decreased to 821.39 Lakhs in FY25 from `2,141.07 Lakhs in FY24.</w:t>
      </w:r>
    </w:p>
    <w:p>
      <w:pPr>
        <w:jc w:val="both"/>
      </w:pPr>
      <w:r>
        <w:rPr>
          <w:b w:val="0"/>
          <w:sz w:val="22"/>
        </w:rPr>
        <w:t>Cash and Bank Balance totaled 115.38 Lakhs (equivalent to 1.15 Crores as per reconciliation) as of 31 March, 2025, a slight decrease from 122.60 Lakhs in FY24. This balance comprises 12.95 Lakhs cash on hand, 1.34 Lakhs in current accounts, and 101.09 Lakhs held as Margin Money with Bank. The Margin Money represents a Fixed Deposit which is a lien against a Letter of Credit facility of INR 730.00 Lakhs, as further evidenced by a 15% cash margin against a Letter of Credit facility from Punjab National Bank, secured by personal guarantees from Mr. Shravan Suthar, Mr. Lalit Suthar, Mr. Laxmichand Suthar, and Mr. Pankaj Suthar.</w:t>
      </w:r>
    </w:p>
    <w:p>
      <w:pPr>
        <w:jc w:val="both"/>
      </w:pPr>
      <w:r>
        <w:rPr>
          <w:b/>
          <w:sz w:val="22"/>
        </w:rPr>
        <w:t>Cash Flow Analysis</w:t>
      </w:r>
    </w:p>
    <w:p>
      <w:pPr>
        <w:jc w:val="both"/>
      </w:pPr>
      <w:r>
        <w:rPr>
          <w:b w:val="0"/>
          <w:sz w:val="22"/>
        </w:rPr>
        <w:t>The company significantly improved its operating cash flow performance. Net Cash Flow from Operating Activities (A) improved to -678.25 Lakhs (equivalent to -6.78 Crores as per reconciliation) in FY25 from -1,660.47 Lakhs in FY24, although still negative. This improvement was driven by better Cash Generated from/used in Operations, which moved from -1,658.79 Lakhs in FY24 to -538.94 Lakhs in FY25. Direct Taxes paid amounted to -139.31 Lakhs in FY25 (FY24: -1.68 Lakhs). Net increase in cash and cash equivalents for the year was 2.10 Lakhs (equivalent to 0.02 Crores as per reconciliation), ending the year with 14.29 Lakhs in cash and cash equivalents.</w:t>
      </w:r>
    </w:p>
    <w:p>
      <w:pPr>
        <w:jc w:val="both"/>
      </w:pPr>
      <w:r>
        <w:rPr>
          <w:b/>
          <w:sz w:val="22"/>
        </w:rPr>
        <w:t>Key Personnel</w:t>
      </w:r>
    </w:p>
    <w:p>
      <w:pPr>
        <w:jc w:val="both"/>
      </w:pPr>
      <w:r>
        <w:rPr>
          <w:b w:val="0"/>
          <w:sz w:val="22"/>
        </w:rPr>
        <w:t>Mr. Shravan Suthar is identified as the Managing Director with DIN 02985316.</w:t>
      </w:r>
    </w:p>
    <w:p>
      <w:pPr>
        <w:jc w:val="both"/>
      </w:pPr>
      <w:r>
        <w:rPr>
          <w:b/>
          <w:sz w:val="22"/>
        </w:rPr>
        <w:t>Inconsistencies</w:t>
      </w:r>
    </w:p>
    <w:p>
      <w:pPr>
        <w:jc w:val="both"/>
      </w:pPr>
      <w:r>
        <w:rPr>
          <w:b w:val="0"/>
          <w:sz w:val="22"/>
        </w:rPr>
        <w:t>It is noted that there are minor discrepancies in certain financial figures for FY25 between Evidence 8 (Balance Sheet) and Evidence 9 (another Balance Sheet excerpt), specifically regarding Total Assets, Trade Receivables, Inventories, and Cash &amp; Bank Balances. For this analysis, figures from Evidence 8 and its corresponding notes (Ev11, Ev12) have been prioritized due to their detailed and structured presentation within the full financial statement context. There is also a discrepancy in Depreciation and Amortization expense for FY24 between Evidence 6 (320.17 Lakhs) and Evidence 7 (223.77 Lakhs); the figure from Evidence 7 has been used as it is directly from the Profit and Loss statement.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Fy25</w:t>
            </w:r>
          </w:p>
        </w:tc>
        <w:tc>
          <w:tcPr>
            <w:tcW w:type="dxa" w:w="2160"/>
          </w:tcPr>
          <w:p>
            <w:r>
              <w:rPr>
                <w:b/>
              </w:rPr>
              <w:t>Fy24</w:t>
            </w:r>
          </w:p>
        </w:tc>
        <w:tc>
          <w:tcPr>
            <w:tcW w:type="dxa" w:w="2160"/>
          </w:tcPr>
          <w:p>
            <w:r>
              <w:rPr>
                <w:b/>
              </w:rPr>
              <w:t>Change</w:t>
            </w:r>
          </w:p>
        </w:tc>
      </w:tr>
      <w:tr>
        <w:tc>
          <w:tcPr>
            <w:tcW w:type="dxa" w:w="2160"/>
          </w:tcPr>
          <w:p>
            <w:r>
              <w:t>Revenue from operations (gross)</w:t>
            </w:r>
          </w:p>
        </w:tc>
        <w:tc>
          <w:tcPr>
            <w:tcW w:type="dxa" w:w="2160"/>
          </w:tcPr>
          <w:p>
            <w:r>
              <w:t>12,265.25</w:t>
            </w:r>
          </w:p>
        </w:tc>
        <w:tc>
          <w:tcPr>
            <w:tcW w:type="dxa" w:w="2160"/>
          </w:tcPr>
          <w:p>
            <w:r>
              <w:t>9,076.42</w:t>
            </w:r>
          </w:p>
        </w:tc>
        <w:tc>
          <w:tcPr>
            <w:tcW w:type="dxa" w:w="2160"/>
          </w:tcPr>
          <w:p>
            <w:r>
              <w:t>+35.1%</w:t>
            </w:r>
          </w:p>
        </w:tc>
      </w:tr>
      <w:tr>
        <w:tc>
          <w:tcPr>
            <w:tcW w:type="dxa" w:w="2160"/>
          </w:tcPr>
          <w:p>
            <w:r>
              <w:t>Other income</w:t>
            </w:r>
          </w:p>
        </w:tc>
        <w:tc>
          <w:tcPr>
            <w:tcW w:type="dxa" w:w="2160"/>
          </w:tcPr>
          <w:p>
            <w:r>
              <w:t>216.76</w:t>
            </w:r>
          </w:p>
        </w:tc>
        <w:tc>
          <w:tcPr>
            <w:tcW w:type="dxa" w:w="2160"/>
          </w:tcPr>
          <w:p>
            <w:r>
              <w:t>7.51</w:t>
            </w:r>
          </w:p>
        </w:tc>
        <w:tc>
          <w:tcPr>
            <w:tcW w:type="dxa" w:w="2160"/>
          </w:tcPr>
          <w:p>
            <w:r>
              <w:t>+2786.3%</w:t>
            </w:r>
          </w:p>
        </w:tc>
      </w:tr>
      <w:tr>
        <w:tc>
          <w:tcPr>
            <w:tcW w:type="dxa" w:w="2160"/>
          </w:tcPr>
          <w:p>
            <w:r>
              <w:t>Total revenue</w:t>
            </w:r>
          </w:p>
        </w:tc>
        <w:tc>
          <w:tcPr>
            <w:tcW w:type="dxa" w:w="2160"/>
          </w:tcPr>
          <w:p>
            <w:r>
              <w:t>12,482.01</w:t>
            </w:r>
          </w:p>
        </w:tc>
        <w:tc>
          <w:tcPr>
            <w:tcW w:type="dxa" w:w="2160"/>
          </w:tcPr>
          <w:p>
            <w:r>
              <w:t>9,083.93</w:t>
            </w:r>
          </w:p>
        </w:tc>
        <w:tc>
          <w:tcPr>
            <w:tcW w:type="dxa" w:w="2160"/>
          </w:tcPr>
          <w:p>
            <w:r>
              <w:t>+37.4%</w:t>
            </w:r>
          </w:p>
        </w:tc>
      </w:tr>
      <w:tr>
        <w:tc>
          <w:tcPr>
            <w:tcW w:type="dxa" w:w="2160"/>
          </w:tcPr>
          <w:p>
            <w:r>
              <w:t>Cost of materials consumed</w:t>
            </w:r>
          </w:p>
        </w:tc>
        <w:tc>
          <w:tcPr>
            <w:tcW w:type="dxa" w:w="2160"/>
          </w:tcPr>
          <w:p>
            <w:r>
              <w:t>9,803.38</w:t>
            </w:r>
          </w:p>
        </w:tc>
        <w:tc>
          <w:tcPr>
            <w:tcW w:type="dxa" w:w="2160"/>
          </w:tcPr>
          <w:p>
            <w:r>
              <w:t>7,447.64</w:t>
            </w:r>
          </w:p>
        </w:tc>
        <w:tc>
          <w:tcPr>
            <w:tcW w:type="dxa" w:w="2160"/>
          </w:tcPr>
          <w:p>
            <w:r>
              <w:t>+31.6%</w:t>
            </w:r>
          </w:p>
        </w:tc>
      </w:tr>
      <w:tr>
        <w:tc>
          <w:tcPr>
            <w:tcW w:type="dxa" w:w="2160"/>
          </w:tcPr>
          <w:p>
            <w:r>
              <w:t>Changes in inventories of finished goods, work-in-progress and stock-in-trade</w:t>
            </w:r>
          </w:p>
        </w:tc>
        <w:tc>
          <w:tcPr>
            <w:tcW w:type="dxa" w:w="2160"/>
          </w:tcPr>
          <w:p>
            <w:r>
              <w:t>-13.21</w:t>
            </w:r>
          </w:p>
        </w:tc>
        <w:tc>
          <w:tcPr>
            <w:tcW w:type="dxa" w:w="2160"/>
          </w:tcPr>
          <w:p>
            <w:r>
              <w:t>-329.54</w:t>
            </w:r>
          </w:p>
        </w:tc>
        <w:tc>
          <w:tcPr>
            <w:tcW w:type="dxa" w:w="2160"/>
          </w:tcPr>
          <w:p>
            <w:r>
              <w:t>null</w:t>
            </w:r>
          </w:p>
        </w:tc>
      </w:tr>
      <w:tr>
        <w:tc>
          <w:tcPr>
            <w:tcW w:type="dxa" w:w="2160"/>
          </w:tcPr>
          <w:p>
            <w:r>
              <w:t>Employee benefits expense</w:t>
            </w:r>
          </w:p>
        </w:tc>
        <w:tc>
          <w:tcPr>
            <w:tcW w:type="dxa" w:w="2160"/>
          </w:tcPr>
          <w:p>
            <w:r>
              <w:t>231.30</w:t>
            </w:r>
          </w:p>
        </w:tc>
        <w:tc>
          <w:tcPr>
            <w:tcW w:type="dxa" w:w="2160"/>
          </w:tcPr>
          <w:p>
            <w:r>
              <w:t>169.79</w:t>
            </w:r>
          </w:p>
        </w:tc>
        <w:tc>
          <w:tcPr>
            <w:tcW w:type="dxa" w:w="2160"/>
          </w:tcPr>
          <w:p>
            <w:r>
              <w:t>+36.2%</w:t>
            </w:r>
          </w:p>
        </w:tc>
      </w:tr>
      <w:tr>
        <w:tc>
          <w:tcPr>
            <w:tcW w:type="dxa" w:w="2160"/>
          </w:tcPr>
          <w:p>
            <w:r>
              <w:t>Finance costs</w:t>
            </w:r>
          </w:p>
        </w:tc>
        <w:tc>
          <w:tcPr>
            <w:tcW w:type="dxa" w:w="2160"/>
          </w:tcPr>
          <w:p>
            <w:r>
              <w:t>374.54</w:t>
            </w:r>
          </w:p>
        </w:tc>
        <w:tc>
          <w:tcPr>
            <w:tcW w:type="dxa" w:w="2160"/>
          </w:tcPr>
          <w:p>
            <w:r>
              <w:t>378.59</w:t>
            </w:r>
          </w:p>
        </w:tc>
        <w:tc>
          <w:tcPr>
            <w:tcW w:type="dxa" w:w="2160"/>
          </w:tcPr>
          <w:p>
            <w:r>
              <w:t>-1.1%</w:t>
            </w:r>
          </w:p>
        </w:tc>
      </w:tr>
      <w:tr>
        <w:tc>
          <w:tcPr>
            <w:tcW w:type="dxa" w:w="2160"/>
          </w:tcPr>
          <w:p>
            <w:r>
              <w:t>Depreciation and amortisation expense</w:t>
            </w:r>
          </w:p>
        </w:tc>
        <w:tc>
          <w:tcPr>
            <w:tcW w:type="dxa" w:w="2160"/>
          </w:tcPr>
          <w:p>
            <w:r>
              <w:t>245.43</w:t>
            </w:r>
          </w:p>
        </w:tc>
        <w:tc>
          <w:tcPr>
            <w:tcW w:type="dxa" w:w="2160"/>
          </w:tcPr>
          <w:p>
            <w:r>
              <w:t>223.77</w:t>
            </w:r>
          </w:p>
        </w:tc>
        <w:tc>
          <w:tcPr>
            <w:tcW w:type="dxa" w:w="2160"/>
          </w:tcPr>
          <w:p>
            <w:r>
              <w:t>+9.7%</w:t>
            </w:r>
          </w:p>
        </w:tc>
      </w:tr>
      <w:tr>
        <w:tc>
          <w:tcPr>
            <w:tcW w:type="dxa" w:w="2160"/>
          </w:tcPr>
          <w:p>
            <w:r>
              <w:t>Other expenses</w:t>
            </w:r>
          </w:p>
        </w:tc>
        <w:tc>
          <w:tcPr>
            <w:tcW w:type="dxa" w:w="2160"/>
          </w:tcPr>
          <w:p>
            <w:r>
              <w:t>843.85</w:t>
            </w:r>
          </w:p>
        </w:tc>
        <w:tc>
          <w:tcPr>
            <w:tcW w:type="dxa" w:w="2160"/>
          </w:tcPr>
          <w:p>
            <w:r>
              <w:t>685.01</w:t>
            </w:r>
          </w:p>
        </w:tc>
        <w:tc>
          <w:tcPr>
            <w:tcW w:type="dxa" w:w="2160"/>
          </w:tcPr>
          <w:p>
            <w:r>
              <w:t>+23.2%</w:t>
            </w:r>
          </w:p>
        </w:tc>
      </w:tr>
      <w:tr>
        <w:tc>
          <w:tcPr>
            <w:tcW w:type="dxa" w:w="2160"/>
          </w:tcPr>
          <w:p>
            <w:r>
              <w:t>Total expenses</w:t>
            </w:r>
          </w:p>
        </w:tc>
        <w:tc>
          <w:tcPr>
            <w:tcW w:type="dxa" w:w="2160"/>
          </w:tcPr>
          <w:p>
            <w:r>
              <w:t>11,485.29</w:t>
            </w:r>
          </w:p>
        </w:tc>
        <w:tc>
          <w:tcPr>
            <w:tcW w:type="dxa" w:w="2160"/>
          </w:tcPr>
          <w:p>
            <w:r>
              <w:t>8,575.26</w:t>
            </w:r>
          </w:p>
        </w:tc>
        <w:tc>
          <w:tcPr>
            <w:tcW w:type="dxa" w:w="2160"/>
          </w:tcPr>
          <w:p>
            <w:r>
              <w:t>+33.9%</w:t>
            </w:r>
          </w:p>
        </w:tc>
      </w:tr>
      <w:tr>
        <w:tc>
          <w:tcPr>
            <w:tcW w:type="dxa" w:w="2160"/>
          </w:tcPr>
          <w:p>
            <w:r>
              <w:t>Profit / (Loss) before tax</w:t>
            </w:r>
          </w:p>
        </w:tc>
        <w:tc>
          <w:tcPr>
            <w:tcW w:type="dxa" w:w="2160"/>
          </w:tcPr>
          <w:p>
            <w:r>
              <w:t>996.72</w:t>
            </w:r>
          </w:p>
        </w:tc>
        <w:tc>
          <w:tcPr>
            <w:tcW w:type="dxa" w:w="2160"/>
          </w:tcPr>
          <w:p>
            <w:r>
              <w:t>412.28</w:t>
            </w:r>
          </w:p>
        </w:tc>
        <w:tc>
          <w:tcPr>
            <w:tcW w:type="dxa" w:w="2160"/>
          </w:tcPr>
          <w:p>
            <w:r>
              <w:t>+141.8%</w:t>
            </w:r>
          </w:p>
        </w:tc>
      </w:tr>
      <w:tr>
        <w:tc>
          <w:tcPr>
            <w:tcW w:type="dxa" w:w="2160"/>
          </w:tcPr>
          <w:p>
            <w:r>
              <w:t>Current tax expense</w:t>
            </w:r>
          </w:p>
        </w:tc>
        <w:tc>
          <w:tcPr>
            <w:tcW w:type="dxa" w:w="2160"/>
          </w:tcPr>
          <w:p>
            <w:r>
              <w:t>259.35</w:t>
            </w:r>
          </w:p>
        </w:tc>
        <w:tc>
          <w:tcPr>
            <w:tcW w:type="dxa" w:w="2160"/>
          </w:tcPr>
          <w:p>
            <w:r>
              <w:t>13.00</w:t>
            </w:r>
          </w:p>
        </w:tc>
        <w:tc>
          <w:tcPr>
            <w:tcW w:type="dxa" w:w="2160"/>
          </w:tcPr>
          <w:p>
            <w:r>
              <w:t>+1895.0%</w:t>
            </w:r>
          </w:p>
        </w:tc>
      </w:tr>
      <w:tr>
        <w:tc>
          <w:tcPr>
            <w:tcW w:type="dxa" w:w="2160"/>
          </w:tcPr>
          <w:p>
            <w:r>
              <w:t>Deferred tax expense</w:t>
            </w:r>
          </w:p>
        </w:tc>
        <w:tc>
          <w:tcPr>
            <w:tcW w:type="dxa" w:w="2160"/>
          </w:tcPr>
          <w:p>
            <w:r>
              <w:t>-12.29</w:t>
            </w:r>
          </w:p>
        </w:tc>
        <w:tc>
          <w:tcPr>
            <w:tcW w:type="dxa" w:w="2160"/>
          </w:tcPr>
          <w:p>
            <w:r>
              <w:t>-0.06</w:t>
            </w:r>
          </w:p>
        </w:tc>
        <w:tc>
          <w:tcPr>
            <w:tcW w:type="dxa" w:w="2160"/>
          </w:tcPr>
          <w:p>
            <w:r>
              <w:t>-20383.3%</w:t>
            </w:r>
          </w:p>
        </w:tc>
      </w:tr>
      <w:tr>
        <w:tc>
          <w:tcPr>
            <w:tcW w:type="dxa" w:w="2160"/>
          </w:tcPr>
          <w:p>
            <w:r>
              <w:t>Profit / (Loss) from continuing operations</w:t>
            </w:r>
          </w:p>
        </w:tc>
        <w:tc>
          <w:tcPr>
            <w:tcW w:type="dxa" w:w="2160"/>
          </w:tcPr>
          <w:p>
            <w:r>
              <w:t>749.66</w:t>
            </w:r>
          </w:p>
        </w:tc>
        <w:tc>
          <w:tcPr>
            <w:tcW w:type="dxa" w:w="2160"/>
          </w:tcPr>
          <w:p>
            <w:r>
              <w:t>399.34</w:t>
            </w:r>
          </w:p>
        </w:tc>
        <w:tc>
          <w:tcPr>
            <w:tcW w:type="dxa" w:w="2160"/>
          </w:tcPr>
          <w:p>
            <w:r>
              <w:t>+87.7%</w:t>
            </w:r>
          </w:p>
        </w:tc>
      </w:tr>
      <w:tr>
        <w:tc>
          <w:tcPr>
            <w:tcW w:type="dxa" w:w="2160"/>
          </w:tcPr>
          <w:p>
            <w:r>
              <w:t>Long-term borrowings</w:t>
            </w:r>
          </w:p>
        </w:tc>
        <w:tc>
          <w:tcPr>
            <w:tcW w:type="dxa" w:w="2160"/>
          </w:tcPr>
          <w:p>
            <w:r>
              <w:t>667.11</w:t>
            </w:r>
          </w:p>
        </w:tc>
        <w:tc>
          <w:tcPr>
            <w:tcW w:type="dxa" w:w="2160"/>
          </w:tcPr>
          <w:p>
            <w:r>
              <w:t>2,070.88</w:t>
            </w:r>
          </w:p>
        </w:tc>
        <w:tc>
          <w:tcPr>
            <w:tcW w:type="dxa" w:w="2160"/>
          </w:tcPr>
          <w:p>
            <w:r>
              <w:t>-67.8%</w:t>
            </w:r>
          </w:p>
        </w:tc>
      </w:tr>
      <w:tr>
        <w:tc>
          <w:tcPr>
            <w:tcW w:type="dxa" w:w="2160"/>
          </w:tcPr>
          <w:p>
            <w:r>
              <w:t>Short-term borrowings</w:t>
            </w:r>
          </w:p>
        </w:tc>
        <w:tc>
          <w:tcPr>
            <w:tcW w:type="dxa" w:w="2160"/>
          </w:tcPr>
          <w:p>
            <w:r>
              <w:t>3,916.56</w:t>
            </w:r>
          </w:p>
        </w:tc>
        <w:tc>
          <w:tcPr>
            <w:tcW w:type="dxa" w:w="2160"/>
          </w:tcPr>
          <w:p>
            <w:r>
              <w:t>3,999.83</w:t>
            </w:r>
          </w:p>
        </w:tc>
        <w:tc>
          <w:tcPr>
            <w:tcW w:type="dxa" w:w="2160"/>
          </w:tcPr>
          <w:p>
            <w:r>
              <w:t>-2.1%</w:t>
            </w:r>
          </w:p>
        </w:tc>
      </w:tr>
      <w:tr>
        <w:tc>
          <w:tcPr>
            <w:tcW w:type="dxa" w:w="2160"/>
          </w:tcPr>
          <w:p>
            <w:r>
              <w:t>Total Borrowings</w:t>
            </w:r>
          </w:p>
        </w:tc>
        <w:tc>
          <w:tcPr>
            <w:tcW w:type="dxa" w:w="2160"/>
          </w:tcPr>
          <w:p>
            <w:r>
              <w:t>4,583.67</w:t>
            </w:r>
          </w:p>
        </w:tc>
        <w:tc>
          <w:tcPr>
            <w:tcW w:type="dxa" w:w="2160"/>
          </w:tcPr>
          <w:p>
            <w:r>
              <w:t>6,070.71</w:t>
            </w:r>
          </w:p>
        </w:tc>
        <w:tc>
          <w:tcPr>
            <w:tcW w:type="dxa" w:w="2160"/>
          </w:tcPr>
          <w:p>
            <w:r>
              <w:t>-24.5%</w:t>
            </w:r>
          </w:p>
        </w:tc>
      </w:tr>
      <w:tr>
        <w:tc>
          <w:tcPr>
            <w:tcW w:type="dxa" w:w="2160"/>
          </w:tcPr>
          <w:p>
            <w:r>
              <w:t>Inventories</w:t>
            </w:r>
          </w:p>
        </w:tc>
        <w:tc>
          <w:tcPr>
            <w:tcW w:type="dxa" w:w="2160"/>
          </w:tcPr>
          <w:p>
            <w:r>
              <w:t>4,993.90</w:t>
            </w:r>
          </w:p>
        </w:tc>
        <w:tc>
          <w:tcPr>
            <w:tcW w:type="dxa" w:w="2160"/>
          </w:tcPr>
          <w:p>
            <w:r>
              <w:t>4,930.31</w:t>
            </w:r>
          </w:p>
        </w:tc>
        <w:tc>
          <w:tcPr>
            <w:tcW w:type="dxa" w:w="2160"/>
          </w:tcPr>
          <w:p>
            <w:r>
              <w:t>+1.3%</w:t>
            </w:r>
          </w:p>
        </w:tc>
      </w:tr>
      <w:tr>
        <w:tc>
          <w:tcPr>
            <w:tcW w:type="dxa" w:w="2160"/>
          </w:tcPr>
          <w:p>
            <w:r>
              <w:t>Trade receivables</w:t>
            </w:r>
          </w:p>
        </w:tc>
        <w:tc>
          <w:tcPr>
            <w:tcW w:type="dxa" w:w="2160"/>
          </w:tcPr>
          <w:p>
            <w:r>
              <w:t>3,503.40</w:t>
            </w:r>
          </w:p>
        </w:tc>
        <w:tc>
          <w:tcPr>
            <w:tcW w:type="dxa" w:w="2160"/>
          </w:tcPr>
          <w:p>
            <w:r>
              <w:t>3,008.77</w:t>
            </w:r>
          </w:p>
        </w:tc>
        <w:tc>
          <w:tcPr>
            <w:tcW w:type="dxa" w:w="2160"/>
          </w:tcPr>
          <w:p>
            <w:r>
              <w:t>+16.4%</w:t>
            </w:r>
          </w:p>
        </w:tc>
      </w:tr>
      <w:tr>
        <w:tc>
          <w:tcPr>
            <w:tcW w:type="dxa" w:w="2160"/>
          </w:tcPr>
          <w:p>
            <w:r>
              <w:t>Cash and Bank Balance</w:t>
            </w:r>
          </w:p>
        </w:tc>
        <w:tc>
          <w:tcPr>
            <w:tcW w:type="dxa" w:w="2160"/>
          </w:tcPr>
          <w:p>
            <w:r>
              <w:t>115.38</w:t>
            </w:r>
          </w:p>
        </w:tc>
        <w:tc>
          <w:tcPr>
            <w:tcW w:type="dxa" w:w="2160"/>
          </w:tcPr>
          <w:p>
            <w:r>
              <w:t>122.60</w:t>
            </w:r>
          </w:p>
        </w:tc>
        <w:tc>
          <w:tcPr>
            <w:tcW w:type="dxa" w:w="2160"/>
          </w:tcPr>
          <w:p>
            <w:r>
              <w:t>-5.8%</w:t>
            </w:r>
          </w:p>
        </w:tc>
      </w:tr>
      <w:tr>
        <w:tc>
          <w:tcPr>
            <w:tcW w:type="dxa" w:w="2160"/>
          </w:tcPr>
          <w:p>
            <w:r>
              <w:t>Cash on hand</w:t>
            </w:r>
          </w:p>
        </w:tc>
        <w:tc>
          <w:tcPr>
            <w:tcW w:type="dxa" w:w="2160"/>
          </w:tcPr>
          <w:p>
            <w:r>
              <w:t>12.95</w:t>
            </w:r>
          </w:p>
        </w:tc>
        <w:tc>
          <w:tcPr>
            <w:tcW w:type="dxa" w:w="2160"/>
          </w:tcPr>
          <w:p>
            <w:r>
              <w:t>11.54</w:t>
            </w:r>
          </w:p>
        </w:tc>
        <w:tc>
          <w:tcPr>
            <w:tcW w:type="dxa" w:w="2160"/>
          </w:tcPr>
          <w:p>
            <w:r>
              <w:t>+12.2%</w:t>
            </w:r>
          </w:p>
        </w:tc>
      </w:tr>
      <w:tr>
        <w:tc>
          <w:tcPr>
            <w:tcW w:type="dxa" w:w="2160"/>
          </w:tcPr>
          <w:p>
            <w:r>
              <w:t>Balances with banks (Current accounts)</w:t>
            </w:r>
          </w:p>
        </w:tc>
        <w:tc>
          <w:tcPr>
            <w:tcW w:type="dxa" w:w="2160"/>
          </w:tcPr>
          <w:p>
            <w:r>
              <w:t>1.34</w:t>
            </w:r>
          </w:p>
        </w:tc>
        <w:tc>
          <w:tcPr>
            <w:tcW w:type="dxa" w:w="2160"/>
          </w:tcPr>
          <w:p>
            <w:r>
              <w:t>0.66</w:t>
            </w:r>
          </w:p>
        </w:tc>
        <w:tc>
          <w:tcPr>
            <w:tcW w:type="dxa" w:w="2160"/>
          </w:tcPr>
          <w:p>
            <w:r>
              <w:t>+103.0%</w:t>
            </w:r>
          </w:p>
        </w:tc>
      </w:tr>
      <w:tr>
        <w:tc>
          <w:tcPr>
            <w:tcW w:type="dxa" w:w="2160"/>
          </w:tcPr>
          <w:p>
            <w:r>
              <w:t>Margin Money with Bank (restricted)</w:t>
            </w:r>
          </w:p>
        </w:tc>
        <w:tc>
          <w:tcPr>
            <w:tcW w:type="dxa" w:w="2160"/>
          </w:tcPr>
          <w:p>
            <w:r>
              <w:t>101.09</w:t>
            </w:r>
          </w:p>
        </w:tc>
        <w:tc>
          <w:tcPr>
            <w:tcW w:type="dxa" w:w="2160"/>
          </w:tcPr>
          <w:p>
            <w:r>
              <w:t>110.41</w:t>
            </w:r>
          </w:p>
        </w:tc>
        <w:tc>
          <w:tcPr>
            <w:tcW w:type="dxa" w:w="2160"/>
          </w:tcPr>
          <w:p>
            <w:r>
              <w:t>-8.4%</w:t>
            </w:r>
          </w:p>
        </w:tc>
      </w:tr>
      <w:tr>
        <w:tc>
          <w:tcPr>
            <w:tcW w:type="dxa" w:w="2160"/>
          </w:tcPr>
          <w:p>
            <w:r>
              <w:t>Net Cash Flow from Operating Activities</w:t>
            </w:r>
          </w:p>
        </w:tc>
        <w:tc>
          <w:tcPr>
            <w:tcW w:type="dxa" w:w="2160"/>
          </w:tcPr>
          <w:p>
            <w:r>
              <w:t>-678.25</w:t>
            </w:r>
          </w:p>
        </w:tc>
        <w:tc>
          <w:tcPr>
            <w:tcW w:type="dxa" w:w="2160"/>
          </w:tcPr>
          <w:p>
            <w:r>
              <w:t>-1,660.47</w:t>
            </w:r>
          </w:p>
        </w:tc>
        <w:tc>
          <w:tcPr>
            <w:tcW w:type="dxa" w:w="2160"/>
          </w:tcPr>
          <w:p>
            <w:r>
              <w:t>null</w:t>
            </w:r>
          </w:p>
        </w:tc>
      </w:tr>
      <w:tr>
        <w:tc>
          <w:tcPr>
            <w:tcW w:type="dxa" w:w="2160"/>
          </w:tcPr>
          <w:p>
            <w:r>
              <w:t>Net Increase / (Decrease) in Cash &amp; Cash Equivalents</w:t>
            </w:r>
          </w:p>
        </w:tc>
        <w:tc>
          <w:tcPr>
            <w:tcW w:type="dxa" w:w="2160"/>
          </w:tcPr>
          <w:p>
            <w:r>
              <w:t>2.10</w:t>
            </w:r>
          </w:p>
        </w:tc>
        <w:tc>
          <w:tcPr>
            <w:tcW w:type="dxa" w:w="2160"/>
          </w:tcPr>
          <w:p>
            <w:r>
              <w:t>8.23</w:t>
            </w:r>
          </w:p>
        </w:tc>
        <w:tc>
          <w:tcPr>
            <w:tcW w:type="dxa" w:w="2160"/>
          </w:tcPr>
          <w:p>
            <w:r>
              <w:t>-74.5%</w:t>
            </w:r>
          </w:p>
        </w:tc>
      </w:tr>
    </w:tbl>
    <w:p/>
    <w:p>
      <w:pPr>
        <w:pStyle w:val="Heading1"/>
        <w:jc w:val="left"/>
      </w:pPr>
      <w:r>
        <w:rPr>
          <w:b/>
          <w:sz w:val="28"/>
        </w:rPr>
        <w:t>Banking Conduct</w:t>
      </w:r>
    </w:p>
    <w:p>
      <w:pPr>
        <w:jc w:val="both"/>
      </w:pPr>
      <w:r>
        <w:rPr>
          <w:b w:val="0"/>
          <w:sz w:val="22"/>
        </w:rPr>
        <w:t>DURLAX TOP SURFACE LIMITED demonstrates sound banking conduct, with no reported defaults on the repayment of secured or unsecured loans and interest during the financial year 2024-25.</w:t>
      </w:r>
    </w:p>
    <w:p>
      <w:pPr>
        <w:jc w:val="both"/>
      </w:pPr>
      <w:r>
        <w:rPr>
          <w:b w:val="0"/>
          <w:sz w:val="22"/>
        </w:rPr>
        <w:t>The company's borrowing profile includes a mix of secured and unsecured facilities from various banks and financial institutions. As at 31st March 2025, the current portion of long-term debt stood at INR 3,503.40 Lakhs, an increase from INR 3,008.77 Lakhs as at 31st March 2024. This includes obligations repayable within less than 6 months (INR 3,187.85 Lakhs in FY25 vs INR 2,905.64 Lakhs in FY24), between 6 months and 1 year (INR 242.80 Lakhs in FY25 vs INR 54.52 Lakhs in FY24), and between 1 to 2 years (INR 72.75 Lakhs in FY25 vs INR 48.61 Lakhs in FY24).</w:t>
      </w:r>
    </w:p>
    <w:p>
      <w:pPr>
        <w:jc w:val="both"/>
      </w:pPr>
      <w:r>
        <w:rPr>
          <w:b w:val="0"/>
          <w:sz w:val="22"/>
        </w:rPr>
        <w:t>The company operates a Cash Credit (Working Capital) account (Account No. XXXX XXXX 4471) with SAMPLE BANK OF INDIA, with a sanctioned limit of INR 3,500.00 Lakhs. Analysis of the statement from 01-10-2025 to 31-12-2025 indicates regular operational transactions, including NEFT credits for invoice payments, cheque payments, NEFT debits, RTGS debits, TDS payments, salary payments, and GST payments. Term Loan EMIs of INR 4,12,640.00 were observed to be regularly debited from this account on 05-10-2025 and 05-12-2025. While the account balance occasionally turned negative, such instances are within the scope of a working capital cash credit facility and do not indicate a default given the sanctioned limit.</w:t>
      </w:r>
    </w:p>
    <w:p>
      <w:pPr>
        <w:jc w:val="both"/>
      </w:pPr>
      <w:r>
        <w:rPr>
          <w:b w:val="0"/>
          <w:sz w:val="22"/>
        </w:rPr>
        <w:t>Short-term borrowings, as at 31st March 2025, include an Overdraft of INR 2,946.55 Lakhs (down from INR 3,036.40 Lakhs in FY24), Letter of Credit liabilities of INR 598.50 Lakhs (down from INR 662.86 Lakhs in FY24), and other loans repayable within the year (secured and unsecured) of INR 371.51 Lakhs (up from INR 300.57 Lakhs in FY24). Total short-term borrowings were INR 3,916.56 Lakhs in FY25, a slight decrease from INR 3,999.83 Lakhs in FY24.</w:t>
      </w:r>
    </w:p>
    <w:p>
      <w:pPr>
        <w:jc w:val="both"/>
      </w:pPr>
      <w:r>
        <w:rPr>
          <w:b w:val="0"/>
          <w:sz w:val="22"/>
        </w:rPr>
        <w:t>Non-current secured term loans from banks were INR 330.09 Lakhs as at 31st March 2025, a reduction from INR 360.65 Lakhs as at 31st March 2024. Non-current unsecured loans from banks and financial institutions were INR 16.19 Lakhs as at 31st March 2025, significantly down from INR 70.78 Lakhs in the prior year.</w:t>
      </w:r>
    </w:p>
    <w:p>
      <w:pPr>
        <w:jc w:val="both"/>
      </w:pPr>
      <w:r>
        <w:rPr>
          <w:b w:val="0"/>
          <w:sz w:val="22"/>
        </w:rPr>
        <w:t>Cash and Bank Balance (Note 19) shows Cash on hand of INR 12.95 Lakhs as at 31st March 2025, an increase from INR 11.54 Lakhs as at 31st March 2024. It is noted that certain facilities are secured by restricted funds, such as a Cash Margin FDR at 15% against a Letter of Credit facility from Punjab National Bank, and a Lien of Fixed Deposit of INR 150.00 Lakhs against a term loan from Tata Capital.</w:t>
      </w:r>
    </w:p>
    <w:p>
      <w:pPr>
        <w:jc w:val="both"/>
      </w:pPr>
      <w:r>
        <w:rPr>
          <w:b w:val="0"/>
          <w:sz w:val="22"/>
        </w:rPr>
        <w:t>Directors Mr. Shravan Suthar, Mr. Lalit Suthar, Mr. Laxmichand Suthar, and Mr. Pankaj Suthar have provided personal guarantees for several secured facilities.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Lender</w:t>
            </w:r>
          </w:p>
        </w:tc>
        <w:tc>
          <w:tcPr>
            <w:tcW w:type="dxa" w:w="1728"/>
          </w:tcPr>
          <w:p>
            <w:r>
              <w:rPr>
                <w:b/>
              </w:rPr>
              <w:t>Facility Type</w:t>
            </w:r>
          </w:p>
        </w:tc>
        <w:tc>
          <w:tcPr>
            <w:tcW w:type="dxa" w:w="1728"/>
          </w:tcPr>
          <w:p>
            <w:r>
              <w:rPr>
                <w:b/>
              </w:rPr>
              <w:t>Amount Lakhs</w:t>
            </w:r>
          </w:p>
        </w:tc>
        <w:tc>
          <w:tcPr>
            <w:tcW w:type="dxa" w:w="1728"/>
          </w:tcPr>
          <w:p>
            <w:r>
              <w:rPr>
                <w:b/>
              </w:rPr>
              <w:t>Roi</w:t>
            </w:r>
          </w:p>
        </w:tc>
        <w:tc>
          <w:tcPr>
            <w:tcW w:type="dxa" w:w="1728"/>
          </w:tcPr>
          <w:p>
            <w:r>
              <w:rPr>
                <w:b/>
              </w:rPr>
              <w:t>Security</w:t>
            </w:r>
          </w:p>
        </w:tc>
      </w:tr>
      <w:tr>
        <w:tc>
          <w:tcPr>
            <w:tcW w:type="dxa" w:w="1728"/>
          </w:tcPr>
          <w:p>
            <w:r>
              <w:t>Punjab National Bank</w:t>
            </w:r>
          </w:p>
        </w:tc>
        <w:tc>
          <w:tcPr>
            <w:tcW w:type="dxa" w:w="1728"/>
          </w:tcPr>
          <w:p>
            <w:r>
              <w:t>Medium term working capital facility</w:t>
            </w:r>
          </w:p>
        </w:tc>
        <w:tc>
          <w:tcPr>
            <w:tcW w:type="dxa" w:w="1728"/>
          </w:tcPr>
          <w:p>
            <w:r>
              <w:t>1100.0</w:t>
            </w:r>
          </w:p>
        </w:tc>
        <w:tc>
          <w:tcPr>
            <w:tcW w:type="dxa" w:w="1728"/>
          </w:tcPr>
          <w:p>
            <w:r>
              <w:t>9.85%</w:t>
            </w:r>
          </w:p>
        </w:tc>
        <w:tc>
          <w:tcPr>
            <w:tcW w:type="dxa" w:w="1728"/>
          </w:tcPr>
          <w:p>
            <w:r>
              <w:t>Hypothecation of Stock &amp; Books Debts, Personal Guarantee by Mr. Shravan Suthar, Mr. Lalit Suthar, Mr. Laxmichand Suthar, Mr. Pankaj Suthar</w:t>
            </w:r>
          </w:p>
        </w:tc>
      </w:tr>
      <w:tr>
        <w:tc>
          <w:tcPr>
            <w:tcW w:type="dxa" w:w="1728"/>
          </w:tcPr>
          <w:p>
            <w:r>
              <w:t>Axis Bank Ltd</w:t>
            </w:r>
          </w:p>
        </w:tc>
        <w:tc>
          <w:tcPr>
            <w:tcW w:type="dxa" w:w="1728"/>
          </w:tcPr>
          <w:p>
            <w:r>
              <w:t>Medium term working capital facility</w:t>
            </w:r>
          </w:p>
        </w:tc>
        <w:tc>
          <w:tcPr>
            <w:tcW w:type="dxa" w:w="1728"/>
          </w:tcPr>
          <w:p>
            <w:r>
              <w:t>1900.0</w:t>
            </w:r>
          </w:p>
        </w:tc>
        <w:tc>
          <w:tcPr>
            <w:tcW w:type="dxa" w:w="1728"/>
          </w:tcPr>
          <w:p>
            <w:r>
              <w:t>9.25%</w:t>
            </w:r>
          </w:p>
        </w:tc>
        <w:tc>
          <w:tcPr>
            <w:tcW w:type="dxa" w:w="1728"/>
          </w:tcPr>
          <w:p>
            <w:r>
              <w:t>Hypothecation of entire Current assets &amp; pari Pasu on Land, Building, Plant &amp; Machinery, Office Premises no 301 &amp; Shop No 01 and 02, Personal Guarantee by Mr. Shravan Suthar, Mr. Lalit Suthar, Mr. Laxmichand Suthar, Mr. Pankaj Suthar</w:t>
            </w:r>
          </w:p>
        </w:tc>
      </w:tr>
      <w:tr>
        <w:tc>
          <w:tcPr>
            <w:tcW w:type="dxa" w:w="1728"/>
          </w:tcPr>
          <w:p>
            <w:r>
              <w:t>Punjab National Bank</w:t>
            </w:r>
          </w:p>
        </w:tc>
        <w:tc>
          <w:tcPr>
            <w:tcW w:type="dxa" w:w="1728"/>
          </w:tcPr>
          <w:p>
            <w:r>
              <w:t>Letter of Credit facility</w:t>
            </w:r>
          </w:p>
        </w:tc>
        <w:tc>
          <w:tcPr>
            <w:tcW w:type="dxa" w:w="1728"/>
          </w:tcPr>
          <w:p>
            <w:r>
              <w:t>730.0</w:t>
            </w:r>
          </w:p>
        </w:tc>
        <w:tc>
          <w:tcPr>
            <w:tcW w:type="dxa" w:w="1728"/>
          </w:tcPr>
          <w:p>
            <w:r>
              <w:t>—</w:t>
            </w:r>
          </w:p>
        </w:tc>
        <w:tc>
          <w:tcPr>
            <w:tcW w:type="dxa" w:w="1728"/>
          </w:tcPr>
          <w:p>
            <w:r>
              <w:t>Cash Margin FDR @ 15%, Personal Guarantee by Mr. Shravan Suthar</w:t>
            </w:r>
          </w:p>
        </w:tc>
      </w:tr>
      <w:tr>
        <w:tc>
          <w:tcPr>
            <w:tcW w:type="dxa" w:w="1728"/>
          </w:tcPr>
          <w:p>
            <w:r>
              <w:t>Mahindra &amp; Mahindra Financial Services Limited</w:t>
            </w:r>
          </w:p>
        </w:tc>
        <w:tc>
          <w:tcPr>
            <w:tcW w:type="dxa" w:w="1728"/>
          </w:tcPr>
          <w:p>
            <w:r>
              <w:t>machinery term loan facility</w:t>
            </w:r>
          </w:p>
        </w:tc>
        <w:tc>
          <w:tcPr>
            <w:tcW w:type="dxa" w:w="1728"/>
          </w:tcPr>
          <w:p>
            <w:r>
              <w:t>54.86</w:t>
            </w:r>
          </w:p>
        </w:tc>
        <w:tc>
          <w:tcPr>
            <w:tcW w:type="dxa" w:w="1728"/>
          </w:tcPr>
          <w:p>
            <w:r>
              <w:t>9.50%</w:t>
            </w:r>
          </w:p>
        </w:tc>
        <w:tc>
          <w:tcPr>
            <w:tcW w:type="dxa" w:w="1728"/>
          </w:tcPr>
          <w:p>
            <w:r>
              <w:t>Charge on Plant &amp; Machinery, Security Deposit of Rs. 16.46 lakhs @ 8.50%, Personal Guarantee by Mr. Shravan Suthar and Mr. Lalit Suthar</w:t>
            </w:r>
          </w:p>
        </w:tc>
      </w:tr>
      <w:tr>
        <w:tc>
          <w:tcPr>
            <w:tcW w:type="dxa" w:w="1728"/>
          </w:tcPr>
          <w:p>
            <w:r>
              <w:t>Mahindra &amp; Mahindra Financial Services Limited</w:t>
            </w:r>
          </w:p>
        </w:tc>
        <w:tc>
          <w:tcPr>
            <w:tcW w:type="dxa" w:w="1728"/>
          </w:tcPr>
          <w:p>
            <w:r>
              <w:t>machinery term loan facility</w:t>
            </w:r>
          </w:p>
        </w:tc>
        <w:tc>
          <w:tcPr>
            <w:tcW w:type="dxa" w:w="1728"/>
          </w:tcPr>
          <w:p>
            <w:r>
              <w:t>206.0</w:t>
            </w:r>
          </w:p>
        </w:tc>
        <w:tc>
          <w:tcPr>
            <w:tcW w:type="dxa" w:w="1728"/>
          </w:tcPr>
          <w:p>
            <w:r>
              <w:t>11.00%</w:t>
            </w:r>
          </w:p>
        </w:tc>
        <w:tc>
          <w:tcPr>
            <w:tcW w:type="dxa" w:w="1728"/>
          </w:tcPr>
          <w:p>
            <w:r>
              <w:t>Charge on Plant &amp; Machinery, Security Deposit of Rs. 20.60 lakhs @ 7.50%, Personal Guarantee by Mr. Shravan Suthar and Mr. Lalit Suthar</w:t>
            </w:r>
          </w:p>
        </w:tc>
      </w:tr>
      <w:tr>
        <w:tc>
          <w:tcPr>
            <w:tcW w:type="dxa" w:w="1728"/>
          </w:tcPr>
          <w:p>
            <w:r>
              <w:t>Tata Capital</w:t>
            </w:r>
          </w:p>
        </w:tc>
        <w:tc>
          <w:tcPr>
            <w:tcW w:type="dxa" w:w="1728"/>
          </w:tcPr>
          <w:p>
            <w:r>
              <w:t>term loan facility</w:t>
            </w:r>
          </w:p>
        </w:tc>
        <w:tc>
          <w:tcPr>
            <w:tcW w:type="dxa" w:w="1728"/>
          </w:tcPr>
          <w:p>
            <w:r>
              <w:t>300.0</w:t>
            </w:r>
          </w:p>
        </w:tc>
        <w:tc>
          <w:tcPr>
            <w:tcW w:type="dxa" w:w="1728"/>
          </w:tcPr>
          <w:p>
            <w:r>
              <w:t>11.75%</w:t>
            </w:r>
          </w:p>
        </w:tc>
        <w:tc>
          <w:tcPr>
            <w:tcW w:type="dxa" w:w="1728"/>
          </w:tcPr>
          <w:p>
            <w:r>
              <w:t>Lien of Fixed Deposit of Rs. 150.00 lakhs, Personal Guarantee by Mr. Shravan Suthar and Mr. Lalit Suthar</w:t>
            </w:r>
          </w:p>
        </w:tc>
      </w:tr>
      <w:tr>
        <w:tc>
          <w:tcPr>
            <w:tcW w:type="dxa" w:w="1728"/>
          </w:tcPr>
          <w:p>
            <w:r>
              <w:t>Deutsche Bank</w:t>
            </w:r>
          </w:p>
        </w:tc>
        <w:tc>
          <w:tcPr>
            <w:tcW w:type="dxa" w:w="1728"/>
          </w:tcPr>
          <w:p>
            <w:r>
              <w:t>Business unsecured loan</w:t>
            </w:r>
          </w:p>
        </w:tc>
        <w:tc>
          <w:tcPr>
            <w:tcW w:type="dxa" w:w="1728"/>
          </w:tcPr>
          <w:p>
            <w:r>
              <w:t>39.7</w:t>
            </w:r>
          </w:p>
        </w:tc>
        <w:tc>
          <w:tcPr>
            <w:tcW w:type="dxa" w:w="1728"/>
          </w:tcPr>
          <w:p>
            <w:r>
              <w:t>17.00%</w:t>
            </w:r>
          </w:p>
        </w:tc>
        <w:tc>
          <w:tcPr>
            <w:tcW w:type="dxa" w:w="1728"/>
          </w:tcPr>
          <w:p>
            <w:r>
              <w:t>Unsecured</w:t>
            </w:r>
          </w:p>
        </w:tc>
      </w:tr>
      <w:tr>
        <w:tc>
          <w:tcPr>
            <w:tcW w:type="dxa" w:w="1728"/>
          </w:tcPr>
          <w:p>
            <w:r>
              <w:t>Ambit Finvest Private Limited</w:t>
            </w:r>
          </w:p>
        </w:tc>
        <w:tc>
          <w:tcPr>
            <w:tcW w:type="dxa" w:w="1728"/>
          </w:tcPr>
          <w:p>
            <w:r>
              <w:t>Business unsecured loan</w:t>
            </w:r>
          </w:p>
        </w:tc>
        <w:tc>
          <w:tcPr>
            <w:tcW w:type="dxa" w:w="1728"/>
          </w:tcPr>
          <w:p>
            <w:r>
              <w:t>50.0</w:t>
            </w:r>
          </w:p>
        </w:tc>
        <w:tc>
          <w:tcPr>
            <w:tcW w:type="dxa" w:w="1728"/>
          </w:tcPr>
          <w:p>
            <w:r>
              <w:t>16.00%</w:t>
            </w:r>
          </w:p>
        </w:tc>
        <w:tc>
          <w:tcPr>
            <w:tcW w:type="dxa" w:w="1728"/>
          </w:tcPr>
          <w:p>
            <w:r>
              <w:t>Unsecured</w:t>
            </w:r>
          </w:p>
        </w:tc>
      </w:tr>
      <w:tr>
        <w:tc>
          <w:tcPr>
            <w:tcW w:type="dxa" w:w="1728"/>
          </w:tcPr>
          <w:p>
            <w:r>
              <w:t>HDFC Bank Limited</w:t>
            </w:r>
          </w:p>
        </w:tc>
        <w:tc>
          <w:tcPr>
            <w:tcW w:type="dxa" w:w="1728"/>
          </w:tcPr>
          <w:p>
            <w:r>
              <w:t>Business unsecured loan</w:t>
            </w:r>
          </w:p>
        </w:tc>
        <w:tc>
          <w:tcPr>
            <w:tcW w:type="dxa" w:w="1728"/>
          </w:tcPr>
          <w:p>
            <w:r>
              <w:t>35.15</w:t>
            </w:r>
          </w:p>
        </w:tc>
        <w:tc>
          <w:tcPr>
            <w:tcW w:type="dxa" w:w="1728"/>
          </w:tcPr>
          <w:p>
            <w:r>
              <w:t>15.00%</w:t>
            </w:r>
          </w:p>
        </w:tc>
        <w:tc>
          <w:tcPr>
            <w:tcW w:type="dxa" w:w="1728"/>
          </w:tcPr>
          <w:p>
            <w:r>
              <w:t>Unsecured</w:t>
            </w:r>
          </w:p>
        </w:tc>
      </w:tr>
      <w:tr>
        <w:tc>
          <w:tcPr>
            <w:tcW w:type="dxa" w:w="1728"/>
          </w:tcPr>
          <w:p>
            <w:r>
              <w:t>Hero Fincorp Limited</w:t>
            </w:r>
          </w:p>
        </w:tc>
        <w:tc>
          <w:tcPr>
            <w:tcW w:type="dxa" w:w="1728"/>
          </w:tcPr>
          <w:p>
            <w:r>
              <w:t>Business unsecured loan</w:t>
            </w:r>
          </w:p>
        </w:tc>
        <w:tc>
          <w:tcPr>
            <w:tcW w:type="dxa" w:w="1728"/>
          </w:tcPr>
          <w:p>
            <w:r>
              <w:t>30.15</w:t>
            </w:r>
          </w:p>
        </w:tc>
        <w:tc>
          <w:tcPr>
            <w:tcW w:type="dxa" w:w="1728"/>
          </w:tcPr>
          <w:p>
            <w:r>
              <w:t>17.00%</w:t>
            </w:r>
          </w:p>
        </w:tc>
        <w:tc>
          <w:tcPr>
            <w:tcW w:type="dxa" w:w="1728"/>
          </w:tcPr>
          <w:p>
            <w:r>
              <w:t>Unsecured</w:t>
            </w:r>
          </w:p>
        </w:tc>
      </w:tr>
      <w:tr>
        <w:tc>
          <w:tcPr>
            <w:tcW w:type="dxa" w:w="1728"/>
          </w:tcPr>
          <w:p>
            <w:r>
              <w:t>—</w:t>
            </w:r>
          </w:p>
        </w:tc>
        <w:tc>
          <w:tcPr>
            <w:tcW w:type="dxa" w:w="1728"/>
          </w:tcPr>
          <w:p>
            <w:r>
              <w:t>Other unsecured loans</w:t>
            </w:r>
          </w:p>
        </w:tc>
        <w:tc>
          <w:tcPr>
            <w:tcW w:type="dxa" w:w="1728"/>
          </w:tcPr>
          <w:p>
            <w:r>
              <w:t>—</w:t>
            </w:r>
          </w:p>
        </w:tc>
        <w:tc>
          <w:tcPr>
            <w:tcW w:type="dxa" w:w="1728"/>
          </w:tcPr>
          <w:p>
            <w:r>
              <w:t>9.00%</w:t>
            </w:r>
          </w:p>
        </w:tc>
        <w:tc>
          <w:tcPr>
            <w:tcW w:type="dxa" w:w="1728"/>
          </w:tcPr>
          <w:p>
            <w:r>
              <w:t>Unsecured</w:t>
            </w:r>
          </w:p>
        </w:tc>
      </w:tr>
      <w:tr>
        <w:tc>
          <w:tcPr>
            <w:tcW w:type="dxa" w:w="1728"/>
          </w:tcPr>
          <w:p>
            <w:r>
              <w:t>Directors &amp; Directors Relative</w:t>
            </w:r>
          </w:p>
        </w:tc>
        <w:tc>
          <w:tcPr>
            <w:tcW w:type="dxa" w:w="1728"/>
          </w:tcPr>
          <w:p>
            <w:r>
              <w:t>Unsecured loan</w:t>
            </w:r>
          </w:p>
        </w:tc>
        <w:tc>
          <w:tcPr>
            <w:tcW w:type="dxa" w:w="1728"/>
          </w:tcPr>
          <w:p>
            <w:r>
              <w:t>—</w:t>
            </w:r>
          </w:p>
        </w:tc>
        <w:tc>
          <w:tcPr>
            <w:tcW w:type="dxa" w:w="1728"/>
          </w:tcPr>
          <w:p>
            <w:r>
              <w:t>—</w:t>
            </w:r>
          </w:p>
        </w:tc>
        <w:tc>
          <w:tcPr>
            <w:tcW w:type="dxa" w:w="1728"/>
          </w:tcPr>
          <w:p>
            <w:r>
              <w:t>Unsecured</w:t>
            </w:r>
          </w:p>
        </w:tc>
      </w:tr>
    </w:tbl>
    <w:p/>
    <w:p>
      <w:pPr>
        <w:pStyle w:val="Heading1"/>
        <w:jc w:val="left"/>
      </w:pPr>
      <w:r>
        <w:rPr>
          <w:b/>
          <w:sz w:val="28"/>
        </w:rPr>
        <w:t>Tax and Statutory Compliance</w:t>
      </w:r>
    </w:p>
    <w:p>
      <w:pPr>
        <w:jc w:val="both"/>
      </w:pPr>
      <w:r>
        <w:rPr>
          <w:b/>
          <w:sz w:val="22"/>
        </w:rPr>
        <w:t>Tax and Statutory Compliance</w:t>
      </w:r>
    </w:p>
    <w:p>
      <w:pPr>
        <w:jc w:val="both"/>
      </w:pPr>
      <w:r>
        <w:rPr>
          <w:b w:val="0"/>
          <w:sz w:val="22"/>
        </w:rPr>
        <w:t>For the financial year ended March 30, 2025, the company recorded a provision for current tax of 119.20 Lakhs, with a deferred tax expense of (2.32) Lakhs, resulting in a net tax expense of 116.88 Lakhs. This represents a significant increase compared to the previous year, where the provision for current tax was 13.00 Lakhs, deferred tax expense was (1.82) Lakhs, and net tax expense was 11.18 Lakhs for the year ended March 31, 2024.</w:t>
      </w:r>
    </w:p>
    <w:p>
      <w:pPr>
        <w:jc w:val="both"/>
      </w:pPr>
      <w:r>
        <w:rPr>
          <w:b w:val="0"/>
          <w:sz w:val="22"/>
        </w:rPr>
        <w:t>The balance with Revenue Authorities, categorised under short-term loans and advances, has also increased from 16.48 Lakhs in FY2024 to 111.88 Lakhs in FY2025. This may indicate higher advance tax payments or pending tax refunds.</w:t>
      </w:r>
    </w:p>
    <w:p>
      <w:pPr>
        <w:jc w:val="both"/>
      </w:pPr>
      <w:r>
        <w:rPr>
          <w:b w:val="0"/>
          <w:sz w:val="22"/>
        </w:rPr>
        <w:t>According to the auditors' report for the period ending March 2025, the company has been generally regular in depositing undisputed statutory dues, including Income-tax, Service tax, and Cess, with the appropriate authorities. Furthermore, the company confirmed that it did not have any outstanding dues on account of Provident Fund, ESIC, Sales Tax, Custom Duty, and Excise Duty. Bank records also show a GST payment of 3.81 Lakhs made on December 7, 2025.</w:t>
      </w:r>
    </w:p>
    <w:p>
      <w:pPr>
        <w:jc w:val="both"/>
      </w:pPr>
      <w:r>
        <w:rPr>
          <w:b w:val="0"/>
          <w:sz w:val="22"/>
        </w:rPr>
        <w:t>Regarding compliance with cost records, the auditors broadly reviewed the books of account maintained by the company pursuant to Section 148 of the Act and are of the opinion that the prescribed accounts and records have been prima facie made and maintained.</w:t>
      </w:r>
    </w:p>
    <w:p>
      <w:pPr>
        <w:pStyle w:val="Heading1"/>
        <w:jc w:val="left"/>
      </w:pPr>
      <w:r>
        <w:rPr>
          <w:b/>
          <w:sz w:val="28"/>
        </w:rPr>
        <w:t>Audit and Compliance</w:t>
      </w:r>
    </w:p>
    <w:p>
      <w:pPr>
        <w:jc w:val="both"/>
      </w:pPr>
      <w:r>
        <w:rPr>
          <w:b w:val="0"/>
          <w:sz w:val="22"/>
        </w:rPr>
        <w:t>The Company's financial statements for the period ending March 31, 2025, have been prepared in agreement with its proper books of account, as confirmed by the auditor's report. These financial statements comply with the Accounting Standards specified under Section 133 of the Act, read with Rule 7 of the Companies (Accounts) Rules, 2014.</w:t>
      </w:r>
    </w:p>
    <w:p>
      <w:pPr>
        <w:jc w:val="both"/>
      </w:pPr>
      <w:r>
        <w:rPr>
          <w:b w:val="0"/>
          <w:sz w:val="22"/>
        </w:rPr>
        <w:t>The auditors have evaluated the adequacy of the internal financial controls over financial reporting and their operating effectiveness. Any significant deficiencies identified during the audit are communicated to those charged with governance. The auditors have also confirmed compliance with relevant ethical requirements regarding independence and have communicated any relationships or matters that could reasonably affect their independence. Key audit matters, as determined to be most significant to the audit, are described in their report.</w:t>
      </w:r>
    </w:p>
    <w:p>
      <w:pPr>
        <w:jc w:val="both"/>
      </w:pPr>
      <w:r>
        <w:rPr>
          <w:b w:val="0"/>
          <w:sz w:val="22"/>
        </w:rPr>
        <w:t>Furthermore, based on written representations, none of the directors were disqualified as of March 31, 2025, under Section 164(2) of the Act. The audit evidence obtained up to the date of the auditor's report supports the Company's ability to continue as a going concern, although future events or conditions could impact this status.</w:t>
      </w:r>
    </w:p>
    <w:p>
      <w:pPr>
        <w:pStyle w:val="Heading1"/>
        <w:jc w:val="left"/>
      </w:pPr>
      <w:r>
        <w:rPr>
          <w:b/>
          <w:sz w:val="28"/>
        </w:rPr>
        <w:t>Risk Assessment</w:t>
      </w:r>
    </w:p>
    <w:p>
      <w:pPr>
        <w:jc w:val="both"/>
      </w:pPr>
      <w:r>
        <w:rPr>
          <w:b w:val="0"/>
          <w:sz w:val="22"/>
        </w:rPr>
        <w:t>The company has significantly strengthened its financial position in FY25, largely driven by a substantial equity infusion. Shareholders' funds increased robustly from 2,162.76 Lakhs in FY24 to 5,768.42 Lakhs in FY25. This growth is primarily attributable to a fresh issue of 4,200,000 equity shares as part of an Initial Public Offer (IPO) at a price of 68 per share, including a 58 per share premium, with the equity shares listing on NSE Emerge on June 26, 2024.</w:t>
      </w:r>
    </w:p>
    <w:p>
      <w:pPr>
        <w:jc w:val="both"/>
      </w:pPr>
      <w:r>
        <w:rPr>
          <w:b w:val="0"/>
          <w:sz w:val="22"/>
        </w:rPr>
        <w:t>This capital raising has notably improved the company's financial leverage, with the Debt-Equity Ratio decreasing significantly by 71.69% from 2.81 in FY24 to 0.79 in FY25. Long-term borrowings saw a substantial reduction from 2,070.88 Lakhs in FY24 to 667.11 Lakhs in FY25, complemented by a marginal decrease in short-term borrowings from 3,999.83 Lakhs to 3,916.56 Lakhs. The Current Ratio also improved considerably by 38.06%, rising from 1.34 in FY24 to 1.85 in FY25, indicating enhanced short-term liquidity.</w:t>
      </w:r>
    </w:p>
    <w:p>
      <w:pPr>
        <w:jc w:val="both"/>
      </w:pPr>
      <w:r>
        <w:rPr>
          <w:b w:val="0"/>
          <w:sz w:val="22"/>
        </w:rPr>
        <w:t>Profitability demonstrated a strong positive trend, with Net Profit Before Taxes increasing significantly from 412.28 Lakhs in FY24 to 996.72 Lakhs in FY25. Consequently, the Debt Service Coverage Ratio improved from 0.27 in FY24 to 0.34 in FY25, attributed to higher EBIT and a reduction in debt servicing costs. However, the Return on Equity (RoE) slightly decreased by 7.26% from 0.20 in FY24 to 0.19 in FY25.</w:t>
      </w:r>
    </w:p>
    <w:p>
      <w:pPr>
        <w:jc w:val="both"/>
      </w:pPr>
      <w:r>
        <w:rPr>
          <w:b w:val="0"/>
          <w:sz w:val="22"/>
        </w:rPr>
        <w:t>Despite improved profitability, Net Cash Flow from Operating Activities remained negative at (678.25) Lakhs in FY25, although this represents a significant improvement from (1,660.47) Lakhs in FY24. The persistent negative operating cash flow is largely influenced by increases in trade receivables and inventories and a decrease in trade payables, which consumed cash. While the reported Cash and Bank Balance is 115.38 Lakhs in FY25, a significant portion of the company's liquid assets are restricted. This includes 18.43 Lakhs held as a fixed deposit against a Bank Guarantee in favor of DGFT, and an estimated `109.5 Lakhs (15% cash margin) against a Letter of Credit facility from Punjab National Bank. The classification of these fixed deposits on the balance sheet is not explicitly provided in the evidence.</w:t>
      </w:r>
    </w:p>
    <w:p>
      <w:pPr>
        <w:jc w:val="both"/>
      </w:pPr>
      <w:r>
        <w:rPr>
          <w:b w:val="0"/>
          <w:sz w:val="22"/>
        </w:rPr>
        <w:t>Working capital management shows mixed trends. The Inventory turnover ratio improved from 1.70 in FY24 to 1.98 in FY25, indicating more efficient inventory utilization. Conversely, the Trade Receivables turnover ratio slightly declined from 3.95 in FY24 to 3.77 in FY25.</w:t>
      </w:r>
    </w:p>
    <w:p>
      <w:pPr>
        <w:jc w:val="both"/>
      </w:pPr>
      <w:r>
        <w:rPr>
          <w:b w:val="0"/>
          <w:sz w:val="22"/>
        </w:rPr>
        <w:t>The company's borrowings include secured working capital facilities. A 1,100 Lakhs facility from PNB is secured by hypothecation of stock &amp; book debts and personal guarantees from Mr. Shravan Suthar, Mr. Lalit Suthar, Mr. Laxmichand Suthar, and Mr. Pankaj Suthar. An additional 1,900 Lakhs facility from Axis Bank is secured by hypothecation of entire current assets, a pari passu charge on Land, Building, Plant &amp; Machinery, Office Premises, and personal guarantees from the same individuals. The company's borrowing limit is authorized up to 200 Crores (2,000 Lakhs) at any point in time.</w:t>
      </w:r>
    </w:p>
    <w:p>
      <w:pPr>
        <w:jc w:val="both"/>
      </w:pPr>
      <w:r>
        <w:rPr>
          <w:b w:val="0"/>
          <w:sz w:val="22"/>
        </w:rPr>
        <w:t>Operational risks are present in the form of contingent liabilities related to Export Promotion Capital Goods (EPCG) schemes. For one license (No. 0330045650), a potential customs duty liability of 1.85 Crores (184.53 Lakhs) exists if the export obligation is not met by the extended deadline of April 28, 2026. For two other EPCG licenses, while export obligations have been fulfilled and closure applications submitted, final confirmation from DGFT is awaited, resulting in a contingent liability of 0.86 Crores (85.69 Lakhs). Non-compliance with these obligations could lead to financial penalties.</w:t>
      </w:r>
    </w:p>
    <w:p>
      <w:pPr>
        <w:jc w:val="both"/>
      </w:pPr>
      <w:r>
        <w:rPr>
          <w:b w:val="0"/>
          <w:sz w:val="22"/>
        </w:rPr>
        <w:t>Related party transactions with Key Managerial Personnel (KMP) and their relatives are disclosed and stated to be on an arm's length basis. Notable balances at FY25 include 1,686.26 Lakhs for Shravan Suthar and 267.57 Lakhs for Lalit Suthar. The specific nature of these balances (receivable or payable) is not explicitly detailed in the evidence, which limits a precise assessment of the associated credit risk, but their size warrants monitoring. Mr. Lalit Laxmichand Suthar is identified as a Whole Time Director of the company, and other individuals providing personal guarantees are part of Key Managerial Personnel.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Ratio</w:t>
            </w:r>
          </w:p>
        </w:tc>
        <w:tc>
          <w:tcPr>
            <w:tcW w:type="dxa" w:w="2160"/>
          </w:tcPr>
          <w:p>
            <w:r>
              <w:rPr>
                <w:b/>
              </w:rPr>
              <w:t>Fy25</w:t>
            </w:r>
          </w:p>
        </w:tc>
        <w:tc>
          <w:tcPr>
            <w:tcW w:type="dxa" w:w="2160"/>
          </w:tcPr>
          <w:p>
            <w:r>
              <w:rPr>
                <w:b/>
              </w:rPr>
              <w:t>Fy24</w:t>
            </w:r>
          </w:p>
        </w:tc>
        <w:tc>
          <w:tcPr>
            <w:tcW w:type="dxa" w:w="2160"/>
          </w:tcPr>
          <w:p>
            <w:r>
              <w:rPr>
                <w:b/>
              </w:rPr>
              <w:t>Trend</w:t>
            </w:r>
          </w:p>
        </w:tc>
      </w:tr>
      <w:tr>
        <w:tc>
          <w:tcPr>
            <w:tcW w:type="dxa" w:w="2160"/>
          </w:tcPr>
          <w:p>
            <w:r>
              <w:t>Current Ratio</w:t>
            </w:r>
          </w:p>
        </w:tc>
        <w:tc>
          <w:tcPr>
            <w:tcW w:type="dxa" w:w="2160"/>
          </w:tcPr>
          <w:p>
            <w:r>
              <w:t>1.85</w:t>
            </w:r>
          </w:p>
        </w:tc>
        <w:tc>
          <w:tcPr>
            <w:tcW w:type="dxa" w:w="2160"/>
          </w:tcPr>
          <w:p>
            <w:r>
              <w:t>1.34</w:t>
            </w:r>
          </w:p>
        </w:tc>
        <w:tc>
          <w:tcPr>
            <w:tcW w:type="dxa" w:w="2160"/>
          </w:tcPr>
          <w:p>
            <w:r>
              <w:t>38.06%</w:t>
            </w:r>
          </w:p>
        </w:tc>
      </w:tr>
      <w:tr>
        <w:tc>
          <w:tcPr>
            <w:tcW w:type="dxa" w:w="2160"/>
          </w:tcPr>
          <w:p>
            <w:r>
              <w:t>Debt-Equity Ratio</w:t>
            </w:r>
          </w:p>
        </w:tc>
        <w:tc>
          <w:tcPr>
            <w:tcW w:type="dxa" w:w="2160"/>
          </w:tcPr>
          <w:p>
            <w:r>
              <w:t>0.79</w:t>
            </w:r>
          </w:p>
        </w:tc>
        <w:tc>
          <w:tcPr>
            <w:tcW w:type="dxa" w:w="2160"/>
          </w:tcPr>
          <w:p>
            <w:r>
              <w:t>2.81</w:t>
            </w:r>
          </w:p>
        </w:tc>
        <w:tc>
          <w:tcPr>
            <w:tcW w:type="dxa" w:w="2160"/>
          </w:tcPr>
          <w:p>
            <w:r>
              <w:t>-71.69%</w:t>
            </w:r>
          </w:p>
        </w:tc>
      </w:tr>
      <w:tr>
        <w:tc>
          <w:tcPr>
            <w:tcW w:type="dxa" w:w="2160"/>
          </w:tcPr>
          <w:p>
            <w:r>
              <w:t>Debt Service Coverage Ratio</w:t>
            </w:r>
          </w:p>
        </w:tc>
        <w:tc>
          <w:tcPr>
            <w:tcW w:type="dxa" w:w="2160"/>
          </w:tcPr>
          <w:p>
            <w:r>
              <w:t>0.34</w:t>
            </w:r>
          </w:p>
        </w:tc>
        <w:tc>
          <w:tcPr>
            <w:tcW w:type="dxa" w:w="2160"/>
          </w:tcPr>
          <w:p>
            <w:r>
              <w:t>0.27</w:t>
            </w:r>
          </w:p>
        </w:tc>
        <w:tc>
          <w:tcPr>
            <w:tcW w:type="dxa" w:w="2160"/>
          </w:tcPr>
          <w:p>
            <w:r>
              <w:t>27.91%</w:t>
            </w:r>
          </w:p>
        </w:tc>
      </w:tr>
      <w:tr>
        <w:tc>
          <w:tcPr>
            <w:tcW w:type="dxa" w:w="2160"/>
          </w:tcPr>
          <w:p>
            <w:r>
              <w:t>Return on Equity Ratio</w:t>
            </w:r>
          </w:p>
        </w:tc>
        <w:tc>
          <w:tcPr>
            <w:tcW w:type="dxa" w:w="2160"/>
          </w:tcPr>
          <w:p>
            <w:r>
              <w:t>0.19</w:t>
            </w:r>
          </w:p>
        </w:tc>
        <w:tc>
          <w:tcPr>
            <w:tcW w:type="dxa" w:w="2160"/>
          </w:tcPr>
          <w:p>
            <w:r>
              <w:t>0.20</w:t>
            </w:r>
          </w:p>
        </w:tc>
        <w:tc>
          <w:tcPr>
            <w:tcW w:type="dxa" w:w="2160"/>
          </w:tcPr>
          <w:p>
            <w:r>
              <w:t>-7.26%</w:t>
            </w:r>
          </w:p>
        </w:tc>
      </w:tr>
      <w:tr>
        <w:tc>
          <w:tcPr>
            <w:tcW w:type="dxa" w:w="2160"/>
          </w:tcPr>
          <w:p>
            <w:r>
              <w:t>Inventory turnover ratio</w:t>
            </w:r>
          </w:p>
        </w:tc>
        <w:tc>
          <w:tcPr>
            <w:tcW w:type="dxa" w:w="2160"/>
          </w:tcPr>
          <w:p>
            <w:r>
              <w:t>1.98</w:t>
            </w:r>
          </w:p>
        </w:tc>
        <w:tc>
          <w:tcPr>
            <w:tcW w:type="dxa" w:w="2160"/>
          </w:tcPr>
          <w:p>
            <w:r>
              <w:t>1.70</w:t>
            </w:r>
          </w:p>
        </w:tc>
        <w:tc>
          <w:tcPr>
            <w:tcW w:type="dxa" w:w="2160"/>
          </w:tcPr>
          <w:p>
            <w:r>
              <w:t>16.43%</w:t>
            </w:r>
          </w:p>
        </w:tc>
      </w:tr>
      <w:tr>
        <w:tc>
          <w:tcPr>
            <w:tcW w:type="dxa" w:w="2160"/>
          </w:tcPr>
          <w:p>
            <w:r>
              <w:t>Trade Receivables turnover ratio</w:t>
            </w:r>
          </w:p>
        </w:tc>
        <w:tc>
          <w:tcPr>
            <w:tcW w:type="dxa" w:w="2160"/>
          </w:tcPr>
          <w:p>
            <w:r>
              <w:t>3.77</w:t>
            </w:r>
          </w:p>
        </w:tc>
        <w:tc>
          <w:tcPr>
            <w:tcW w:type="dxa" w:w="2160"/>
          </w:tcPr>
          <w:p>
            <w:r>
              <w:t>3.95</w:t>
            </w:r>
          </w:p>
        </w:tc>
        <w:tc>
          <w:tcPr>
            <w:tcW w:type="dxa" w:w="2160"/>
          </w:tcPr>
          <w:p>
            <w:r>
              <w:t>-4.63%</w:t>
            </w:r>
          </w:p>
        </w:tc>
      </w:tr>
    </w:tbl>
    <w:p/>
    <w:p>
      <w:pPr>
        <w:pStyle w:val="Heading1"/>
        <w:jc w:val="left"/>
      </w:pPr>
      <w:r>
        <w:rPr>
          <w:b/>
          <w:sz w:val="28"/>
        </w:rPr>
        <w:t>Collateral</w:t>
      </w:r>
    </w:p>
    <w:p>
      <w:pPr>
        <w:jc w:val="both"/>
      </w:pPr>
      <w:r>
        <w:rPr>
          <w:b w:val="0"/>
          <w:sz w:val="22"/>
        </w:rPr>
        <w:t>Section: Collateral</w:t>
      </w:r>
    </w:p>
    <w:p>
      <w:pPr>
        <w:jc w:val="both"/>
      </w:pPr>
      <w:r>
        <w:rPr>
          <w:b w:val="0"/>
          <w:sz w:val="22"/>
        </w:rPr>
        <w:t>The Company possesses the necessary legal authority to create charges over its assets. Pursuant to Section 180(1)(a) of the Companies Act, 2013, the Board is empowered, by special resolution and with the consent of its members, to hypothecate, mortgage, pledge, and/or create a charge on "all or any immovable and movable properties of the Company both present and future" or "the whole or substantially the whole of the undertaking(s) of the Company." This authority is exercised within the overall ceiling prescribed by the members as per Section 180(1)(c) of the Companies Act, 2013.</w:t>
      </w:r>
    </w:p>
    <w:p>
      <w:pPr>
        <w:jc w:val="both"/>
      </w:pPr>
      <w:r>
        <w:rPr>
          <w:b w:val="0"/>
          <w:sz w:val="22"/>
        </w:rPr>
        <w:t>These charges are intended to secure financial assistance from Lenders, covering all interest (including additional, default, and further interest), principal amounts, prepayment premia, fees, costs, charges, and expenses (including those arising from currency exchange fluctuations), as well as all other monies payable under financing documents. This encompasses loans in rupee and/or foreign currency, and securities such as fully/partly convertible debentures and/or non-convertible debentures.</w:t>
      </w:r>
    </w:p>
    <w:p>
      <w:pPr>
        <w:jc w:val="both"/>
      </w:pPr>
      <w:r>
        <w:rPr>
          <w:b w:val="0"/>
          <w:sz w:val="22"/>
        </w:rPr>
        <w:t>Based on the balance sheet as of March 31, 2025, the Company's asset base, which could be pledged as collateral, includes:</w:t>
      </w:r>
    </w:p>
    <w:p>
      <w:pPr>
        <w:pStyle w:val="ListBullet"/>
        <w:jc w:val="both"/>
      </w:pPr>
      <w:r>
        <w:rPr>
          <w:b/>
          <w:sz w:val="22"/>
        </w:rPr>
        <w:t>Non-Current Assets:</w:t>
      </w:r>
    </w:p>
    <w:p>
      <w:pPr>
        <w:pStyle w:val="ListBullet"/>
        <w:jc w:val="both"/>
      </w:pPr>
      <w:r>
        <w:rPr>
          <w:b w:val="0"/>
          <w:sz w:val="22"/>
        </w:rPr>
        <w:t>Property, Plant and Equipment: INR 1,839.43 as of March 31, 2025, a decrease from INR 2,032.94 as of March 31, 2024.</w:t>
      </w:r>
    </w:p>
    <w:p>
      <w:pPr>
        <w:pStyle w:val="ListBullet"/>
        <w:jc w:val="both"/>
      </w:pPr>
      <w:r>
        <w:rPr>
          <w:b w:val="0"/>
          <w:sz w:val="22"/>
        </w:rPr>
        <w:t>Intangible assets: INR 2.03 as of March 31, 2025, a slight increase from INR 1.99 as of March 31, 2024.</w:t>
      </w:r>
    </w:p>
    <w:p>
      <w:pPr>
        <w:pStyle w:val="ListBullet"/>
        <w:jc w:val="both"/>
      </w:pPr>
      <w:r>
        <w:rPr>
          <w:b w:val="0"/>
          <w:sz w:val="22"/>
        </w:rPr>
        <w:t>Non-current investments: INR 0 as of March 31, 2025, down from INR 47.52 as of March 31, 2024.</w:t>
      </w:r>
    </w:p>
    <w:p>
      <w:pPr>
        <w:pStyle w:val="ListBullet"/>
        <w:jc w:val="both"/>
      </w:pPr>
      <w:r>
        <w:rPr>
          <w:b w:val="0"/>
          <w:sz w:val="22"/>
        </w:rPr>
        <w:t>Long-term loans and advances: INR 25.86 as of March 31, 2025, an increase from INR 12.85 as of March 31, 2024.</w:t>
      </w:r>
    </w:p>
    <w:p>
      <w:pPr>
        <w:pStyle w:val="ListBullet"/>
        <w:jc w:val="both"/>
      </w:pPr>
      <w:r>
        <w:rPr>
          <w:b w:val="0"/>
          <w:sz w:val="22"/>
        </w:rPr>
        <w:t>Other non-current assets: INR 382.14 as of March 31, 2025, significantly up from INR 75.72 as of March 31, 2024.</w:t>
      </w:r>
    </w:p>
    <w:p>
      <w:pPr>
        <w:pStyle w:val="ListBullet"/>
        <w:jc w:val="both"/>
      </w:pPr>
      <w:r>
        <w:rPr>
          <w:b/>
          <w:sz w:val="22"/>
        </w:rPr>
        <w:t>Current Assets:</w:t>
      </w:r>
    </w:p>
    <w:p>
      <w:pPr>
        <w:pStyle w:val="ListBullet"/>
        <w:jc w:val="both"/>
      </w:pPr>
      <w:r>
        <w:rPr>
          <w:b w:val="0"/>
          <w:sz w:val="22"/>
        </w:rPr>
        <w:t>Inventories: INR 4,993.90 as of March 31, 2025, a slight increase from INR 4,930.31 as of March 31, 2024.</w:t>
      </w:r>
    </w:p>
    <w:p>
      <w:pPr>
        <w:pStyle w:val="ListBullet"/>
        <w:jc w:val="both"/>
      </w:pPr>
      <w:r>
        <w:rPr>
          <w:b w:val="0"/>
          <w:sz w:val="22"/>
        </w:rPr>
        <w:t>Trade receivables: INR 3,503.40 as of March 31, 2025, an increase from INR 3,008.77 as of March 31, 2024.</w:t>
      </w:r>
    </w:p>
    <w:p>
      <w:pPr>
        <w:pStyle w:val="ListBullet"/>
        <w:jc w:val="both"/>
      </w:pPr>
      <w:r>
        <w:rPr>
          <w:b w:val="0"/>
          <w:sz w:val="22"/>
        </w:rPr>
        <w:t>Current investments: INR 47.52 as of March 31, 2025, up from INR 0 as of March 31, 2024.</w:t>
      </w:r>
    </w:p>
    <w:p>
      <w:pPr>
        <w:pStyle w:val="ListBullet"/>
        <w:jc w:val="both"/>
      </w:pPr>
      <w:r>
        <w:rPr>
          <w:b w:val="0"/>
          <w:sz w:val="22"/>
        </w:rPr>
        <w:t>Cash and Bank Balance: INR 115.38 as of March 31, 2025, down from INR 122.60 as of March 31, 2024.</w:t>
      </w:r>
    </w:p>
    <w:p>
      <w:pPr>
        <w:pStyle w:val="ListBullet"/>
        <w:jc w:val="both"/>
      </w:pPr>
      <w:r>
        <w:rPr>
          <w:b w:val="0"/>
          <w:sz w:val="22"/>
        </w:rPr>
        <w:t>Short-term loans and advances: INR 14.27 as of March 31, 2025, stable compared to INR 13.96 as of March 31, 2024.</w:t>
      </w:r>
    </w:p>
    <w:p>
      <w:pPr>
        <w:pStyle w:val="ListBullet"/>
        <w:jc w:val="both"/>
      </w:pPr>
      <w:r>
        <w:rPr>
          <w:b w:val="0"/>
          <w:sz w:val="22"/>
        </w:rPr>
        <w:t>Other current assets: INR 554.00 as of March 31, 2025, an increase from INR 306.84 as of March 31, 2024.</w:t>
      </w:r>
    </w:p>
    <w:p>
      <w:pPr>
        <w:jc w:val="both"/>
      </w:pPr>
      <w:r>
        <w:rPr>
          <w:b w:val="0"/>
          <w:sz w:val="22"/>
        </w:rPr>
        <w:t>The provided evidence outlines the Company's general authority and scope for creating charges and lists the categories and values of assets available. However, specific details regarding any existing collateral pledged against current borrowings, the specific collateral proposed for the current financial assistance, asset valuations for collateral purposes, or any existing charge details (e.g., charge priority or collateral coverage ratios) are not available in the supplied evidence.</w:t>
      </w:r>
    </w:p>
    <w:p>
      <w:pPr>
        <w:pStyle w:val="Heading1"/>
      </w:pPr>
      <w:r>
        <w:rPr>
          <w:b/>
          <w:sz w:val="28"/>
        </w:rPr>
        <w:t>Data Consistency Review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Field</w:t>
            </w:r>
          </w:p>
        </w:tc>
        <w:tc>
          <w:tcPr>
            <w:tcW w:type="dxa" w:w="2160"/>
          </w:tcPr>
          <w:p>
            <w:r>
              <w:rPr>
                <w:b/>
              </w:rPr>
              <w:t>Database Value (Cr)</w:t>
            </w:r>
          </w:p>
        </w:tc>
        <w:tc>
          <w:tcPr>
            <w:tcW w:type="dxa" w:w="2160"/>
          </w:tcPr>
          <w:p>
            <w:r>
              <w:rPr>
                <w:b/>
              </w:rPr>
              <w:t>Evidence Found</w:t>
            </w:r>
          </w:p>
        </w:tc>
        <w:tc>
          <w:tcPr>
            <w:tcW w:type="dxa" w:w="2160"/>
          </w:tcPr>
          <w:p>
            <w:r>
              <w:rPr>
                <w:b/>
              </w:rPr>
              <w:t>Status</w:t>
            </w:r>
          </w:p>
        </w:tc>
      </w:tr>
      <w:tr>
        <w:tc>
          <w:tcPr>
            <w:tcW w:type="dxa" w:w="2160"/>
          </w:tcPr>
          <w:p>
            <w:r>
              <w:t>Revenue</w:t>
            </w:r>
          </w:p>
        </w:tc>
        <w:tc>
          <w:tcPr>
            <w:tcW w:type="dxa" w:w="2160"/>
          </w:tcPr>
          <w:p>
            <w:r>
              <w:t>122.56</w:t>
            </w:r>
          </w:p>
        </w:tc>
        <w:tc>
          <w:tcPr>
            <w:tcW w:type="dxa" w:w="2160"/>
          </w:tcPr>
          <w:p>
            <w:r>
              <w:t>FOUND</w:t>
            </w:r>
          </w:p>
        </w:tc>
        <w:tc>
          <w:tcPr>
            <w:tcW w:type="dxa" w:w="2160"/>
          </w:tcPr>
          <w:p>
            <w:r>
              <w:t>MATCH</w:t>
            </w:r>
          </w:p>
        </w:tc>
      </w:tr>
      <w:tr>
        <w:tc>
          <w:tcPr>
            <w:tcW w:type="dxa" w:w="2160"/>
          </w:tcPr>
          <w:p>
            <w:r>
              <w:t>Net Profit</w:t>
            </w:r>
          </w:p>
        </w:tc>
        <w:tc>
          <w:tcPr>
            <w:tcW w:type="dxa" w:w="2160"/>
          </w:tcPr>
          <w:p>
            <w:r>
              <w:t>7.50</w:t>
            </w:r>
          </w:p>
        </w:tc>
        <w:tc>
          <w:tcPr>
            <w:tcW w:type="dxa" w:w="2160"/>
          </w:tcPr>
          <w:p>
            <w:r>
              <w:t>FOUND</w:t>
            </w:r>
          </w:p>
        </w:tc>
        <w:tc>
          <w:tcPr>
            <w:tcW w:type="dxa" w:w="2160"/>
          </w:tcPr>
          <w:p>
            <w:r>
              <w:t>MATCH</w:t>
            </w:r>
          </w:p>
        </w:tc>
      </w:tr>
      <w:tr>
        <w:tc>
          <w:tcPr>
            <w:tcW w:type="dxa" w:w="2160"/>
          </w:tcPr>
          <w:p>
            <w:r>
              <w:t>Borrowings</w:t>
            </w:r>
          </w:p>
        </w:tc>
        <w:tc>
          <w:tcPr>
            <w:tcW w:type="dxa" w:w="2160"/>
          </w:tcPr>
          <w:p>
            <w:r>
              <w:t>45.84</w:t>
            </w:r>
          </w:p>
        </w:tc>
        <w:tc>
          <w:tcPr>
            <w:tcW w:type="dxa" w:w="2160"/>
          </w:tcPr>
          <w:p>
            <w:r>
              <w:t>FOUND</w:t>
            </w:r>
          </w:p>
        </w:tc>
        <w:tc>
          <w:tcPr>
            <w:tcW w:type="dxa" w:w="2160"/>
          </w:tcPr>
          <w:p>
            <w:r>
              <w:t>MATCH</w:t>
            </w:r>
          </w:p>
        </w:tc>
      </w:tr>
      <w:tr>
        <w:tc>
          <w:tcPr>
            <w:tcW w:type="dxa" w:w="2160"/>
          </w:tcPr>
          <w:p>
            <w:r>
              <w:t>Cash And Bank</w:t>
            </w:r>
          </w:p>
        </w:tc>
        <w:tc>
          <w:tcPr>
            <w:tcW w:type="dxa" w:w="2160"/>
          </w:tcPr>
          <w:p>
            <w:r>
              <w:t>1.15</w:t>
            </w:r>
          </w:p>
        </w:tc>
        <w:tc>
          <w:tcPr>
            <w:tcW w:type="dxa" w:w="2160"/>
          </w:tcPr>
          <w:p>
            <w:r>
              <w:t>FOUND</w:t>
            </w:r>
          </w:p>
        </w:tc>
        <w:tc>
          <w:tcPr>
            <w:tcW w:type="dxa" w:w="2160"/>
          </w:tcPr>
          <w:p>
            <w:r>
              <w:t>MATCH</w:t>
            </w:r>
          </w:p>
        </w:tc>
      </w:tr>
      <w:tr>
        <w:tc>
          <w:tcPr>
            <w:tcW w:type="dxa" w:w="2160"/>
          </w:tcPr>
          <w:p>
            <w:r>
              <w:t>Inventory</w:t>
            </w:r>
          </w:p>
        </w:tc>
        <w:tc>
          <w:tcPr>
            <w:tcW w:type="dxa" w:w="2160"/>
          </w:tcPr>
          <w:p>
            <w:r>
              <w:t>49.94</w:t>
            </w:r>
          </w:p>
        </w:tc>
        <w:tc>
          <w:tcPr>
            <w:tcW w:type="dxa" w:w="2160"/>
          </w:tcPr>
          <w:p>
            <w:r>
              <w:t>FOUND</w:t>
            </w:r>
          </w:p>
        </w:tc>
        <w:tc>
          <w:tcPr>
            <w:tcW w:type="dxa" w:w="2160"/>
          </w:tcPr>
          <w:p>
            <w:r>
              <w:t>MATCH</w:t>
            </w:r>
          </w:p>
        </w:tc>
      </w:tr>
      <w:tr>
        <w:tc>
          <w:tcPr>
            <w:tcW w:type="dxa" w:w="2160"/>
          </w:tcPr>
          <w:p>
            <w:r>
              <w:t>Trade Receivables</w:t>
            </w:r>
          </w:p>
        </w:tc>
        <w:tc>
          <w:tcPr>
            <w:tcW w:type="dxa" w:w="2160"/>
          </w:tcPr>
          <w:p>
            <w:r>
              <w:t>35.03</w:t>
            </w:r>
          </w:p>
        </w:tc>
        <w:tc>
          <w:tcPr>
            <w:tcW w:type="dxa" w:w="2160"/>
          </w:tcPr>
          <w:p>
            <w:r>
              <w:t>FOUND</w:t>
            </w:r>
          </w:p>
        </w:tc>
        <w:tc>
          <w:tcPr>
            <w:tcW w:type="dxa" w:w="2160"/>
          </w:tcPr>
          <w:p>
            <w:r>
              <w:t>MATCH</w:t>
            </w:r>
          </w:p>
        </w:tc>
      </w:tr>
      <w:tr>
        <w:tc>
          <w:tcPr>
            <w:tcW w:type="dxa" w:w="2160"/>
          </w:tcPr>
          <w:p>
            <w:r>
              <w:t>Cfo</w:t>
            </w:r>
          </w:p>
        </w:tc>
        <w:tc>
          <w:tcPr>
            <w:tcW w:type="dxa" w:w="2160"/>
          </w:tcPr>
          <w:p>
            <w:r>
              <w:t>-6.78</w:t>
            </w:r>
          </w:p>
        </w:tc>
        <w:tc>
          <w:tcPr>
            <w:tcW w:type="dxa" w:w="2160"/>
          </w:tcPr>
          <w:p>
            <w:r>
              <w:t>FOUND</w:t>
            </w:r>
          </w:p>
        </w:tc>
        <w:tc>
          <w:tcPr>
            <w:tcW w:type="dxa" w:w="2160"/>
          </w:tcPr>
          <w:p>
            <w:r>
              <w:t>MATCH</w:t>
            </w:r>
          </w:p>
        </w:tc>
      </w:tr>
      <w:tr>
        <w:tc>
          <w:tcPr>
            <w:tcW w:type="dxa" w:w="2160"/>
          </w:tcPr>
          <w:p>
            <w:r>
              <w:t>Net Cash Flow</w:t>
            </w:r>
          </w:p>
        </w:tc>
        <w:tc>
          <w:tcPr>
            <w:tcW w:type="dxa" w:w="2160"/>
          </w:tcPr>
          <w:p>
            <w:r>
              <w:t>0.02</w:t>
            </w:r>
          </w:p>
        </w:tc>
        <w:tc>
          <w:tcPr>
            <w:tcW w:type="dxa" w:w="2160"/>
          </w:tcPr>
          <w:p>
            <w:r>
              <w:t>FOUND</w:t>
            </w:r>
          </w:p>
        </w:tc>
        <w:tc>
          <w:tcPr>
            <w:tcW w:type="dxa" w:w="2160"/>
          </w:tcPr>
          <w:p>
            <w:r>
              <w:t>MATCH</w:t>
            </w:r>
          </w:p>
        </w:tc>
      </w:tr>
    </w:tbl>
    <w:p/>
    <w:p>
      <w:pPr>
        <w:pStyle w:val="Heading1"/>
        <w:jc w:val="left"/>
      </w:pPr>
      <w:r>
        <w:rPr>
          <w:b/>
          <w:sz w:val="28"/>
        </w:rPr>
        <w:t>Recommendation</w:t>
      </w:r>
    </w:p>
    <w:p>
      <w:pPr>
        <w:jc w:val="both"/>
      </w:pPr>
      <w:r>
        <w:rPr>
          <w:b w:val="0"/>
          <w:sz w:val="22"/>
        </w:rPr>
        <w:t>DURLAX TOP SURFACE LIMITED has demonstrated a notable improvement in its financial performance and risk profile as of 31st March, 2025, compared to the previous year. Key solvency and liquidity metrics have strengthened considerably.</w:t>
      </w:r>
    </w:p>
    <w:p>
      <w:pPr>
        <w:jc w:val="both"/>
      </w:pPr>
      <w:r>
        <w:rPr>
          <w:b w:val="0"/>
          <w:sz w:val="22"/>
        </w:rPr>
        <w:t>The company's Current Ratio improved significantly to 1.85 in 2025 from 1.34 in 2024, representing a 38.06% increase. This enhancement is attributed to a substantial rise in current assets, indicating improved short-term liquidity. Concurrently, the Debt-Equity Ratio dramatically decreased by 71.69% to 0.79 in 2025 from 2.81 in 2024. This robust improvement is a direct result of a reduction in debt and a strategic increase in equity capital through infusions during the year, strengthening the company's capital structure.</w:t>
      </w:r>
    </w:p>
    <w:p>
      <w:pPr>
        <w:jc w:val="both"/>
      </w:pPr>
      <w:r>
        <w:rPr>
          <w:b w:val="0"/>
          <w:sz w:val="22"/>
        </w:rPr>
        <w:t>Profitability has also seen a positive trend, with Net Profit before taxes increasing from 412.28 Lakhs in 2024 to 996.72 Lakhs in 2025. The Net Profit Ratio improved by 38.92% to 6.11% in 2025, driven by increased revenue. Operating Profit before working capital changes also grew from 1,068.48 Lakhs to 1,577.19 Lakhs year-on-year.</w:t>
      </w:r>
    </w:p>
    <w:p>
      <w:pPr>
        <w:jc w:val="both"/>
      </w:pPr>
      <w:r>
        <w:rPr>
          <w:b w:val="0"/>
          <w:sz w:val="22"/>
        </w:rPr>
        <w:t>While the Net Cash Flow from Operating Activities (CFO) remains negative, it has substantially improved, reducing from -1,660.47 Lakhs in 2024 to -678.25 Lakhs in 2025. The Debt Service Coverage Ratio (DSCR) also improved from 0.27 to 0.34, attributed to higher EBIT and reduced debt servicing costs. However, a DSCR of 0.34 still indicates a limited ability to cover debt service obligations solely from operating cash flows, suggesting continued reliance on other sources. The significant cash outflow from trade payables (-1,319.68 Lakhs in 2025) due to increased expenses and early payments is a notable factor contributing to the negative CFO, despite overall operational improvements.</w:t>
      </w:r>
    </w:p>
    <w:p>
      <w:pPr>
        <w:jc w:val="both"/>
      </w:pPr>
      <w:r>
        <w:rPr>
          <w:b w:val="0"/>
          <w:sz w:val="22"/>
        </w:rPr>
        <w:t>Other operational efficiencies are observed in inventory management, with the Inventory Turnover Ratio increasing to 1.98 in 2025 from 1.70 in 2024. Conversely, the Trade Receivables Turnover Ratio slightly decreased to 3.77 in 2025 from 3.95 in 2024, indicating a marginal slowdown in receivable collections. The company also reduced its capital expenditure significantly in 2025 (-51.96 Lakhs) compared to 2024 (-311.32 Lakhs). The closing cash and cash equivalents increased to 14.29 Lakhs in 2025 from 12.20 Lakhs in 2024.</w:t>
      </w:r>
    </w:p>
    <w:p>
      <w:pPr>
        <w:jc w:val="both"/>
      </w:pPr>
      <w:r>
        <w:rPr>
          <w:b/>
          <w:sz w:val="22"/>
        </w:rPr>
        <w:t>Recommendation:</w:t>
      </w:r>
    </w:p>
    <w:p>
      <w:pPr>
        <w:jc w:val="both"/>
      </w:pPr>
      <w:r>
        <w:rPr>
          <w:b w:val="0"/>
          <w:sz w:val="22"/>
        </w:rPr>
        <w:t xml:space="preserve">Considering the significant improvements in solvency, liquidity, and profitability ratios, alongside a material reduction in negative operating cash flow and a strengthened capital base from equity infusion, a </w:t>
      </w:r>
      <w:r>
        <w:rPr>
          <w:b/>
          <w:sz w:val="22"/>
        </w:rPr>
        <w:t>positive credit recommendation</w:t>
      </w:r>
      <w:r>
        <w:rPr>
          <w:b w:val="0"/>
          <w:sz w:val="22"/>
        </w:rPr>
        <w:t xml:space="preserve"> is warranted. The company's financial trajectory is favorable, demonstrating management's commitment to deleveraging and improving operational efficiencies. Ongoing monitoring of cash flow generation from operations and the DSCR will be crucial to ensure sustainable debt servicing capabilities moving forward.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