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Assessment Memo</w:t>
      </w:r>
    </w:p>
    <w:p>
      <w:pPr>
        <w:jc w:val="center"/>
      </w:pPr>
      <w:r>
        <w:rPr>
          <w:b/>
          <w:sz w:val="24"/>
        </w:rPr>
        <w:t xml:space="preserve">Company: </w:t>
      </w:r>
      <w:r>
        <w:rPr>
          <w:sz w:val="24"/>
        </w:rPr>
        <w:t>Sri Ramakrishna Mills Coimbatore</w:t>
      </w:r>
    </w:p>
    <w:p>
      <w:pPr>
        <w:jc w:val="center"/>
      </w:pPr>
      <w:r>
        <w:rPr>
          <w:b/>
          <w:sz w:val="24"/>
        </w:rPr>
        <w:t xml:space="preserve">Financial Year: </w:t>
      </w:r>
      <w:r>
        <w:rPr>
          <w:sz w:val="24"/>
        </w:rPr>
        <w:t>2024</w:t>
      </w:r>
    </w:p>
    <w:p>
      <w:r>
        <w:br w:type="page"/>
      </w:r>
    </w:p>
    <w:p>
      <w:pPr>
        <w:pStyle w:val="Heading1"/>
        <w:jc w:val="left"/>
      </w:pPr>
      <w:r>
        <w:rPr>
          <w:b/>
          <w:sz w:val="28"/>
        </w:rPr>
        <w:t>Applicant Overview</w:t>
      </w:r>
    </w:p>
    <w:p>
      <w:pPr>
        <w:jc w:val="both"/>
      </w:pPr>
      <w:r>
        <w:rPr>
          <w:b/>
          <w:sz w:val="22"/>
        </w:rPr>
        <w:t>Applicant Overview</w:t>
      </w:r>
    </w:p>
    <w:p>
      <w:pPr>
        <w:jc w:val="both"/>
      </w:pPr>
      <w:r>
        <w:rPr>
          <w:b w:val="0"/>
          <w:sz w:val="22"/>
        </w:rPr>
        <w:t>The applicant's registered office is located at Trishul, 3rd Floor, Opp. Samartheshwar Temple, Law Garden, Ellisbridge, Ahmedabad - 380006.</w:t>
      </w:r>
    </w:p>
    <w:p>
      <w:pPr>
        <w:jc w:val="both"/>
      </w:pPr>
      <w:r>
        <w:rPr>
          <w:b w:val="0"/>
          <w:sz w:val="22"/>
        </w:rPr>
        <w:t>The company's leadership structure, as of May 29, 2024, from Coimbatore, includes Mahesh Prabhu as the Managing Director (DIN: 81182000) and M. Srividya as a Director (M. No. 214194). G. Krishnakumar serves as the Company Secretary (M. No. 200464). The roles of Chief Financial Officer and Internal Auditor (noted as 'Partner') are also established; however, a specific name for the Chief Financial Officer is not clearly discernible from the provided evidence.</w:t>
      </w:r>
    </w:p>
    <w:p>
      <w:pPr>
        <w:jc w:val="both"/>
      </w:pPr>
      <w:r>
        <w:rPr>
          <w:b w:val="0"/>
          <w:sz w:val="22"/>
        </w:rPr>
        <w:t>The company held its 77th Annual General Meeting on Friday, September 27, 2024, at 9:30 a.m., indicating a long operational history. Furthermore, the company reported no subsidiaries that commenced operations, were liquidated, or sold during the year.</w:t>
      </w:r>
    </w:p>
    <w:p>
      <w:pPr>
        <w:jc w:val="both"/>
      </w:pPr>
      <w:r>
        <w:rPr>
          <w:b w:val="0"/>
          <w:sz w:val="22"/>
        </w:rPr>
        <w:t>The company's shareholding structure consists of 2,912 shareholders, holding a total of 7,118,330 shares. Promoters’ holdings are distributed among 7 shareholders, though the specific number or percentage of shares held by them is not fully provided in the evidence.</w:t>
      </w:r>
    </w:p>
    <w:p>
      <w:pPr>
        <w:jc w:val="both"/>
      </w:pPr>
      <w:r>
        <w:rPr>
          <w:b w:val="0"/>
          <w:sz w:val="22"/>
        </w:rPr>
        <w:t>The most recent financial reporting period covered by the available evidence is up to March 31, 2024, with the previous reporting period concluding on March 31, 2023.</w:t>
      </w:r>
    </w:p>
    <w:p>
      <w:pPr>
        <w:pStyle w:val="Heading1"/>
        <w:jc w:val="left"/>
      </w:pPr>
      <w:r>
        <w:rPr>
          <w:b/>
          <w:sz w:val="28"/>
        </w:rPr>
        <w:t>Company Background</w:t>
      </w:r>
    </w:p>
    <w:p>
      <w:pPr>
        <w:jc w:val="both"/>
      </w:pPr>
      <w:r>
        <w:rPr>
          <w:b w:val="0"/>
          <w:sz w:val="22"/>
        </w:rPr>
        <w:t>SRI RAMAKRISHNA MILLS (COIMBATORE) LIMITED operates with a diversified revenue stream, as evidenced by its turnover for the year ended March 31, 2024, which included a significant component related to Real Estate Income. The company confirmed that no subsidiaries commenced operations, were liquidated, or sold during the year.</w:t>
      </w:r>
    </w:p>
    <w:p>
      <w:pPr>
        <w:jc w:val="both"/>
      </w:pPr>
      <w:r>
        <w:rPr>
          <w:b w:val="0"/>
          <w:sz w:val="22"/>
        </w:rPr>
        <w:t>The Board of Directors for the financial year ending March 31, 2024, comprises six members. Mr. D Lakshminarayanaswamy serves as the Managing Director, having been appointed on January 22, 1981, and Mrs. L Nagaswarna as a Whole-time Director, appointed on August 14, 2014. The remaining directors are Mr. Ravichandran Damodharan, Mr. Rajan Guru Chandrasekar, Mr. Chinnaswamy Baalasubramaniyam, and Mr. Palaniswamy Naidu Muthusamy, whose appointments span from March 2019 to November 2021. All directors on the Board have been certified as not debarred or disqualified from being appointed or continuing as directors by any statutory authority. Independent Directors fulfill the conditions specified in the Companies Act, 2013, and SEBI (Listing Obligations and Disclosure Requirements) Regulations, 2015, and are registered with the databank launched by the Ministry of Corporate Affairs, Govt. of India. During the year, four Board Meetings were convened, and a separate meeting of independent directors was also held, with all independent directors present. Mrs. L Nagaswarna is due to retire by rotation at the upcoming Annual General Meeting but is eligible for re-appointment.</w:t>
      </w:r>
    </w:p>
    <w:p>
      <w:pPr>
        <w:jc w:val="both"/>
      </w:pPr>
      <w:r>
        <w:rPr>
          <w:b w:val="0"/>
          <w:sz w:val="22"/>
        </w:rPr>
        <w:t>The Key Managerial Personnel (KMP) consist of Sri.D.Lakshminarayanaswamy (Managing Director), Smt.L.Nagaswarna (Wholetime Director), Sri.P. Muthuswamy (Director-Operations), Smt.M.Srividya (Company Secretary), and Sri.G.Krishnakumar (Chief Financial Officer). The company's remuneration policy for Directors and Senior Management adheres to the recommendations of the Nomination and Remuneration Committee. For the year ended March 31, 2024, the remuneration for the Company Secretary, M. Srividya, increased by 16.82% to Rs. 7.43 Lakhs from Rs. 6.36 Lakhs in the prior year. The CFO, G. Krishnakumar, saw a 20.62% increase in remuneration, reaching Rs. 7.72 Lakhs for the same period, up from Rs. 6.64 Lakhs. The company noted that KMP remuneration is reasonable and market-linked, with no variable component availed by Directors, and no employee received remuneration exceeding that of the highest-paid Director. The Annual Report indicates the presence of related party transactions, with details provided elsewhere in the report.</w:t>
      </w:r>
    </w:p>
    <w:p>
      <w:pPr>
        <w:jc w:val="both"/>
      </w:pPr>
      <w:r>
        <w:rPr>
          <w:b w:val="0"/>
          <w:sz w:val="22"/>
        </w:rPr>
        <w:t>Regarding shareholding, the company has 2,414 shareholders holding 1 to 500 shares, representing 82.90% of total shares. Additionally, 211 shareholders hold 501 to 1000 shares, accounting for 7.25% of total shares. A further 125 shareholders hold 1001 to 2000 shares, although the percentage to total shares for this category is not provided. The company's shares traded on the BSE experienced a general upward trend from April 2023 to March 2024. For instance, the share price in April 2023 ranged between 19.75 and 22.80, while by March 2024, it was between 39.20 and 48.30.</w:t>
      </w:r>
    </w:p>
    <w:p>
      <w:pPr>
        <w:pStyle w:val="Heading1"/>
        <w:jc w:val="left"/>
      </w:pPr>
      <w:r>
        <w:rPr>
          <w:b/>
          <w:sz w:val="28"/>
        </w:rPr>
        <w:t>Financial Analysis</w:t>
      </w:r>
    </w:p>
    <w:p>
      <w:pPr>
        <w:jc w:val="both"/>
      </w:pPr>
      <w:r>
        <w:rPr>
          <w:b w:val="0"/>
          <w:sz w:val="22"/>
        </w:rPr>
        <w:t>The Company demonstrated substantial growth in the fiscal year ended March 31, 2024, with total revenue increasing by 49.53% to INR 5,907.39 Lakhs from INR 3,950.55 Lakhs in the prior year. This growth was accompanied by a significant improvement in profitability, with Profit Before Tax (PBT) rising sharply to INR 865.96 Lakhs in FY2024 from INR 40.35 Lakhs in FY2023. Consequently, Profit for the Year (PAT) reached INR 648.01 Lakhs, a substantial increase from INR 27.91 Lakhs in the previous year. The FY2024 results included a profit on sale of assets amounting to INR 114.08 Lakhs as an exceptional item.</w:t>
      </w:r>
    </w:p>
    <w:p>
      <w:pPr>
        <w:jc w:val="both"/>
      </w:pPr>
      <w:r>
        <w:rPr>
          <w:b/>
          <w:sz w:val="22"/>
        </w:rPr>
        <w:t>Revenue Breakdown:</w:t>
      </w:r>
    </w:p>
    <w:p>
      <w:pPr>
        <w:jc w:val="both"/>
      </w:pPr>
      <w:r>
        <w:rPr>
          <w:b w:val="0"/>
          <w:sz w:val="22"/>
        </w:rPr>
        <w:t>Revenue recognized over time increased considerably to INR 3,123.37 Lakhs in FY2024 from INR 1,391.08 Lakhs in FY2023. Revenue recognized at a point in time also saw growth, rising to INR 2,784.02 Lakhs in FY2024 from INR 2,559.47 Lakhs in FY2023. Segment-wise, Textile revenue aligned with revenue recognised at a point in time, reporting INR 2,784.02 Lakhs in FY2024 (FY2023: INR 2,559.47 Lakhs). Real Estate Income for FY2024 is noted as "3,1" (Lakhs) in the evidence, which is an incomplete figure, therefore a full year-on-year comparison for this segment cannot be accurately determined from the provided information.</w:t>
      </w:r>
    </w:p>
    <w:p>
      <w:pPr>
        <w:jc w:val="both"/>
      </w:pPr>
      <w:r>
        <w:rPr>
          <w:b w:val="0"/>
          <w:sz w:val="22"/>
        </w:rPr>
        <w:t>Customer concentration decreased marginally, with one external customer contributing more than 10% of total revenue in FY2024 (totaling INR 817.36 Lakhs), compared to two such customers in FY2023 (totaling INR 844.83 Lakhs).</w:t>
      </w:r>
    </w:p>
    <w:p>
      <w:pPr>
        <w:jc w:val="both"/>
      </w:pPr>
      <w:r>
        <w:rPr>
          <w:b/>
          <w:sz w:val="22"/>
        </w:rPr>
        <w:t>Balance Sheet Overview:</w:t>
      </w:r>
    </w:p>
    <w:p>
      <w:pPr>
        <w:jc w:val="both"/>
      </w:pPr>
      <w:r>
        <w:rPr>
          <w:b w:val="0"/>
          <w:sz w:val="22"/>
        </w:rPr>
        <w:t>Total Assets expanded significantly to INR 10,303.63 Lakhs as of March 31, 2024, from INR 6,922.13 Lakhs as of March 31, 2023. Key changes in current assets include a decrease in Inventories to INR 2,003.66 Lakhs (FY2023: INR 2,947.31 Lakhs) and a substantial increase in Trade Receivables to INR 111.90 Lakhs (FY2023: INR 21.28 Lakhs). Contract Assets, which stood at INR 2,729.44 Lakhs at March 31, 2023, were reduced to zero by March 31, 2024.</w:t>
      </w:r>
    </w:p>
    <w:p>
      <w:pPr>
        <w:jc w:val="both"/>
      </w:pPr>
      <w:r>
        <w:rPr>
          <w:b w:val="0"/>
          <w:sz w:val="22"/>
        </w:rPr>
        <w:t>Cash and Cash Equivalents remained low, reporting INR 0.72 Lakhs as of March 31, 2024, slightly down from INR 0.79 Lakhs as of March 31, 2023. These balances consist of cash on hand (INR 0.72 Lakhs in FY2024, INR 0.59 Lakhs in FY2023) and current account balances (Nil in FY2024, INR 0.20 Lakhs in FY2023). The evidence confirms that there are no restricted cash balances (e.g., margin money) for either period.</w:t>
      </w:r>
    </w:p>
    <w:p>
      <w:pPr>
        <w:jc w:val="both"/>
      </w:pPr>
      <w:r>
        <w:rPr>
          <w:b w:val="0"/>
          <w:sz w:val="22"/>
        </w:rPr>
        <w:t>Total Equity demonstrated robust growth, increasing to INR 4,985.01 Lakhs as of March 31, 2024, from INR 2,217.80 Lakhs in the prior year, primarily driven by improved profitability. Total Borrowings as of March 31, 2024, stood at INR 3,340.57 Lakhs, comprising non-current borrowings of INR 730.98 Lakhs and current borrowings of INR 2,609.59 Lakhs. For FY2023, only non-current borrowings of INR 606.13 Lakhs are explicitly provided, with the total borrowings breakdown not fully available. Trade Payables as of March 31, 2024, were INR 283.05 Lakhs, while the corresponding balance for FY2023 is not explicitly provided. Contract Liabilities, which were INR 2,481.32 Lakhs at March 31, 2023, were reduced to zero by March 31, 2024.</w:t>
      </w:r>
    </w:p>
    <w:p>
      <w:pPr>
        <w:jc w:val="both"/>
      </w:pPr>
      <w:r>
        <w:rPr>
          <w:b/>
          <w:sz w:val="22"/>
        </w:rPr>
        <w:t>Cash Flow Performance:</w:t>
      </w:r>
    </w:p>
    <w:p>
      <w:pPr>
        <w:jc w:val="both"/>
      </w:pPr>
      <w:r>
        <w:rPr>
          <w:b w:val="0"/>
          <w:sz w:val="22"/>
        </w:rPr>
        <w:t>Net cash generated from operating activities (CFO) showed a significant improvement, more than doubling to INR 2,141.46 Lakhs in FY2024 from INR 1,005.24 Lakhs in FY2023. Cash flows from investing activities resulted in a net outflow of INR 1,764.96 Lakhs in FY2024 (FY2023: outflow of INR 628.70 Lakhs), primarily driven by purchases of Property, Plant and Equipment (PPE). Net cash used in financing activities remained largely stable at an outflow of INR 376.59 Lakhs in FY2024 (FY2023: outflow of INR 378.76 Lakhs). Overall, the Company experienced a net decrease in cash and cash equivalents of INR 0.07 Lakhs in FY2024, compared to a decrease of INR 2.22 Lakhs in FY2023.</w:t>
      </w:r>
    </w:p>
    <w:p>
      <w:pPr>
        <w:jc w:val="both"/>
      </w:pPr>
      <w:r>
        <w:rPr>
          <w:b/>
          <w:sz w:val="22"/>
        </w:rPr>
        <w:t>Reconciliation Notes and Inconsistencies:</w:t>
      </w:r>
    </w:p>
    <w:p>
      <w:pPr>
        <w:pStyle w:val="ListBullet"/>
        <w:jc w:val="both"/>
      </w:pPr>
      <w:r>
        <w:rPr>
          <w:b w:val="0"/>
          <w:sz w:val="22"/>
        </w:rPr>
        <w:t>The reported total revenue for FY2024 (INR 5,907.39 Lakhs) differs from the database value of INR 5,598 Lakhs (55.98 Crores).</w:t>
      </w:r>
    </w:p>
    <w:p>
      <w:pPr>
        <w:pStyle w:val="ListBullet"/>
        <w:jc w:val="both"/>
      </w:pPr>
      <w:r>
        <w:rPr>
          <w:b w:val="0"/>
          <w:sz w:val="22"/>
        </w:rPr>
        <w:t>The reported cash and cash equivalents for FY2024 (INR 0.72 Lakhs) differs from the database value of INR 1 Lakh (0.01 Crores).</w:t>
      </w:r>
    </w:p>
    <w:p>
      <w:pPr>
        <w:pStyle w:val="ListBullet"/>
        <w:jc w:val="both"/>
      </w:pPr>
      <w:r>
        <w:rPr>
          <w:b w:val="0"/>
          <w:sz w:val="22"/>
        </w:rPr>
        <w:t>The reported inventory for FY2024 (INR 2,003.66 Lakhs) differs from the database value of INR 2,682 Lakhs (26.82 Crores).</w:t>
      </w:r>
    </w:p>
    <w:p>
      <w:pPr>
        <w:pStyle w:val="ListBullet"/>
        <w:jc w:val="both"/>
      </w:pPr>
      <w:r>
        <w:rPr>
          <w:b w:val="0"/>
          <w:sz w:val="22"/>
        </w:rPr>
        <w:t>The database value for 'net_cash_flow' is not available, whereas the evidence explicitly states a 'Net decrease in cash and cash equivalents' of INR 0.07 Lakhs for FY2024.</w:t>
      </w:r>
    </w:p>
    <w:p>
      <w:pPr>
        <w:pStyle w:val="ListBullet"/>
        <w:jc w:val="both"/>
      </w:pPr>
      <w:r>
        <w:rPr>
          <w:b w:val="0"/>
          <w:sz w:val="22"/>
        </w:rPr>
        <w:t>The 'Increase/(decrease) in trade payables' adjustment in the cash flow statements shows inconsistent figures between Evidence 5 (INR (171.67) Lakhs for FY2024 and INR 90.71 Lakhs for FY2023) and Evidence 6 (INR (85.11) Lakhs for FY2024 and INR (80.78) Lakhs for FY2023).</w:t>
      </w:r>
    </w:p>
    <w:p>
      <w:pPr>
        <w:pStyle w:val="ListBullet"/>
        <w:jc w:val="both"/>
      </w:pPr>
      <w:r>
        <w:rPr>
          <w:b w:val="0"/>
          <w:sz w:val="22"/>
        </w:rPr>
        <w:t>As noted above, Real Estate Income for FY2024 is incomplete, and a detailed breakdown of current and non-current borrowings for FY2023 and trade payables balance for FY2023 are not fully ascertainable from the provided evidence.</w:t>
      </w:r>
    </w:p>
    <w:p>
      <w:pPr>
        <w:pStyle w:val="ListBullet"/>
        <w:jc w:val="both"/>
      </w:pPr>
      <w:r>
        <w:rPr>
          <w:b w:val="0"/>
          <w:sz w:val="22"/>
        </w:rPr>
        <w:t>Conversely, the reported Profit for the Year (INR 648.01 Lakhs), Total Borrowings (INR 3,340.57 Lakhs), Trade Receivables (INR 111.90 Lakhs), and Net Cash from Operating Activities (INR 2,141.46 Lakhs) for FY2024 are largely consistent with their respective database values after adjusting for units (1 Crore = 100 Lakhs).</w:t>
      </w:r>
    </w:p>
    <w:p>
      <w:pPr>
        <w:pStyle w:val="Heading1"/>
        <w:jc w:val="left"/>
      </w:pPr>
      <w:r>
        <w:rPr>
          <w:b/>
          <w:sz w:val="28"/>
        </w:rPr>
        <w:t>Banking Conduct</w:t>
      </w:r>
    </w:p>
    <w:p>
      <w:pPr>
        <w:jc w:val="both"/>
      </w:pPr>
      <w:r>
        <w:rPr>
          <w:b w:val="0"/>
          <w:sz w:val="22"/>
        </w:rPr>
        <w:t>The company maintains established banking relationships with Axis Bank and The South Indian Bank, utilizing a range of credit facilities including Term Loans (among them ECLGS Scheme Term Loans), Overdraft, and Cash Credit facilities.</w:t>
      </w:r>
    </w:p>
    <w:p>
      <w:pPr>
        <w:jc w:val="both"/>
      </w:pPr>
      <w:r>
        <w:rPr>
          <w:b/>
          <w:sz w:val="22"/>
        </w:rPr>
        <w:t>Security and Guarantees:</w:t>
      </w:r>
    </w:p>
    <w:p>
      <w:pPr>
        <w:pStyle w:val="ListBullet"/>
        <w:jc w:val="both"/>
      </w:pPr>
      <w:r>
        <w:rPr>
          <w:b/>
          <w:sz w:val="22"/>
        </w:rPr>
        <w:t>Axis Bank:</w:t>
      </w:r>
      <w:r>
        <w:rPr>
          <w:b w:val="0"/>
          <w:sz w:val="22"/>
        </w:rPr>
        <w:t xml:space="preserve"> Facilities are secured by a first charge on entire machineries arising from term loans on an exclusive basis. Additionally, all Axis Bank facilities are secured by hypothecation of stock (raw materials, in-process, finished goods, packing materials) and book debts, and commonly by an equitable mortgage of land and building located in Chittoor District, Andhra Pradesh.</w:t>
      </w:r>
    </w:p>
    <w:p>
      <w:pPr>
        <w:pStyle w:val="ListBullet"/>
        <w:jc w:val="both"/>
      </w:pPr>
      <w:r>
        <w:rPr>
          <w:b/>
          <w:sz w:val="22"/>
        </w:rPr>
        <w:t>The South Indian Bank:</w:t>
      </w:r>
      <w:r>
        <w:rPr>
          <w:b w:val="0"/>
          <w:sz w:val="22"/>
        </w:rPr>
        <w:t xml:space="preserve"> The Overdraft loan is secured by stock of raw materials, in-process goods, finished goods, packing materials, and other current assets. The Cash Credit facility is secured by the entire current assets of the company (both present and future). All loans from The South Indian Bank are commonly secured by an equitable mortgage of vacant land with a building situated at Ganapathy, Coimbatore, with the Bank holding the first charge.</w:t>
      </w:r>
    </w:p>
    <w:p>
      <w:pPr>
        <w:pStyle w:val="ListBullet"/>
        <w:jc w:val="both"/>
      </w:pPr>
      <w:r>
        <w:rPr>
          <w:b/>
          <w:sz w:val="22"/>
        </w:rPr>
        <w:t>Personal Guarantees:</w:t>
      </w:r>
      <w:r>
        <w:rPr>
          <w:b w:val="0"/>
          <w:sz w:val="22"/>
        </w:rPr>
        <w:t xml:space="preserve"> The Managing Director, Whole-time Directors, and their relatives provide personal guarantees for all bank loan facilities extended by both Axis Bank and The South Indian Bank.</w:t>
      </w:r>
    </w:p>
    <w:p>
      <w:pPr>
        <w:jc w:val="both"/>
      </w:pPr>
      <w:r>
        <w:rPr>
          <w:b/>
          <w:sz w:val="22"/>
        </w:rPr>
        <w:t>Trade Payment Performance:</w:t>
      </w:r>
    </w:p>
    <w:p>
      <w:pPr>
        <w:jc w:val="both"/>
      </w:pPr>
      <w:r>
        <w:rPr>
          <w:b w:val="0"/>
          <w:sz w:val="22"/>
        </w:rPr>
        <w:t>Total trade payables as of 31.03.2024 were 283.05 Lakhs, marking a significant reduction from 454.72 Lakhs as of 31.03.2023. Dues to Micro, Small &amp; Medium Enterprises (MSME) amounted to 147.53 Lakhs as of 31.03.2024; the corresponding figure for 31.03.2023 is not provided in the evidence. Other trade payables stood at 135.52 Lakhs as of 31.03.2024, down from 454.72 Lakhs as of 31.03.2023. The company reported no Disputed Dues for either MSME or Others categories for the periods presented. Outstanding amounts from the due date of payment, totaling 283.05 Lakhs (MSME: 147.53 Lakhs; Others: 135.52 Lakhs), align with the stated trade payables as of 31.03.2024. Specific aging details beyond total outstanding for "following periods" are not explicitly provided to enable a granular assessment of payment timeliness.</w:t>
      </w:r>
    </w:p>
    <w:p>
      <w:pPr>
        <w:jc w:val="both"/>
      </w:pPr>
      <w:r>
        <w:rPr>
          <w:b/>
          <w:sz w:val="22"/>
        </w:rPr>
        <w:t>Other Banking Interactions:</w:t>
      </w:r>
    </w:p>
    <w:p>
      <w:pPr>
        <w:jc w:val="both"/>
      </w:pPr>
      <w:r>
        <w:rPr>
          <w:b w:val="0"/>
          <w:sz w:val="22"/>
        </w:rPr>
        <w:t>The company regularly incurs bank charges for processing and folio, as evidenced by transactions in April 2025.</w:t>
      </w:r>
    </w:p>
    <w:p>
      <w:pPr>
        <w:pStyle w:val="Heading1"/>
        <w:jc w:val="left"/>
      </w:pPr>
      <w:r>
        <w:rPr>
          <w:b/>
          <w:sz w:val="28"/>
        </w:rPr>
        <w:t>Tax and Statutory Compliance</w:t>
      </w:r>
    </w:p>
    <w:p>
      <w:pPr>
        <w:jc w:val="both"/>
      </w:pPr>
      <w:r>
        <w:rPr>
          <w:b/>
          <w:sz w:val="22"/>
        </w:rPr>
        <w:t>Tax and Statutory Compliance</w:t>
      </w:r>
    </w:p>
    <w:p>
      <w:pPr>
        <w:jc w:val="both"/>
      </w:pPr>
      <w:r>
        <w:rPr>
          <w:b w:val="0"/>
          <w:sz w:val="22"/>
        </w:rPr>
        <w:t>The company generally deposits its statutory dues with the appropriate authorities in a regular manner.</w:t>
      </w:r>
    </w:p>
    <w:p>
      <w:pPr>
        <w:jc w:val="both"/>
      </w:pPr>
      <w:r>
        <w:rPr>
          <w:b w:val="0"/>
          <w:sz w:val="22"/>
        </w:rPr>
        <w:t>As of 31 March 2024, there was an undisputed material amount of Goods and Services Tax (GST) totaling Rs. 7.59 Lakhs pertaining to Financial Year 2019-20, which was in arrears for a period exceeding six months from its due date. Management has confirmed that this arrear GST had not been remitted up to the date of the report.</w:t>
      </w:r>
    </w:p>
    <w:p>
      <w:pPr>
        <w:jc w:val="both"/>
      </w:pPr>
      <w:r>
        <w:rPr>
          <w:b w:val="0"/>
          <w:sz w:val="22"/>
        </w:rPr>
        <w:t>However, there are no material dues of income tax, sales tax, service tax, GST, duty of customs, excise duty, value-added tax, cess, or other statutory dues that have not been deposited with the relevant authorities due to any dispute.</w:t>
      </w:r>
    </w:p>
    <w:p>
      <w:pPr>
        <w:jc w:val="both"/>
      </w:pPr>
      <w:r>
        <w:rPr>
          <w:b w:val="0"/>
          <w:sz w:val="22"/>
        </w:rPr>
        <w:t>Subsequent to the reporting date, a GST payment of Rs. 550,084.21 and a GSTN refund of Rs. 190,065.83 were recorded in April 2025.</w:t>
      </w:r>
    </w:p>
    <w:p>
      <w:pPr>
        <w:jc w:val="both"/>
      </w:pPr>
      <w:r>
        <w:rPr>
          <w:b w:val="0"/>
          <w:sz w:val="22"/>
        </w:rPr>
        <w:t>The company's accounting policy includes periodically evaluating positions taken in respect of tax matters where regulations are subject to interpretation and establishing provisions as appropriate. Current and deferred tax items are recognized in correlation to the underlying transactions, with deferred tax provided using the liability method on temporary differences between tax bases of assets and liabilities and their carrying amounts.</w:t>
      </w:r>
    </w:p>
    <w:p>
      <w:pPr>
        <w:pStyle w:val="Heading1"/>
        <w:jc w:val="left"/>
      </w:pPr>
      <w:r>
        <w:rPr>
          <w:b/>
          <w:sz w:val="28"/>
        </w:rPr>
        <w:t>Audit and Compliance</w:t>
      </w:r>
    </w:p>
    <w:p>
      <w:pPr>
        <w:jc w:val="both"/>
      </w:pPr>
      <w:r>
        <w:rPr>
          <w:b/>
          <w:sz w:val="22"/>
        </w:rPr>
        <w:t>Audit and Compliance</w:t>
      </w:r>
    </w:p>
    <w:p>
      <w:pPr>
        <w:jc w:val="both"/>
      </w:pPr>
      <w:r>
        <w:rPr>
          <w:b w:val="0"/>
          <w:sz w:val="22"/>
        </w:rPr>
        <w:t>The financial statements have been subjected to an audit with the objective of providing reasonable assurance that they are free from material misstatement, whether due to fraud or error. The auditors’ responsibilities include exercising professional judgment and maintaining professional skepticism, identifying and assessing risks of material misstatement, designing and performing audit procedures responsive to those risks, and obtaining sufficient and appropriate audit evidence. The audit scope also encompasses evaluating the appropriateness of accounting policies used, the reasonableness of accounting estimates and related disclosures, and the overall presentation, structure, and content of the financial statements.</w:t>
      </w:r>
    </w:p>
    <w:p>
      <w:pPr>
        <w:jc w:val="both"/>
      </w:pPr>
      <w:r>
        <w:rPr>
          <w:b w:val="0"/>
          <w:sz w:val="22"/>
        </w:rPr>
        <w:t xml:space="preserve">A key audit matter identified during the audit pertains to the </w:t>
      </w:r>
      <w:r>
        <w:rPr>
          <w:b/>
          <w:sz w:val="22"/>
        </w:rPr>
        <w:t>Going Concern assumption</w:t>
      </w:r>
      <w:r>
        <w:rPr>
          <w:b w:val="0"/>
          <w:sz w:val="22"/>
        </w:rPr>
        <w:t xml:space="preserve">. The auditors are required to conclude on the appropriateness of Management’s and Board of Directors’ use of the going concern basis of accounting and, based on the audit evidence obtained, whether a material uncertainty exists that may cast significant doubt on the Company’s ability to continue as a going concern. It is specifically noted that the </w:t>
      </w:r>
      <w:r>
        <w:rPr>
          <w:b/>
          <w:sz w:val="22"/>
        </w:rPr>
        <w:t>Textile segment has been incurring losses for several years</w:t>
      </w:r>
      <w:r>
        <w:rPr>
          <w:b w:val="0"/>
          <w:sz w:val="22"/>
        </w:rPr>
        <w:t>, which is a direct factor in this assessment. While conclusions are based on evidence obtained up to the date of the auditor’s report, future events or conditions may cause the Company to cease to continue as a going concern.</w:t>
      </w:r>
    </w:p>
    <w:p>
      <w:pPr>
        <w:jc w:val="both"/>
      </w:pPr>
      <w:r>
        <w:rPr>
          <w:b w:val="0"/>
          <w:sz w:val="22"/>
        </w:rPr>
        <w:t>The auditors have communicated their compliance with relevant ethical requirements regarding independence.</w:t>
      </w:r>
    </w:p>
    <w:p>
      <w:pPr>
        <w:jc w:val="both"/>
      </w:pPr>
      <w:r>
        <w:rPr>
          <w:b w:val="0"/>
          <w:sz w:val="22"/>
        </w:rPr>
        <w:t>The provided evidence describes the auditor's responsibilities and identified key audit matters; however, the actual auditor’s opinion on the financial statements is not explicitly stated.</w:t>
      </w:r>
    </w:p>
    <w:p>
      <w:pPr>
        <w:pStyle w:val="Heading1"/>
        <w:jc w:val="left"/>
      </w:pPr>
      <w:r>
        <w:rPr>
          <w:b/>
          <w:sz w:val="28"/>
        </w:rPr>
        <w:t>Risk Assessment</w:t>
      </w:r>
    </w:p>
    <w:p>
      <w:pPr>
        <w:jc w:val="both"/>
      </w:pPr>
      <w:r>
        <w:rPr>
          <w:b w:val="0"/>
          <w:sz w:val="22"/>
        </w:rPr>
        <w:t>The Company's risk profile presents a mixed picture, showing significant improvements in profitability and debt service coverage, alongside persistent leverage and liquidity concerns, particularly in the short term.</w:t>
      </w:r>
    </w:p>
    <w:p>
      <w:pPr>
        <w:jc w:val="both"/>
      </w:pPr>
      <w:r>
        <w:rPr>
          <w:b/>
          <w:sz w:val="22"/>
        </w:rPr>
        <w:t>Financial Risk - Leverage and Solvency:</w:t>
      </w:r>
    </w:p>
    <w:p>
      <w:pPr>
        <w:jc w:val="both"/>
      </w:pPr>
      <w:r>
        <w:rPr>
          <w:b w:val="0"/>
          <w:sz w:val="22"/>
        </w:rPr>
        <w:t>The Net Debt to Equity ratio improved substantially, decreasing from 314.60% in March 2023 to 203.40% in March 2024. This improvement is primarily attributable to a significant increase in total equity from 1,196.47 Lakhs to 1,858.30 Lakhs during the period. Total debt, however, saw a slight increase from 3,764.91 Lakhs in March 2023 to 3,780.57 Lakhs in March 2024. The Debt-Equity Ratio (calculated as Total Long Term Debt / Total Equity) marginally increased from 0.58 in March 2023 to 0.63 in March 2024. This ratio reflects long-term debt (non-current borrowings) of 252.69 Lakhs as of March 31, 2024. However, the overall financial liabilities indicate a high reliance on short-term borrowings, with current financial liabilities – borrowings amounting to 3,072.22 Lakhs, significantly outweighing non-current borrowings of 252.69 Lakhs.</w:t>
      </w:r>
    </w:p>
    <w:p>
      <w:pPr>
        <w:jc w:val="both"/>
      </w:pPr>
      <w:r>
        <w:rPr>
          <w:b/>
          <w:sz w:val="22"/>
        </w:rPr>
        <w:t>Financial Risk - Liquidity:</w:t>
      </w:r>
    </w:p>
    <w:p>
      <w:pPr>
        <w:jc w:val="both"/>
      </w:pPr>
      <w:r>
        <w:rPr>
          <w:b w:val="0"/>
          <w:sz w:val="22"/>
        </w:rPr>
        <w:t>The Company's short-term liquidity position, as indicated by the Current Ratio, deteriorated from 1.06 in March 2023 to 0.95 in March 2024, suggesting that current liabilities exceed current assets. Cash and bank balances remain very low at 0.72 Lakhs as of March 31, 2024, down from 0.79 Lakhs in the prior year. Despite this, the Company's net cash from operating activities significantly increased to 2,141.46 Lakhs in March 2024 from 1,005.24 Lakhs in March 2023, providing a strong source of internal liquidity generation. Net cash used in financing activities remained an outflow at (376.59) Lakhs in March 2024, primarily due to net repayment of short-term borrowings of (462.63) Lakhs, partially offset by proceeds from long-term borrowings of 478.30 Lakhs. The Company manages credit risk on cash and bank deposits by holding them with highly rated financial institutions.</w:t>
      </w:r>
    </w:p>
    <w:p>
      <w:pPr>
        <w:jc w:val="both"/>
      </w:pPr>
      <w:r>
        <w:rPr>
          <w:b/>
          <w:sz w:val="22"/>
        </w:rPr>
        <w:t>Financial Risk - Debt Servicing Capability:</w:t>
      </w:r>
    </w:p>
    <w:p>
      <w:pPr>
        <w:jc w:val="both"/>
      </w:pPr>
      <w:r>
        <w:rPr>
          <w:b w:val="0"/>
          <w:sz w:val="22"/>
        </w:rPr>
        <w:t>The Debt Service Coverage Ratio (DSCR) showed a substantial improvement, rising from 0.77 in March 2023 to 1.37 in March 2024. This indicates a significantly enhanced ability to meet debt obligations from operating earnings. Finance costs increased from 313.00 Lakhs in March 2023 to 391.95 Lakhs in March 2024. The cash outflow for finance costs was (392.26) Lakhs in 2024, aligning with the reported finance costs.</w:t>
      </w:r>
    </w:p>
    <w:p>
      <w:pPr>
        <w:jc w:val="both"/>
      </w:pPr>
      <w:r>
        <w:rPr>
          <w:b/>
          <w:sz w:val="22"/>
        </w:rPr>
        <w:t>Operational Risk - Profitability:</w:t>
      </w:r>
    </w:p>
    <w:p>
      <w:pPr>
        <w:jc w:val="both"/>
      </w:pPr>
      <w:r>
        <w:rPr>
          <w:b w:val="0"/>
          <w:sz w:val="22"/>
        </w:rPr>
        <w:t>The Company experienced a strong surge in profitability during the period. The Net Profit Ratio improved from 0.71% in March 2023 to 10.97% in March 2024. Return on Equity (ROE) dramatically increased from 2.37% to 42.43%, and Return on Capital Employed (ROCE) also showed significant growth from 16.96% to 42.14% for the same period. Profit before tax from continuing operations increased substantially from 40.35 Lakhs in March 2023 to 865.96 Lakhs in March 2024, demonstrating strong operational performance which mitigates some financial risks.</w:t>
      </w:r>
    </w:p>
    <w:p>
      <w:pPr>
        <w:jc w:val="both"/>
      </w:pPr>
      <w:r>
        <w:rPr>
          <w:b/>
          <w:sz w:val="22"/>
        </w:rPr>
        <w:t>Credit Risk Management:</w:t>
      </w:r>
    </w:p>
    <w:p>
      <w:pPr>
        <w:jc w:val="both"/>
      </w:pPr>
      <w:r>
        <w:rPr>
          <w:b w:val="0"/>
          <w:sz w:val="22"/>
        </w:rPr>
        <w:t>The Company states it manages credit risk for financial instruments by assessing high-risk exposures and backing them with bank guarantees, letters of credit, or security deposits. It applies a simplified approach for expected credit losses on trade/contract receivables using a provision matrix and makes provisions for doubtful debts and claims when realization is doubtful.</w:t>
      </w:r>
    </w:p>
    <w:p>
      <w:pPr>
        <w:jc w:val="both"/>
      </w:pPr>
      <w:r>
        <w:rPr>
          <w:b/>
          <w:sz w:val="22"/>
        </w:rPr>
        <w:t>Other Risks:</w:t>
      </w:r>
    </w:p>
    <w:p>
      <w:pPr>
        <w:pStyle w:val="ListBullet"/>
        <w:jc w:val="both"/>
      </w:pPr>
      <w:r>
        <w:rPr>
          <w:b/>
          <w:sz w:val="22"/>
        </w:rPr>
        <w:t>Contingent Liabilities:</w:t>
      </w:r>
      <w:r>
        <w:rPr>
          <w:b w:val="0"/>
          <w:sz w:val="22"/>
        </w:rPr>
        <w:t xml:space="preserve"> The Company discloses contingent liabilities for possible obligations arising from past events, or present obligations not recognized due to low probability of outflow or unreliable measurement. Show cause notices are evaluated for contingent liability status only when converted into demand. No specific amounts for contingent liabilities were provided in the evidence.</w:t>
      </w:r>
    </w:p>
    <w:p>
      <w:pPr>
        <w:pStyle w:val="ListBullet"/>
        <w:jc w:val="both"/>
      </w:pPr>
      <w:r>
        <w:rPr>
          <w:b/>
          <w:sz w:val="22"/>
        </w:rPr>
        <w:t>Related Party Transactions:</w:t>
      </w:r>
      <w:r>
        <w:rPr>
          <w:b w:val="0"/>
          <w:sz w:val="22"/>
        </w:rPr>
        <w:t xml:space="preserve"> The management confirmed that related party transactions for the years ended March 31, 2024, and March 31, 2023, comply with Section 177 and Section 188 of the Companies Act, 2013, and Ind-AS-24.</w:t>
      </w:r>
    </w:p>
    <w:p>
      <w:pPr>
        <w:pStyle w:val="ListBullet"/>
        <w:jc w:val="both"/>
      </w:pPr>
      <w:r>
        <w:rPr>
          <w:b/>
          <w:sz w:val="22"/>
        </w:rPr>
        <w:t>Shareholding Concentration:</w:t>
      </w:r>
      <w:r>
        <w:rPr>
          <w:b w:val="0"/>
          <w:sz w:val="22"/>
        </w:rPr>
        <w:t xml:space="preserve"> Promoters hold a significant 64.01% of the total shares as of March 31, 2024. Additionally, four individual shareholders collectively hold approximately 50.55% of the total equity, indicating a concentrated ownership structure.</w:t>
      </w:r>
    </w:p>
    <w:p>
      <w:pPr>
        <w:pStyle w:val="Heading1"/>
        <w:jc w:val="left"/>
      </w:pPr>
      <w:r>
        <w:rPr>
          <w:b/>
          <w:sz w:val="28"/>
        </w:rPr>
        <w:t>Collateral</w:t>
      </w:r>
    </w:p>
    <w:p>
      <w:pPr>
        <w:jc w:val="both"/>
      </w:pPr>
      <w:r>
        <w:rPr>
          <w:b/>
          <w:sz w:val="22"/>
        </w:rPr>
        <w:t>Collateral</w:t>
      </w:r>
    </w:p>
    <w:p>
      <w:pPr>
        <w:jc w:val="both"/>
      </w:pPr>
      <w:r>
        <w:rPr>
          <w:b w:val="0"/>
          <w:sz w:val="22"/>
        </w:rPr>
        <w:t>The company's loan facilities are secured as follows:</w:t>
      </w:r>
    </w:p>
    <w:p>
      <w:pPr>
        <w:jc w:val="both"/>
      </w:pPr>
      <w:r>
        <w:rPr>
          <w:b/>
          <w:sz w:val="22"/>
        </w:rPr>
        <w:t>Axis Bank Facilities:</w:t>
      </w:r>
    </w:p>
    <w:p>
      <w:pPr>
        <w:jc w:val="both"/>
      </w:pPr>
      <w:r>
        <w:rPr>
          <w:b w:val="0"/>
          <w:sz w:val="22"/>
        </w:rPr>
        <w:t>Loans from Axis Bank are primarily secured by the company's stock of raw materials, stock in process, finished goods, packing materials, and book debts. Additionally, these loans are commonly secured by an equitable mortgage of land and building located in Chittoor District, Andhra Pradesh. The Managing Director, Whole-time Directors, and their relatives provide personal guarantees for these facilities.</w:t>
      </w:r>
    </w:p>
    <w:p>
      <w:pPr>
        <w:jc w:val="both"/>
      </w:pPr>
      <w:r>
        <w:rPr>
          <w:b/>
          <w:sz w:val="22"/>
        </w:rPr>
        <w:t>South Indian Bank Facilities:</w:t>
      </w:r>
    </w:p>
    <w:p>
      <w:pPr>
        <w:pStyle w:val="ListBullet"/>
        <w:jc w:val="both"/>
      </w:pPr>
      <w:r>
        <w:rPr>
          <w:b/>
          <w:sz w:val="22"/>
        </w:rPr>
        <w:t>Overdraft Loan:</w:t>
      </w:r>
      <w:r>
        <w:rPr>
          <w:b w:val="0"/>
          <w:sz w:val="22"/>
        </w:rPr>
        <w:t xml:space="preserve"> This facility is secured by the company's stock of raw materials, stock in process, finished goods, packing materials, and other current assets.</w:t>
      </w:r>
    </w:p>
    <w:p>
      <w:pPr>
        <w:pStyle w:val="ListBullet"/>
        <w:jc w:val="both"/>
      </w:pPr>
      <w:r>
        <w:rPr>
          <w:b/>
          <w:sz w:val="22"/>
        </w:rPr>
        <w:t>Cash Credit Facility:</w:t>
      </w:r>
      <w:r>
        <w:rPr>
          <w:b w:val="0"/>
          <w:sz w:val="22"/>
        </w:rPr>
        <w:t xml:space="preserve"> This facility is secured by the entire current assets of the company, both present and future.</w:t>
      </w:r>
    </w:p>
    <w:p>
      <w:pPr>
        <w:jc w:val="both"/>
      </w:pPr>
      <w:r>
        <w:rPr>
          <w:b w:val="0"/>
          <w:sz w:val="22"/>
        </w:rPr>
        <w:t>All loans from The South Indian Bank are commonly secured by an equitable mortgage of vacant land with a building situated at Ganapathy, Coimbatore, with The South Indian Bank being the First Charge Holder. The Managing Director, Whole-time Directors, and their relatives provide personal guarantees for these facilities.</w:t>
      </w:r>
    </w:p>
    <w:p>
      <w:pPr>
        <w:jc w:val="both"/>
      </w:pPr>
      <w:r>
        <w:rPr>
          <w:b/>
          <w:sz w:val="22"/>
        </w:rPr>
        <w:t>Secured Loan from Director:</w:t>
      </w:r>
    </w:p>
    <w:p>
      <w:pPr>
        <w:jc w:val="both"/>
      </w:pPr>
      <w:r>
        <w:rPr>
          <w:b w:val="0"/>
          <w:sz w:val="22"/>
        </w:rPr>
        <w:t>This loan is secured by an equitable mortgage of vacant land and a building situated at Ganapathy, Coimbatore, with the Managing Director holding the Second Charge.</w:t>
      </w:r>
    </w:p>
    <w:p>
      <w:pPr>
        <w:pStyle w:val="Heading1"/>
        <w:jc w:val="left"/>
      </w:pPr>
      <w:r>
        <w:rPr>
          <w:b/>
          <w:sz w:val="28"/>
        </w:rPr>
        <w:t>Data Consistency Review</w:t>
      </w:r>
    </w:p>
    <w:p>
      <w:pPr>
        <w:jc w:val="both"/>
      </w:pPr>
      <w:r>
        <w:rPr>
          <w:b w:val="0"/>
          <w:sz w:val="22"/>
        </w:rPr>
        <w:t>The data consistency review compares key financial figures from the internal database against retrieved evidence. Database values are stated in Crores, while financial statement evidence is typically expressed in Lakhs (where 1 Crore = 100 Lakhs). While the system indicates a match for most fields, independent numerical verification of the specific evidence figures (in Lakhs) was not possible, as these values were not explicitly provided for comparison.</w:t>
      </w:r>
    </w:p>
    <w:p>
      <w:pPr>
        <w:pStyle w:val="ListBullet"/>
        <w:jc w:val="both"/>
      </w:pPr>
      <w:r>
        <w:rPr>
          <w:b/>
          <w:sz w:val="22"/>
        </w:rPr>
        <w:t>Revenue:</w:t>
      </w:r>
      <w:r>
        <w:rPr>
          <w:b w:val="0"/>
          <w:sz w:val="22"/>
        </w:rPr>
        <w:t xml:space="preserve"> The database records revenue at INR 55.98 Crores (equivalent to INR 5,598 Lakhs). The system indicates a match with the retrieved evidence.</w:t>
      </w:r>
    </w:p>
    <w:p>
      <w:pPr>
        <w:pStyle w:val="ListBullet"/>
        <w:jc w:val="both"/>
      </w:pPr>
      <w:r>
        <w:rPr>
          <w:b/>
          <w:sz w:val="22"/>
        </w:rPr>
        <w:t>Net Profit:</w:t>
      </w:r>
      <w:r>
        <w:rPr>
          <w:b w:val="0"/>
          <w:sz w:val="22"/>
        </w:rPr>
        <w:t xml:space="preserve"> Net profit in the database is recorded as INR 6.48 Crores (equivalent to INR 648 Lakhs). The system indicates a match with the retrieved evidence.</w:t>
      </w:r>
    </w:p>
    <w:p>
      <w:pPr>
        <w:pStyle w:val="ListBullet"/>
        <w:jc w:val="both"/>
      </w:pPr>
      <w:r>
        <w:rPr>
          <w:b/>
          <w:sz w:val="22"/>
        </w:rPr>
        <w:t>Borrowings:</w:t>
      </w:r>
      <w:r>
        <w:rPr>
          <w:b w:val="0"/>
          <w:sz w:val="22"/>
        </w:rPr>
        <w:t xml:space="preserve"> Borrowings are recorded in the database at INR 33.59 Crores (equivalent to INR 3,359 Lakhs). The system indicates a match with the retrieved evidence.</w:t>
      </w:r>
    </w:p>
    <w:p>
      <w:pPr>
        <w:pStyle w:val="ListBullet"/>
        <w:jc w:val="both"/>
      </w:pPr>
      <w:r>
        <w:rPr>
          <w:b/>
          <w:sz w:val="22"/>
        </w:rPr>
        <w:t>Cash and Bank Balances:</w:t>
      </w:r>
      <w:r>
        <w:rPr>
          <w:b w:val="0"/>
          <w:sz w:val="22"/>
        </w:rPr>
        <w:t xml:space="preserve"> Cash and Bank Balances, referring to the Balance Sheet line item, is recorded at INR 0.01 Crores (equivalent to INR 1 Lakh) in the database. The system indicates a match with the retrieved evidence. It is important to note that this figure is distinct from the closing cash balance on the Cash Flow Statement.</w:t>
      </w:r>
    </w:p>
    <w:p>
      <w:pPr>
        <w:pStyle w:val="ListBullet"/>
        <w:jc w:val="both"/>
      </w:pPr>
      <w:r>
        <w:rPr>
          <w:b/>
          <w:sz w:val="22"/>
        </w:rPr>
        <w:t>Inventory:</w:t>
      </w:r>
      <w:r>
        <w:rPr>
          <w:b w:val="0"/>
          <w:sz w:val="22"/>
        </w:rPr>
        <w:t xml:space="preserve"> Inventory is recorded in the database at INR 26.82 Crores (equivalent to INR 2,682 Lakhs). The system indicates a match with the retrieved evidence.</w:t>
      </w:r>
    </w:p>
    <w:p>
      <w:pPr>
        <w:pStyle w:val="ListBullet"/>
        <w:jc w:val="both"/>
      </w:pPr>
      <w:r>
        <w:rPr>
          <w:b/>
          <w:sz w:val="22"/>
        </w:rPr>
        <w:t>Trade Receivables:</w:t>
      </w:r>
      <w:r>
        <w:rPr>
          <w:b w:val="0"/>
          <w:sz w:val="22"/>
        </w:rPr>
        <w:t xml:space="preserve"> Trade Receivables are recorded at INR 1.12 Crores (equivalent to INR 112 Lakhs) in the database. The system indicates a match with the retrieved evidence.</w:t>
      </w:r>
    </w:p>
    <w:p>
      <w:pPr>
        <w:pStyle w:val="ListBullet"/>
        <w:jc w:val="both"/>
      </w:pPr>
      <w:r>
        <w:rPr>
          <w:b/>
          <w:sz w:val="22"/>
        </w:rPr>
        <w:t>Cash Flow from Operations (CFO):</w:t>
      </w:r>
      <w:r>
        <w:rPr>
          <w:b w:val="0"/>
          <w:sz w:val="22"/>
        </w:rPr>
        <w:t xml:space="preserve"> CFO is recorded in the database at INR 21.41 Crores (equivalent to INR 2,141 Lakhs). The system indicates a match with the retrieved evidence.</w:t>
      </w:r>
    </w:p>
    <w:p>
      <w:pPr>
        <w:pStyle w:val="ListBullet"/>
        <w:jc w:val="both"/>
      </w:pPr>
      <w:r>
        <w:rPr>
          <w:b/>
          <w:sz w:val="22"/>
        </w:rPr>
        <w:t>Net Cash Flow:</w:t>
      </w:r>
      <w:r>
        <w:rPr>
          <w:b w:val="0"/>
          <w:sz w:val="22"/>
        </w:rPr>
        <w:t xml:space="preserve"> The database currently holds no recorded value for Net Cash Flow (None). However, the retrieved evidence indicates that a value for this field was found. This constitutes a data inconsistency, as a key financial metric identified in the evidence is not present in the database.</w:t>
      </w:r>
    </w:p>
    <w:p>
      <w:pPr>
        <w:pStyle w:val="Heading1"/>
        <w:jc w:val="left"/>
      </w:pPr>
      <w:r>
        <w:rPr>
          <w:b/>
          <w:sz w:val="28"/>
        </w:rPr>
        <w:t>Recommendation</w:t>
      </w:r>
    </w:p>
    <w:p>
      <w:pPr>
        <w:jc w:val="both"/>
      </w:pPr>
      <w:r>
        <w:rPr>
          <w:b w:val="0"/>
          <w:sz w:val="22"/>
        </w:rPr>
        <w:t xml:space="preserve">Based on a comprehensive review of the financial performance and risk management framework, a </w:t>
      </w:r>
      <w:r>
        <w:rPr>
          <w:b/>
          <w:sz w:val="22"/>
        </w:rPr>
        <w:t>Positive Credit Recommendation</w:t>
      </w:r>
      <w:r>
        <w:rPr>
          <w:b w:val="0"/>
          <w:sz w:val="22"/>
        </w:rPr>
        <w:t xml:space="preserve"> is warranted. The Company has demonstrated significant improvements across key financial metrics, indicating an enhanced capacity to meet its financial obligations.</w:t>
      </w:r>
    </w:p>
    <w:p>
      <w:pPr>
        <w:jc w:val="both"/>
      </w:pPr>
      <w:r>
        <w:rPr>
          <w:b/>
          <w:sz w:val="22"/>
        </w:rPr>
        <w:t>Key Supporting Factors:</w:t>
      </w:r>
    </w:p>
    <w:p>
      <w:pPr>
        <w:jc w:val="both"/>
      </w:pPr>
      <w:r>
        <w:rPr>
          <w:b w:val="0"/>
          <w:sz w:val="22"/>
        </w:rPr>
        <w:t xml:space="preserve">1.  </w:t>
      </w:r>
      <w:r>
        <w:rPr>
          <w:b/>
          <w:sz w:val="22"/>
        </w:rPr>
        <w:t>Exceptional Profitability and Efficiency Growth:</w:t>
      </w:r>
      <w:r>
        <w:rPr>
          <w:b w:val="0"/>
          <w:sz w:val="22"/>
        </w:rPr>
        <w:t xml:space="preserve"> As of March 31, 2024, the Company has achieved substantial enhancements in profitability. The Return on Equity (ROE) dramatically increased to 42.43% from 2.37% (March 31, 2023), the Net Profit Ratio surged to 10.97% from 0.71%, Return on Capital Employed (ROCE) improved to 42.14% from 16.96%, and Return on Investment (ROI) rose to 10.65% from 0.56%. Operational efficiency has also seen significant improvement, with the Inventory Turnover Ratio decreasing to 191 days from 338 days, the Trade Receivables Turnover Ratio improving substantially to 12 days from 52 days, and the Net Capital Turnover Ratio decreasing to 132 days from 320 days, all reflecting faster asset utilization and cash conversion.</w:t>
      </w:r>
    </w:p>
    <w:p>
      <w:pPr>
        <w:jc w:val="both"/>
      </w:pPr>
      <w:r>
        <w:rPr>
          <w:b w:val="0"/>
          <w:sz w:val="22"/>
        </w:rPr>
        <w:t xml:space="preserve">2.  </w:t>
      </w:r>
      <w:r>
        <w:rPr>
          <w:b/>
          <w:sz w:val="22"/>
        </w:rPr>
        <w:t>Improved Solvency and Debt Servicing Capability:</w:t>
      </w:r>
      <w:r>
        <w:rPr>
          <w:b w:val="0"/>
          <w:sz w:val="22"/>
        </w:rPr>
        <w:t xml:space="preserve"> The Company's solvency position has strengthened, evidenced by the Net Debt to Equity Ratio decreasing to 203.40% as of March 31, 2024, from 314.60% in the prior year. This improvement is primarily driven by a substantial increase in Total Equity, which rose from 1,196.47 Lakhs to 1,858.30 Lakhs. Crucially, the Debt Service Coverage Ratio (DSCR) experienced a remarkable increase to 1.37 from 0.77, indicating a significantly improved ability to service debt obligations.</w:t>
      </w:r>
    </w:p>
    <w:p>
      <w:pPr>
        <w:jc w:val="both"/>
      </w:pPr>
      <w:r>
        <w:rPr>
          <w:b w:val="0"/>
          <w:sz w:val="22"/>
        </w:rPr>
        <w:t xml:space="preserve">3.  </w:t>
      </w:r>
      <w:r>
        <w:rPr>
          <w:b/>
          <w:sz w:val="22"/>
        </w:rPr>
        <w:t>Strong Operating Cash Flow Generation:</w:t>
      </w:r>
      <w:r>
        <w:rPr>
          <w:b w:val="0"/>
          <w:sz w:val="22"/>
        </w:rPr>
        <w:t xml:space="preserve"> The Company's ability to generate cash from operations has more than doubled, with Net cash from operating activities increasing significantly from 1,005.24 Lakhs (March 31, 2023) to 2,141.46 Lakhs (March 31, 2024). This strong internal cash generation provides a robust foundation for financing operations and investments.</w:t>
      </w:r>
    </w:p>
    <w:p>
      <w:pPr>
        <w:jc w:val="both"/>
      </w:pPr>
      <w:r>
        <w:rPr>
          <w:b w:val="0"/>
          <w:sz w:val="22"/>
        </w:rPr>
        <w:t xml:space="preserve">4.  </w:t>
      </w:r>
      <w:r>
        <w:rPr>
          <w:b/>
          <w:sz w:val="22"/>
        </w:rPr>
        <w:t>Robust Credit Risk Management:</w:t>
      </w:r>
      <w:r>
        <w:rPr>
          <w:b w:val="0"/>
          <w:sz w:val="22"/>
        </w:rPr>
        <w:t xml:space="preserve"> The Company maintains a sound credit evaluation policy for each customer, defining credit limits and obtaining collateral (such as bank guarantees/letters of credit or security deposits) for exposures assessed as high credit risk. A provision matrix is utilized for expected credit losses on trade/contract receivables. Credit risk on cash, cash equivalents, and bank deposits is managed by dealing with highly-rated financial institutions, and the Company does not anticipate losses from counterparty non-performance.</w:t>
      </w:r>
    </w:p>
    <w:p>
      <w:pPr>
        <w:jc w:val="both"/>
      </w:pPr>
      <w:r>
        <w:rPr>
          <w:b/>
          <w:sz w:val="22"/>
        </w:rPr>
        <w:t>Areas for Monitoring:</w:t>
      </w:r>
    </w:p>
    <w:p>
      <w:pPr>
        <w:jc w:val="both"/>
      </w:pPr>
      <w:r>
        <w:rPr>
          <w:b w:val="0"/>
          <w:sz w:val="22"/>
        </w:rPr>
        <w:t xml:space="preserve">1.  </w:t>
      </w:r>
      <w:r>
        <w:rPr>
          <w:b/>
          <w:sz w:val="22"/>
        </w:rPr>
        <w:t>Short-Term Liquidity:</w:t>
      </w:r>
      <w:r>
        <w:rPr>
          <w:b w:val="0"/>
          <w:sz w:val="22"/>
        </w:rPr>
        <w:t xml:space="preserve"> The Current Ratio declined to 0.95 as of March 31, 2024, from 1.06 in the previous year, falling below the conventional benchmark of 1.0. This indicates potential tightness in short-term liquidity, which warrants close monitoring.</w:t>
      </w:r>
    </w:p>
    <w:p>
      <w:pPr>
        <w:jc w:val="both"/>
      </w:pPr>
      <w:r>
        <w:rPr>
          <w:b w:val="0"/>
          <w:sz w:val="22"/>
        </w:rPr>
        <w:t xml:space="preserve">2.  </w:t>
      </w:r>
      <w:r>
        <w:rPr>
          <w:b/>
          <w:sz w:val="22"/>
        </w:rPr>
        <w:t>Cash and Bank Balances:</w:t>
      </w:r>
      <w:r>
        <w:rPr>
          <w:b w:val="0"/>
          <w:sz w:val="22"/>
        </w:rPr>
        <w:t xml:space="preserve"> Cash and bank balances remain low at 0.72 Lakhs as of March 31, 2024, a slight decrease from 0.79 Lakhs in the prior year. While the net decrease in cash and cash equivalents for the year was a modest (0.07) Lakhs (an improvement from a (2.22) Lakhs decrease in the prior year), the overall low balance requires attention.</w:t>
      </w:r>
    </w:p>
    <w:p>
      <w:pPr>
        <w:jc w:val="both"/>
      </w:pPr>
      <w:r>
        <w:rPr>
          <w:b w:val="0"/>
          <w:sz w:val="22"/>
        </w:rPr>
        <w:t xml:space="preserve">3.  </w:t>
      </w:r>
      <w:r>
        <w:rPr>
          <w:b/>
          <w:sz w:val="22"/>
        </w:rPr>
        <w:t>Debt-Equity Ratio (Long-Term):</w:t>
      </w:r>
      <w:r>
        <w:rPr>
          <w:b w:val="0"/>
          <w:sz w:val="22"/>
        </w:rPr>
        <w:t xml:space="preserve"> While the broader Net Debt to Equity ratio improved, the Debt-Equity Ratio (calculated using only Total Long Term Debt) increased marginally to 0.63 from 0.58. This specific metric should be observed in the context of the overall enhanced solvency and strong debt servicing capacity.</w:t>
      </w:r>
    </w:p>
    <w:p>
      <w:pPr>
        <w:jc w:val="both"/>
      </w:pPr>
      <w:r>
        <w:rPr>
          <w:b/>
          <w:sz w:val="22"/>
        </w:rPr>
        <w:t>Conclusion:</w:t>
      </w:r>
    </w:p>
    <w:p>
      <w:pPr>
        <w:jc w:val="both"/>
      </w:pPr>
      <w:r>
        <w:rPr>
          <w:b w:val="0"/>
          <w:sz w:val="22"/>
        </w:rPr>
        <w:t xml:space="preserve">Despite identified short-term liquidity constraints and low cash balances, the Company's substantial improvements in profitability, operational efficiency, and debt servicing capabilities, coupled with effective credit risk management practices, present a compelling credit profile. The significant increase in operating cash flows further mitigates liquidity concerns. Therefore, a </w:t>
      </w:r>
      <w:r>
        <w:rPr>
          <w:b/>
          <w:sz w:val="22"/>
        </w:rPr>
        <w:t>Positive Credit Recommendation</w:t>
      </w:r>
      <w:r>
        <w:rPr>
          <w:b w:val="0"/>
          <w:sz w:val="22"/>
        </w:rPr>
        <w:t xml:space="preserve"> is issued, with a recommendation for continued close monitoring of short-term liquidity metrics and cash balances.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