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Assessment Memo</w:t>
      </w:r>
    </w:p>
    <w:p>
      <w:pPr>
        <w:jc w:val="center"/>
      </w:pPr>
      <w:r>
        <w:rPr>
          <w:b/>
          <w:sz w:val="24"/>
        </w:rPr>
        <w:t xml:space="preserve">Company: </w:t>
      </w:r>
      <w:r>
        <w:rPr>
          <w:sz w:val="24"/>
        </w:rPr>
        <w:t>Durlax Top Surface Limited</w:t>
      </w:r>
    </w:p>
    <w:p>
      <w:pPr>
        <w:jc w:val="center"/>
      </w:pPr>
      <w:r>
        <w:rPr>
          <w:b/>
          <w:sz w:val="24"/>
        </w:rPr>
        <w:t xml:space="preserve">Financial Year: </w:t>
      </w:r>
      <w:r>
        <w:rPr>
          <w:sz w:val="24"/>
        </w:rPr>
        <w:t>2025</w:t>
      </w:r>
    </w:p>
    <w:p>
      <w:r>
        <w:br w:type="page"/>
      </w:r>
    </w:p>
    <w:p>
      <w:pPr>
        <w:pStyle w:val="Heading1"/>
        <w:jc w:val="left"/>
      </w:pPr>
      <w:r>
        <w:rPr>
          <w:b/>
          <w:sz w:val="28"/>
        </w:rPr>
        <w:t>Applicant Overview</w:t>
      </w:r>
    </w:p>
    <w:p>
      <w:pPr>
        <w:jc w:val="both"/>
      </w:pPr>
      <w:r>
        <w:rPr>
          <w:b w:val="0"/>
          <w:sz w:val="22"/>
        </w:rPr>
        <w:t>Durlax Top Surface Limited is the applicant. The company's Registered Office is located at Unit No. 1601, 16th Floor Synergy Business Park Premises Coop Society Ltd, Behind Virwani Industrial estate, Shahakarwadi Off Vishweshwar Nagar Road, Goregaon East, Mumbai - 400063.</w:t>
      </w:r>
    </w:p>
    <w:p>
      <w:pPr>
        <w:jc w:val="both"/>
      </w:pPr>
      <w:r>
        <w:rPr>
          <w:b w:val="0"/>
          <w:sz w:val="22"/>
        </w:rPr>
        <w:t>As of the Annual Report 2024-25, Komal Upendra Birla serves as the Company Secretary and Compliance Officer.</w:t>
      </w:r>
    </w:p>
    <w:p>
      <w:pPr>
        <w:jc w:val="both"/>
      </w:pPr>
      <w:r>
        <w:rPr>
          <w:b w:val="0"/>
          <w:sz w:val="22"/>
        </w:rPr>
        <w:t>The Board of Directors is authorized to negotiate, finalize, and agree upon the terms and conditions for loans, guarantees, security, and investments. The outstanding aggregate amount for these facilities is not to exceed Rs. 200 Crores. Furthermore, the company has plans to issue Fully Convertible Warrants. These corporate actions and resolutions were noted on August 29, 2025, in Mumbai.</w:t>
      </w:r>
    </w:p>
    <w:p>
      <w:pPr>
        <w:pStyle w:val="Heading1"/>
        <w:jc w:val="left"/>
      </w:pPr>
      <w:r>
        <w:rPr>
          <w:b/>
          <w:sz w:val="28"/>
        </w:rPr>
        <w:t>Company Background</w:t>
      </w:r>
    </w:p>
    <w:p>
      <w:pPr>
        <w:jc w:val="both"/>
      </w:pPr>
      <w:r>
        <w:rPr>
          <w:b w:val="0"/>
          <w:sz w:val="22"/>
        </w:rPr>
        <w:t>Durlax Top Surface Limited was initially incorporated as a Private Limited Company under the name ‘Durlax Archtech Private Limited’ in 2010. The company subsequently converted to a Public Limited Company in 2023 and was listed on the NSE Emerge Platform in 2024. The latest Annual Report is the Fifteenth, covering the financial year ended 31st March, 2025.</w:t>
      </w:r>
    </w:p>
    <w:p>
      <w:pPr>
        <w:jc w:val="both"/>
      </w:pPr>
      <w:r>
        <w:rPr>
          <w:b/>
          <w:sz w:val="22"/>
        </w:rPr>
        <w:t>Key Milestones:</w:t>
      </w:r>
    </w:p>
    <w:p>
      <w:pPr>
        <w:pStyle w:val="ListBullet"/>
        <w:jc w:val="both"/>
      </w:pPr>
      <w:r>
        <w:rPr>
          <w:b/>
          <w:sz w:val="22"/>
        </w:rPr>
        <w:t>2010:</w:t>
      </w:r>
      <w:r>
        <w:rPr>
          <w:b w:val="0"/>
          <w:sz w:val="22"/>
        </w:rPr>
        <w:t xml:space="preserve"> Incorporated as Durlax Archtech Private Limited.</w:t>
      </w:r>
    </w:p>
    <w:p>
      <w:pPr>
        <w:pStyle w:val="ListBullet"/>
        <w:jc w:val="both"/>
      </w:pPr>
      <w:r>
        <w:rPr>
          <w:b/>
          <w:sz w:val="22"/>
        </w:rPr>
        <w:t>2011:</w:t>
      </w:r>
      <w:r>
        <w:rPr>
          <w:b w:val="0"/>
          <w:sz w:val="22"/>
        </w:rPr>
        <w:t xml:space="preserve"> Launched its proprietary brands ‘Luxor®’ and ‘Aspiron®’.</w:t>
      </w:r>
    </w:p>
    <w:p>
      <w:pPr>
        <w:pStyle w:val="ListBullet"/>
        <w:jc w:val="both"/>
      </w:pPr>
      <w:r>
        <w:rPr>
          <w:b/>
          <w:sz w:val="22"/>
        </w:rPr>
        <w:t>2016:</w:t>
      </w:r>
      <w:r>
        <w:rPr>
          <w:b w:val="0"/>
          <w:sz w:val="22"/>
        </w:rPr>
        <w:t xml:space="preserve"> Achieved annual revenues from operations exceeding ₹30 Crores. The company also received ISO 9001:2015 certification for sourcing, trading, and supply chain services, and ISO 14001:2015 certification as a Manufacturer and Trader of various solid surfaces.</w:t>
      </w:r>
    </w:p>
    <w:p>
      <w:pPr>
        <w:pStyle w:val="ListBullet"/>
        <w:jc w:val="both"/>
      </w:pPr>
      <w:r>
        <w:rPr>
          <w:b/>
          <w:sz w:val="22"/>
        </w:rPr>
        <w:t>2017:</w:t>
      </w:r>
      <w:r>
        <w:rPr>
          <w:b w:val="0"/>
          <w:sz w:val="22"/>
        </w:rPr>
        <w:t xml:space="preserve"> Established a state-of-the-art manufacturing unit in Vapi, Gujarat, commenced commercial production, and began exporting products under its own brand.</w:t>
      </w:r>
    </w:p>
    <w:p>
      <w:pPr>
        <w:pStyle w:val="ListBullet"/>
        <w:jc w:val="both"/>
      </w:pPr>
      <w:r>
        <w:rPr>
          <w:b/>
          <w:sz w:val="22"/>
        </w:rPr>
        <w:t>2018:</w:t>
      </w:r>
      <w:r>
        <w:rPr>
          <w:b w:val="0"/>
          <w:sz w:val="22"/>
        </w:rPr>
        <w:t xml:space="preserve"> Annual revenues from operations surpassed ₹40 Crores.</w:t>
      </w:r>
    </w:p>
    <w:p>
      <w:pPr>
        <w:pStyle w:val="ListBullet"/>
        <w:jc w:val="both"/>
      </w:pPr>
      <w:r>
        <w:rPr>
          <w:b/>
          <w:sz w:val="22"/>
        </w:rPr>
        <w:t>2023:</w:t>
      </w:r>
      <w:r>
        <w:rPr>
          <w:b w:val="0"/>
          <w:sz w:val="22"/>
        </w:rPr>
        <w:t xml:space="preserve"> Converted from a Private Limited Company to a Public Limited Company.</w:t>
      </w:r>
    </w:p>
    <w:p>
      <w:pPr>
        <w:pStyle w:val="ListBullet"/>
        <w:jc w:val="both"/>
      </w:pPr>
      <w:r>
        <w:rPr>
          <w:b/>
          <w:sz w:val="22"/>
        </w:rPr>
        <w:t>2024:</w:t>
      </w:r>
      <w:r>
        <w:rPr>
          <w:b w:val="0"/>
          <w:sz w:val="22"/>
        </w:rPr>
        <w:t xml:space="preserve"> Listed on the NSE Emerge Platform.</w:t>
      </w:r>
    </w:p>
    <w:p>
      <w:pPr>
        <w:pStyle w:val="ListBullet"/>
        <w:jc w:val="both"/>
      </w:pPr>
      <w:r>
        <w:rPr>
          <w:b/>
          <w:sz w:val="22"/>
        </w:rPr>
        <w:t>2024-25:</w:t>
      </w:r>
      <w:r>
        <w:rPr>
          <w:b w:val="0"/>
          <w:sz w:val="22"/>
        </w:rPr>
        <w:t xml:space="preserve"> Marked a defining year with the launch of ‘Heronitez™’, further expanding the company’s product portfolio.</w:t>
      </w:r>
    </w:p>
    <w:p>
      <w:pPr>
        <w:jc w:val="both"/>
      </w:pPr>
      <w:r>
        <w:rPr>
          <w:b/>
          <w:sz w:val="22"/>
        </w:rPr>
        <w:t>Business Activities:</w:t>
      </w:r>
    </w:p>
    <w:p>
      <w:pPr>
        <w:jc w:val="both"/>
      </w:pPr>
      <w:r>
        <w:rPr>
          <w:b w:val="0"/>
          <w:sz w:val="22"/>
        </w:rPr>
        <w:t>Durlax Top Surface Limited is engaged in the manufacturing and trading of various kinds of solid surfaces, in addition to providing sourcing, trading, and supply chain services. Its product portfolio includes brands such as Luxor®, Aspiron®, and Heronitez™.</w:t>
      </w:r>
    </w:p>
    <w:p>
      <w:pPr>
        <w:jc w:val="both"/>
      </w:pPr>
      <w:r>
        <w:rPr>
          <w:b/>
          <w:sz w:val="22"/>
        </w:rPr>
        <w:t>Management and Governance:</w:t>
      </w:r>
    </w:p>
    <w:p>
      <w:pPr>
        <w:jc w:val="both"/>
      </w:pPr>
      <w:r>
        <w:rPr>
          <w:b w:val="0"/>
          <w:sz w:val="22"/>
        </w:rPr>
        <w:t>The company is governed by its Board of Directors and managed by its Key Managerial Personnel.</w:t>
      </w:r>
    </w:p>
    <w:p>
      <w:pPr>
        <w:jc w:val="both"/>
      </w:pPr>
      <w:r>
        <w:rPr>
          <w:b/>
          <w:sz w:val="22"/>
        </w:rPr>
        <w:t>Key Managerial Personnel (KMP) as of March 31, 2025:</w:t>
      </w:r>
    </w:p>
    <w:p>
      <w:pPr>
        <w:pStyle w:val="ListBullet"/>
        <w:jc w:val="both"/>
      </w:pPr>
      <w:r>
        <w:rPr>
          <w:b w:val="0"/>
          <w:sz w:val="22"/>
        </w:rPr>
        <w:t>Mr. Shravan Suthar, Managing Director (DIN: 02985316)</w:t>
      </w:r>
    </w:p>
    <w:p>
      <w:pPr>
        <w:pStyle w:val="ListBullet"/>
        <w:jc w:val="both"/>
      </w:pPr>
      <w:r>
        <w:rPr>
          <w:b w:val="0"/>
          <w:sz w:val="22"/>
        </w:rPr>
        <w:t>Mr. Lalit Suthar, Whole Time Director (DIN: 02985324)</w:t>
      </w:r>
    </w:p>
    <w:p>
      <w:pPr>
        <w:pStyle w:val="ListBullet"/>
        <w:jc w:val="both"/>
      </w:pPr>
      <w:r>
        <w:rPr>
          <w:b w:val="0"/>
          <w:sz w:val="22"/>
        </w:rPr>
        <w:t>Ms. Kalpana Nikam, Chief Financial Officer (appointed w.e.f. 19.09.2023)</w:t>
      </w:r>
    </w:p>
    <w:p>
      <w:pPr>
        <w:pStyle w:val="ListBullet"/>
        <w:jc w:val="both"/>
      </w:pPr>
      <w:r>
        <w:rPr>
          <w:b w:val="0"/>
          <w:sz w:val="22"/>
        </w:rPr>
        <w:t>Ms. Komal Upendra Birla, Company Secretary (appointed w.e.f. 20.05.2024)</w:t>
      </w:r>
    </w:p>
    <w:p>
      <w:pPr>
        <w:jc w:val="both"/>
      </w:pPr>
      <w:r>
        <w:rPr>
          <w:b w:val="0"/>
          <w:sz w:val="22"/>
        </w:rPr>
        <w:t>KMP are reported to be interested in the following entities: Laxmichand Suthar HUF, SDC Enterprises (Shravan Suthar HUF), Lalit Suthar HUF, Pankaj Suthar HUF, Laxmichand Suthar Proprietorship, Lalit Suthar Proprietorship, Shravan Design Co, Ardent Projects, Kuber Trading Co, and Neev Furnitech.</w:t>
      </w:r>
    </w:p>
    <w:p>
      <w:pPr>
        <w:jc w:val="both"/>
      </w:pPr>
      <w:r>
        <w:rPr>
          <w:b/>
          <w:sz w:val="22"/>
        </w:rPr>
        <w:t>Board of Directors:</w:t>
      </w:r>
    </w:p>
    <w:p>
      <w:pPr>
        <w:jc w:val="both"/>
      </w:pPr>
      <w:r>
        <w:rPr>
          <w:b w:val="0"/>
          <w:sz w:val="22"/>
        </w:rPr>
        <w:t>The Board of Directors includes executive and independent directors. During the year, 11 Board Meetings were convened. The Independent Directors held separate meetings to evaluate the performance of non-independent directors.</w:t>
      </w:r>
    </w:p>
    <w:p>
      <w:pPr>
        <w:pStyle w:val="ListBullet"/>
        <w:jc w:val="both"/>
      </w:pPr>
      <w:r>
        <w:rPr>
          <w:b w:val="0"/>
          <w:sz w:val="22"/>
        </w:rPr>
        <w:t>Mr. Shravan Suthar (Managing Director)</w:t>
      </w:r>
    </w:p>
    <w:p>
      <w:pPr>
        <w:pStyle w:val="ListBullet"/>
        <w:jc w:val="both"/>
      </w:pPr>
      <w:r>
        <w:rPr>
          <w:b w:val="0"/>
          <w:sz w:val="22"/>
        </w:rPr>
        <w:t>Mr. Lalit Suthar (Whole Time Director)</w:t>
      </w:r>
    </w:p>
    <w:p>
      <w:pPr>
        <w:pStyle w:val="ListBullet"/>
        <w:jc w:val="both"/>
      </w:pPr>
      <w:r>
        <w:rPr>
          <w:b w:val="0"/>
          <w:sz w:val="22"/>
        </w:rPr>
        <w:t>Mr. Narayan Uttam Samantra (Independent Director)</w:t>
      </w:r>
    </w:p>
    <w:p>
      <w:pPr>
        <w:pStyle w:val="ListBullet"/>
        <w:jc w:val="both"/>
      </w:pPr>
      <w:r>
        <w:rPr>
          <w:b w:val="0"/>
          <w:sz w:val="22"/>
        </w:rPr>
        <w:t>Ms. Palak Jain (Independent Director, appointed w.e.f. 22.08.2024)</w:t>
      </w:r>
    </w:p>
    <w:p>
      <w:pPr>
        <w:pStyle w:val="ListBullet"/>
        <w:jc w:val="both"/>
      </w:pPr>
      <w:r>
        <w:rPr>
          <w:b w:val="0"/>
          <w:sz w:val="22"/>
        </w:rPr>
        <w:t>Mr. Bhavesh Jain (Independent Director, appointed w.e.f. 22.08.2024)</w:t>
      </w:r>
    </w:p>
    <w:p>
      <w:pPr>
        <w:jc w:val="both"/>
      </w:pPr>
      <w:r>
        <w:rPr>
          <w:b w:val="0"/>
          <w:sz w:val="22"/>
        </w:rPr>
        <w:t>Note that Ms. Roxy Teniwal and Mr. Abhishek Bansal, previously Independent Directors, resigned effective 22.08.2024.</w:t>
      </w:r>
    </w:p>
    <w:p>
      <w:pPr>
        <w:pStyle w:val="Heading1"/>
        <w:jc w:val="left"/>
      </w:pPr>
      <w:r>
        <w:rPr>
          <w:b/>
          <w:sz w:val="28"/>
        </w:rPr>
        <w:t>Financial Analysis</w:t>
      </w:r>
    </w:p>
    <w:p>
      <w:pPr>
        <w:jc w:val="both"/>
      </w:pPr>
      <w:r>
        <w:rPr>
          <w:b w:val="0"/>
          <w:sz w:val="22"/>
        </w:rPr>
        <w:t>The Company demonstrated a robust financial performance in the fiscal year ended 30 March 2025, primarily driven by significant revenue growth and enhanced profitability.</w:t>
      </w:r>
    </w:p>
    <w:p>
      <w:pPr>
        <w:jc w:val="both"/>
      </w:pPr>
      <w:r>
        <w:rPr>
          <w:b/>
          <w:sz w:val="22"/>
        </w:rPr>
        <w:t>Income Statement Analysis:</w:t>
      </w:r>
    </w:p>
    <w:p>
      <w:pPr>
        <w:jc w:val="both"/>
      </w:pPr>
      <w:r>
        <w:rPr>
          <w:b w:val="0"/>
          <w:sz w:val="22"/>
        </w:rPr>
        <w:t>Total Revenue increased substantially by 37.4% to INR 12,482.01 Lakhs in FY2025 from INR 9,083.93 Lakhs in FY2024 (Evidence 1, 7). This growth was predominantly fueled by Revenue from Operations (gross), which rose by 35.1% to INR 12,265.25 Lakhs in FY2025 from INR 9,076.42 Lakhs in FY2024. Other income also saw a notable increase to INR 216.76 Lakhs in FY2025 from INR 7.51 Lakhs in FY2024 (Evidence 1, 7). The reported 'revenue' value of INR 122.56 Crores in the database is closely aligned with the 'Revenue from operations (gross)' figure of INR 12,265.25 Lakhs (122.65 Crores) from the financial statements, as confirmed by reconciliation.</w:t>
      </w:r>
    </w:p>
    <w:p>
      <w:pPr>
        <w:jc w:val="both"/>
      </w:pPr>
      <w:r>
        <w:rPr>
          <w:b w:val="0"/>
          <w:sz w:val="22"/>
        </w:rPr>
        <w:t>Total Expenses increased by 33.9% to INR 11,485.29 Lakhs in FY2025 from INR 8,575.26 Lakhs in FY2024 (Evidence 7). Key expense components include Cost of materials consumed, which increased to INR 9,803.38 Lakhs in FY2025 from INR 7,447.64 Lakhs in FY2024. Changes in inventories (net decrease) were INR -13.21 Lakhs in FY2025 compared to INR -329.54 Lakhs in FY2024 (Evidence 15). Employee benefits expense also rose to INR 231.30 Lakhs in FY2025 from INR 169.79 Lakhs in FY2024. Finance costs slightly decreased to INR 374.54 Lakhs in FY2025 from INR 378.59 Lakhs in FY2024, while depreciation and amortisation expense increased to INR 245.43 Lakhs from INR 223.77 Lakhs over the same period (Evidence 7).</w:t>
      </w:r>
    </w:p>
    <w:p>
      <w:pPr>
        <w:jc w:val="both"/>
      </w:pPr>
      <w:r>
        <w:rPr>
          <w:b w:val="0"/>
          <w:sz w:val="22"/>
        </w:rPr>
        <w:t>Profit Before Tax (PBT) demonstrated significant growth, more than doubling to INR 996.72 Lakhs in FY2025 from INR 412.28 Lakhs in FY2024 (Evidence 7). After accounting for tax expenses, Profit from Continuing Operations (Net Profit) increased by 87.7% to INR 749.66 Lakhs in FY2025 from INR 399.34 Lakhs in FY2024 (Evidence 7). The reported 'net_profit' of INR 7.50 Crores in the database is consistent with the Net Profit of INR 749.66 Lakhs (7.4966 Crores) from the financial statements. Tax expenses increased substantially to INR 247.06 Lakhs (Current tax: 259.35 Lakhs, Deferred tax: -12.29 Lakhs) in FY2025 from INR 12.94 Lakhs (Current tax: 13.00 Lakhs, Deferred tax: -0.06 Lakhs) in FY2024 (Evidence 7).</w:t>
      </w:r>
    </w:p>
    <w:p>
      <w:pPr>
        <w:jc w:val="both"/>
      </w:pPr>
      <w:r>
        <w:rPr>
          <w:b/>
          <w:sz w:val="22"/>
        </w:rPr>
        <w:t>Balance Sheet Analysis (as at 31 March):</w:t>
      </w:r>
    </w:p>
    <w:p>
      <w:pPr>
        <w:jc w:val="both"/>
      </w:pPr>
      <w:r>
        <w:rPr>
          <w:b w:val="0"/>
          <w:sz w:val="22"/>
        </w:rPr>
        <w:t>Total Borrowings (Long-term and Short-term) decreased to INR 4,583.67 Lakhs in FY2025 from INR 6,070.71 Lakhs in FY2024 (Evidence 8). This decline was primarily driven by a significant reduction in long-term borrowings, which fell to INR 667.11 Lakhs in FY2025 from INR 2,070.88 Lakhs in FY2024. Short-term borrowings remained relatively stable at INR 3,916.56 Lakhs in FY2025 compared to INR 3,999.83 Lakhs in FY2024 (Evidence 8). The database 'borrowings' figure of INR 45.84 Crores aligns with the total borrowings of INR 4,583.67 Lakhs (45.8367 Crores).</w:t>
      </w:r>
    </w:p>
    <w:p>
      <w:pPr>
        <w:jc w:val="both"/>
      </w:pPr>
      <w:r>
        <w:rPr>
          <w:b w:val="0"/>
          <w:sz w:val="22"/>
        </w:rPr>
        <w:t>Shareholders' Funds significantly increased to INR 5,768.42 Lakhs in FY2025 from INR 2,162.76 Lakhs in FY2024, supported by an increase in Share Capital and a substantial rise in Reserves and Surplus (Evidence 8). Property, Plant &amp; Equipment decreased to INR 1,839.43 Lakhs in FY2025 from INR 2,032.94 Lakhs in FY2024 (Evidence 8).</w:t>
      </w:r>
    </w:p>
    <w:p>
      <w:pPr>
        <w:jc w:val="both"/>
      </w:pPr>
      <w:r>
        <w:rPr>
          <w:b w:val="0"/>
          <w:sz w:val="22"/>
        </w:rPr>
        <w:t>Current Assets saw an increase. Inventories grew marginally to INR 4,993.90 Lakhs in FY2025 from INR 4,930.31 Lakhs in FY2024 (Evidence 8). The database 'inventory' figure of INR 49.94 Crores is consistent with this. Trade Receivables also increased to INR 3,503.40 Lakhs in FY2025 from INR 3,008.77 Lakhs in FY2024 (Evidence 8). A significant portion, 91.0% (INR 3,187.85 Lakhs), of Trade Receivables as of March 31, 2025, were less than 6 months old (Evidence 11). The database 'trade_receivables' figure of INR 35.03 Crores is consistent with this. Trade Payables decreased to INR 821.39 Lakhs in FY2025 from INR 2,141.07 Lakhs in FY2024 (Evidence 8).</w:t>
      </w:r>
    </w:p>
    <w:p>
      <w:pPr>
        <w:jc w:val="both"/>
      </w:pPr>
      <w:r>
        <w:rPr>
          <w:b w:val="0"/>
          <w:sz w:val="22"/>
        </w:rPr>
        <w:t>Cash and Bank Balance slightly decreased to INR 115.38 Lakhs in FY2025 from INR 122.60 Lakhs in FY2024 (Evidence 8, 12). The 'cash_and_bank' figure of INR 1.15 Crores in the database aligns with the balance sheet figure of INR 115.38 Lakhs (1.1538 Crores). Of the total cash and bank balance, INR 101.09 Lakhs in FY2025 (FY2024: INR 110.41 Lakhs) is held as Margin Money with banks, representing a fixed deposit which is a lien against Letter of Credit facilities (Evidence 12, 13). This indicates that the majority of the reported cash and bank balance is restricted. Freely available cash, including cash on hand and current accounts, amounted to INR 14.29 Lakhs in FY2025 (FY2024: INR 12.20 Lakhs) (Evidence 12).</w:t>
      </w:r>
    </w:p>
    <w:p>
      <w:pPr>
        <w:jc w:val="both"/>
      </w:pPr>
      <w:r>
        <w:rPr>
          <w:b/>
          <w:sz w:val="22"/>
        </w:rPr>
        <w:t>Cash Flow Analysis:</w:t>
      </w:r>
    </w:p>
    <w:p>
      <w:pPr>
        <w:jc w:val="both"/>
      </w:pPr>
      <w:r>
        <w:rPr>
          <w:b w:val="0"/>
          <w:sz w:val="22"/>
        </w:rPr>
        <w:t>Net Cash Flow from Operating Activities (CFO) showed significant improvement, reducing its negative outflow to INR -678.25 Lakhs in FY2025 from INR -1,660.47 Lakhs in FY2024 (Evidence 5, 10). The reported 'cfo' of INR -6.78 Crores in the database is consistent with the Net Cash Flow from Operating Activities of INR -678.25 Lakhs (-6.7825 Crores). This improvement was largely due to decreased (increase)/decrease in Trade Receivables, Inventories, and a decrease in Trade Payables (Evidence 10).</w:t>
      </w:r>
    </w:p>
    <w:p>
      <w:pPr>
        <w:jc w:val="both"/>
      </w:pPr>
      <w:r>
        <w:rPr>
          <w:b w:val="0"/>
          <w:sz w:val="22"/>
        </w:rPr>
        <w:t>The Net Increase / (Decrease) in Cash &amp; Cash Equivalents for the year was INR 2.10 Lakhs in FY2025 (FY2024: INR 8.23 Lakhs), bringing the Cash and Cash Equivalents at the end of the year to INR 14.29 Lakhs (FY2024: INR 12.20 Lakhs) (Evidence 6). The database 'net_cash_flow' figure of INR 0.02 Crores aligns with the net increase of INR 2.10 Lakhs (0.021 Crores).</w:t>
      </w:r>
    </w:p>
    <w:p>
      <w:pPr>
        <w:pStyle w:val="Heading1"/>
        <w:jc w:val="left"/>
      </w:pPr>
      <w:r>
        <w:rPr>
          <w:b/>
          <w:sz w:val="28"/>
        </w:rPr>
        <w:t>Banking Conduct</w:t>
      </w:r>
    </w:p>
    <w:p>
      <w:pPr>
        <w:jc w:val="both"/>
      </w:pPr>
      <w:r>
        <w:rPr>
          <w:b w:val="0"/>
          <w:sz w:val="22"/>
        </w:rPr>
        <w:t>Durlax Top Surface Limited demonstrates sound banking conduct, with no reported defaults on repayment of secured or unsecured loans and interest during the financial year ending March 31, 2025, as explicitly stated in the company's financial notes. This positive repayment behavior is corroborated by regular term loan EMI debits observed in the Sample Bank of India Cash Credit (CC) account statement during the period of October 1, 2025, to December 31, 2025.</w:t>
      </w:r>
    </w:p>
    <w:p>
      <w:pPr>
        <w:jc w:val="both"/>
      </w:pPr>
      <w:r>
        <w:rPr>
          <w:b w:val="0"/>
          <w:sz w:val="22"/>
        </w:rPr>
        <w:t>The company maintains a Cash Credit facility with Sample Bank of India (Account No. XXXX XXXX 4471) with a sanctioned limit of INR 3,500.00 Lakhs. Analysis of the bank statement for Q3 FY2026 (October-December 2025) indicates active utilization of this facility, with balances fluctuating and occasionally dipping into negative figures, consistent with drawings against the sanctioned limit. However, the account balances remain well within the approved credit limits.</w:t>
      </w:r>
    </w:p>
    <w:p>
      <w:pPr>
        <w:jc w:val="both"/>
      </w:pPr>
      <w:r>
        <w:rPr>
          <w:b w:val="0"/>
          <w:sz w:val="22"/>
        </w:rPr>
        <w:t>As at March 31, 2025, the company's total cash and bank balances stood at INR 3,503.40 Lakhs, an increase from INR 3,008.77 Lakhs as at March 31, 2024. A detailed breakdown reveals that INR 3,187.85 Lakhs (2025) and INR 2,905.64 Lakhs (2024) are held for periods less than 6 months, suggesting strong short-term liquidity. Cash on hand was INR 12.95 Lakhs as at March 31, 2025 (INR 11.54 Lakhs as at March 31, 2024).</w:t>
      </w:r>
    </w:p>
    <w:p>
      <w:pPr>
        <w:jc w:val="both"/>
      </w:pPr>
      <w:r>
        <w:rPr>
          <w:b w:val="0"/>
          <w:sz w:val="22"/>
        </w:rPr>
        <w:t>The company utilizes a diverse range of credit facilities from multiple financial institutions:</w:t>
      </w:r>
    </w:p>
    <w:p>
      <w:pPr>
        <w:pStyle w:val="ListBullet"/>
        <w:jc w:val="both"/>
      </w:pPr>
      <w:r>
        <w:rPr>
          <w:b/>
          <w:sz w:val="22"/>
        </w:rPr>
        <w:t>Working Capital:</w:t>
      </w:r>
      <w:r>
        <w:rPr>
          <w:b w:val="0"/>
          <w:sz w:val="22"/>
        </w:rPr>
        <w:t xml:space="preserve"> The company avails medium-term working capital facilities of INR 1,100.00 Lakhs from Punjab National Bank and INR 1,900.00 Lakhs from Axis Bank Ltd, secured by hypothecation of stock, book debts, current assets, land, building, plant &amp; machinery, and office premises, along with personal guarantees. Overdraft facilities amounted to INR 2,946.55 Lakhs as at March 31, 2025 (INR 3,036.40 Lakhs as at March 31, 2024).</w:t>
      </w:r>
    </w:p>
    <w:p>
      <w:pPr>
        <w:pStyle w:val="ListBullet"/>
        <w:jc w:val="both"/>
      </w:pPr>
      <w:r>
        <w:rPr>
          <w:b/>
          <w:sz w:val="22"/>
        </w:rPr>
        <w:t>Letter of Credit:</w:t>
      </w:r>
      <w:r>
        <w:rPr>
          <w:b w:val="0"/>
          <w:sz w:val="22"/>
        </w:rPr>
        <w:t xml:space="preserve"> A Letter of Credit facility of INR 730.00 Lakhs is availed from Punjab National Bank, backed by a 15% Cash Margin Fixed Deposit and personal guarantees. The outstanding Letter of Credit amounted to INR 598.50 Lakhs as at March 31, 2025 (INR 662.86 Lakhs as at March 31, 2024).</w:t>
      </w:r>
    </w:p>
    <w:p>
      <w:pPr>
        <w:pStyle w:val="ListBullet"/>
        <w:jc w:val="both"/>
      </w:pPr>
      <w:r>
        <w:rPr>
          <w:b/>
          <w:sz w:val="22"/>
        </w:rPr>
        <w:t>Term Loans (Secured):</w:t>
      </w:r>
      <w:r>
        <w:rPr>
          <w:b w:val="0"/>
          <w:sz w:val="22"/>
        </w:rPr>
        <w:t xml:space="preserve"> Machinery term loans are sourced from Mahindra &amp; Mahindra Financial Services Limited (INR 54.86 Lakhs and INR 206.00 Lakhs), secured by plant &amp; machinery, security deposits, and personal guarantees. A term loan of INR 300.00 Lakhs from Tata Capital is secured by a lien on a Fixed Deposit of INR 150.00 Lakhs and personal guarantees. The non-current portion of term loans stood at INR 330.09 Lakhs as at March 31, 2025 (INR 360.65 Lakhs as at March 31, 2024).</w:t>
      </w:r>
    </w:p>
    <w:p>
      <w:pPr>
        <w:pStyle w:val="ListBullet"/>
        <w:jc w:val="both"/>
      </w:pPr>
      <w:r>
        <w:rPr>
          <w:b/>
          <w:sz w:val="22"/>
        </w:rPr>
        <w:t>Unsecured Loans:</w:t>
      </w:r>
      <w:r>
        <w:rPr>
          <w:b w:val="0"/>
          <w:sz w:val="22"/>
        </w:rPr>
        <w:t xml:space="preserve"> The company has various unsecured loan facilities including INR 39.7 Lakhs from Deutsche Bank, INR 50.00 Lakhs from Ambit Finvest Private Limited, INR 35.15 Lakhs from HDFC Bank Limited, and INR 30.15 Lakhs from Hero Fincorp Limited. Additionally, unsecured loans from Directors and Directors' Relatives are significant, though their non-current portions have reduced substantially from the previous year (Directors: INR 90.37 Lakhs in 2025 vs. INR 1,095.95 Lakhs in 2024; Director's Relatives: INR 223.87 Lakhs in 2025 vs. INR 296.37 Lakhs in 2024). Unsecured loans from Body Corporates and Banks/FIs also show a year-on-year decrease in their non-current portions.</w:t>
      </w:r>
    </w:p>
    <w:p>
      <w:pPr>
        <w:pStyle w:val="Heading1"/>
        <w:jc w:val="left"/>
      </w:pPr>
      <w:r>
        <w:rPr>
          <w:b/>
          <w:sz w:val="28"/>
        </w:rPr>
        <w:t>Tax and Statutory Compliance</w:t>
      </w:r>
    </w:p>
    <w:p>
      <w:pPr>
        <w:jc w:val="both"/>
      </w:pPr>
      <w:r>
        <w:rPr>
          <w:b/>
          <w:sz w:val="22"/>
        </w:rPr>
        <w:t>Tax and Statutory Compliance</w:t>
      </w:r>
    </w:p>
    <w:p>
      <w:pPr>
        <w:jc w:val="both"/>
      </w:pPr>
      <w:r>
        <w:rPr>
          <w:b w:val="0"/>
          <w:sz w:val="22"/>
        </w:rPr>
        <w:t>The company demonstrates a strong record of statutory compliance. As per the Annual Report for 2024-25, the company has been generally regular in depositing undisputed statutory dues, including Income-tax, Service tax, Cess, and other material statutory dues, with the appropriate authorities. Furthermore, the company reported no outstanding dues on account of Provident Fund, ESIC, Sales Tax, Custom Duty, or Excise Duty during this period.</w:t>
      </w:r>
    </w:p>
    <w:p>
      <w:pPr>
        <w:jc w:val="both"/>
      </w:pPr>
      <w:r>
        <w:rPr>
          <w:b w:val="0"/>
          <w:sz w:val="22"/>
        </w:rPr>
        <w:t>In terms of tax expenses, the company recorded a net total tax expense of 116.88 Lakhs for the year ended March 30, 2025, significantly higher than 11.18 Lakhs for the year ended March 31, 2024. This includes a provision for current tax of 119.20 Lakhs in FY2025, up from 13.00 Lakhs in FY2024. Deferred tax showed a debit balance of (2.32) Lakhs in FY2025 compared to (1.82) Lakhs in FY2024.</w:t>
      </w:r>
    </w:p>
    <w:p>
      <w:pPr>
        <w:jc w:val="both"/>
      </w:pPr>
      <w:r>
        <w:rPr>
          <w:b w:val="0"/>
          <w:sz w:val="22"/>
        </w:rPr>
        <w:t>Balances with Revenue Authorities* increased to 111.88 Lakhs as of March 31, 2025, from 16.48 Lakhs as of March 31, 2024. GST Credit also rose to 85.99 Lakhs in FY2025 from 45.35 Lakhs in FY2024. Operational records also indicate regular payments, such as a GST payment of 3,80,575.03 on December 7, 2025.</w:t>
      </w:r>
    </w:p>
    <w:p>
      <w:pPr>
        <w:pStyle w:val="Heading1"/>
        <w:jc w:val="left"/>
      </w:pPr>
      <w:r>
        <w:rPr>
          <w:b/>
          <w:sz w:val="28"/>
        </w:rPr>
        <w:t>Audit and Compliance</w:t>
      </w:r>
    </w:p>
    <w:p>
      <w:pPr>
        <w:jc w:val="both"/>
      </w:pPr>
      <w:r>
        <w:rPr>
          <w:b/>
          <w:sz w:val="22"/>
        </w:rPr>
        <w:t>Audit and Compliance</w:t>
      </w:r>
    </w:p>
    <w:p>
      <w:pPr>
        <w:jc w:val="both"/>
      </w:pPr>
      <w:r>
        <w:rPr>
          <w:b w:val="0"/>
          <w:sz w:val="22"/>
        </w:rPr>
        <w:t>The financial statements for the year ended March 31, 2025, are in agreement with the Company's books of account, which have been properly maintained. The financial statements, comprising the Balance Sheet, Statement of Profit and Loss, and Cash Flow Statement, comply with the Accounting Standards specified under Section 133 of the Act, read with Rule 7 of the Companies (Accounts) Rules, 2014.</w:t>
      </w:r>
    </w:p>
    <w:p>
      <w:pPr>
        <w:jc w:val="both"/>
      </w:pPr>
      <w:r>
        <w:rPr>
          <w:b w:val="0"/>
          <w:sz w:val="22"/>
        </w:rPr>
        <w:t>Regarding internal controls, the auditors assess the adequacy of internal financial controls over financial reporting and communicate any significant deficiencies identified during their audit to those charged with governance. The full extent of their findings on the operating effectiveness of these controls is not detailed in the provided evidence.</w:t>
      </w:r>
    </w:p>
    <w:p>
      <w:pPr>
        <w:jc w:val="both"/>
      </w:pPr>
      <w:r>
        <w:rPr>
          <w:b w:val="0"/>
          <w:sz w:val="22"/>
        </w:rPr>
        <w:t>As of March 31, 2025, based on written representations and Board records, no directors are disqualified under Section 164(2) of the Act. The auditors have affirmed their compliance with relevant ethical requirements concerning independence and have communicated any matters bearing on their independence to those charged with governance.</w:t>
      </w:r>
    </w:p>
    <w:p>
      <w:pPr>
        <w:jc w:val="both"/>
      </w:pPr>
      <w:r>
        <w:rPr>
          <w:b w:val="0"/>
          <w:sz w:val="22"/>
        </w:rPr>
        <w:t>The audit includes an evaluation of the overall presentation, structure, content, and disclosures within the financial statements to ensure fair presentation. While the auditor's report includes a standard statement noting that "future events or conditions may cause the Company to cease to continue as a going concern," this is presented as a general audit consideration of inherent uncertainty, rather than an explicit qualification on the Company's current going concern status. The auditors' conclusions are based on evidence obtained up to the date of their report. Key audit matters are discussed with those charged with governance, although specific details are not provided in the supplied evidence.</w:t>
      </w:r>
    </w:p>
    <w:p>
      <w:pPr>
        <w:pStyle w:val="Heading1"/>
        <w:jc w:val="left"/>
      </w:pPr>
      <w:r>
        <w:rPr>
          <w:b/>
          <w:sz w:val="28"/>
        </w:rPr>
        <w:t>Risk Assessment</w:t>
      </w:r>
    </w:p>
    <w:p>
      <w:pPr>
        <w:jc w:val="both"/>
      </w:pPr>
      <w:r>
        <w:rPr>
          <w:b/>
          <w:sz w:val="22"/>
        </w:rPr>
        <w:t>Risk Assessment</w:t>
      </w:r>
    </w:p>
    <w:p>
      <w:pPr>
        <w:jc w:val="both"/>
      </w:pPr>
      <w:r>
        <w:rPr>
          <w:b w:val="0"/>
          <w:sz w:val="22"/>
        </w:rPr>
        <w:t>The company's financial risk profile has seen a significant positive shift in the fiscal year ended March 31, 2025, primarily driven by a substantial equity infusion and strategic debt reduction.</w:t>
      </w:r>
    </w:p>
    <w:p>
      <w:pPr>
        <w:jc w:val="both"/>
      </w:pPr>
      <w:r>
        <w:rPr>
          <w:b/>
          <w:sz w:val="22"/>
        </w:rPr>
        <w:t>Capital Structure and Leverage:</w:t>
      </w:r>
    </w:p>
    <w:p>
      <w:pPr>
        <w:jc w:val="both"/>
      </w:pPr>
      <w:r>
        <w:rPr>
          <w:b w:val="0"/>
          <w:sz w:val="22"/>
        </w:rPr>
        <w:t>As of March 31, 2025, Shareholders' funds increased significantly to 5,768.42 Lakhs from 2,162.76 Lakhs in the prior year. This substantial growth was largely attributable to an Initial Public Offer (IPO), which included a fresh issue of 4,200,000 equity shares at Rs. 68 per share (comprising Rs. 10 par value and Rs. 58 premium), resulting in an increase in Share Capital to 1,662.77 Lakhs (from 1,242.77 Lakhs) and Reserves and Surplus to 4,105.65 Lakhs (from 919.99 Lakhs). Consequently, the Debt-Equity Ratio improved dramatically by 71.69%, moving from 2.81 in FY2024 to a healthier 0.79 in FY2025, indicating a significant de-leveraging. Total debt (long-term and short-term borrowings combined) decreased from 6,070.71 Lakhs in FY2024 to 4,583.67 Lakhs in FY2025. Long-term borrowings, in particular, saw a considerable reduction from 2,070.88 Lakhs to 667.11 Lakhs. The company's total borrowings are well within the authorized borrowing limit of Rs. 200 Crores (20,000 Lakhs).</w:t>
      </w:r>
    </w:p>
    <w:p>
      <w:pPr>
        <w:jc w:val="both"/>
      </w:pPr>
      <w:r>
        <w:rPr>
          <w:b/>
          <w:sz w:val="22"/>
        </w:rPr>
        <w:t>Liquidity and Operating Cash Flow:</w:t>
      </w:r>
    </w:p>
    <w:p>
      <w:pPr>
        <w:jc w:val="both"/>
      </w:pPr>
      <w:r>
        <w:rPr>
          <w:b w:val="0"/>
          <w:sz w:val="22"/>
        </w:rPr>
        <w:t>The company's short-term liquidity, as indicated by the Current Ratio, improved significantly by 38.06% to 1.85 in FY2025 from 1.34 in FY2024, reflecting an increase in current assets and a decrease in current liabilities. However, Net Cash Flow from Operating Activities remains negative, though showing improvement from -1,660.47 Lakhs in FY2024 to -678.25 Lakhs in FY2025. This negative operating cash flow is primarily influenced by an increase in trade receivables (-494.63 Lakhs in FY2025) and a substantial decrease in trade payables (-1,319.68 Lakhs in FY2025), suggesting continued reliance on financing for operational requirements. Inventory turnover ratio improved to 1.98 from 1.70, while Trade Receivables turnover ratio slightly decreased to 3.77 from 3.95. Information for the Trade Payables turnover ratio is not fully available.</w:t>
      </w:r>
    </w:p>
    <w:p>
      <w:pPr>
        <w:jc w:val="both"/>
      </w:pPr>
      <w:r>
        <w:rPr>
          <w:b/>
          <w:sz w:val="22"/>
        </w:rPr>
        <w:t>Profitability and Debt Servicing:</w:t>
      </w:r>
    </w:p>
    <w:p>
      <w:pPr>
        <w:jc w:val="both"/>
      </w:pPr>
      <w:r>
        <w:rPr>
          <w:b w:val="0"/>
          <w:sz w:val="22"/>
        </w:rPr>
        <w:t>Net profit before taxes (as per the Cash Flow Statement, noting a discrepancy with other evidence and prioritizing the full-year explicit value) increased substantially from 412.28 Lakhs in FY2024 to 996.72 Lakhs in FY2025. Despite this, the Return on Equity Ratio saw a slight decline of 7.26%, from 0.20 to 0.19. The Debt Service Coverage Ratio (DSCR) improved from 0.27 in FY2024 to 0.34 in FY2025. While this improvement is attributed to higher EBIT and reduced debt servicing costs, the DSCR remains below 1, indicating that operating income is currently insufficient to cover debt service obligations, posing a continued risk.</w:t>
      </w:r>
    </w:p>
    <w:p>
      <w:pPr>
        <w:jc w:val="both"/>
      </w:pPr>
      <w:r>
        <w:rPr>
          <w:b/>
          <w:sz w:val="22"/>
        </w:rPr>
        <w:t>Borrowing Profile and Security:</w:t>
      </w:r>
    </w:p>
    <w:p>
      <w:pPr>
        <w:jc w:val="both"/>
      </w:pPr>
      <w:r>
        <w:rPr>
          <w:b w:val="0"/>
          <w:sz w:val="22"/>
        </w:rPr>
        <w:t>The company's borrowings include secured working capital facilities from Punjab National Bank (INR 1,100.00 Lakhs) and Axis Bank Ltd (INR 1,900.00 Lakhs). These facilities are secured by the hypothecation of stock, book debts, and all current assets, along with a pari passu charge on land, building, plant &amp; machinery, and office premises. Additionally, personal guarantees have been provided by Key Managerial Personnel (KMPs) including Mr. Shravan Suthar, Mr. Lalit Suthar, Mr. Laxmichand Suthar, and Mr. Pankaj Suthar for these facilities, as well as for a Letter of Credit facility of INR 730.00 Lakhs from Punjab National Bank.</w:t>
      </w:r>
    </w:p>
    <w:p>
      <w:pPr>
        <w:jc w:val="both"/>
      </w:pPr>
      <w:r>
        <w:rPr>
          <w:b/>
          <w:sz w:val="22"/>
        </w:rPr>
        <w:t>Contingent Liabilities:</w:t>
      </w:r>
    </w:p>
    <w:p>
      <w:pPr>
        <w:jc w:val="both"/>
      </w:pPr>
      <w:r>
        <w:rPr>
          <w:b w:val="0"/>
          <w:sz w:val="22"/>
        </w:rPr>
        <w:t>The company faces contingent liabilities related to the EPCG Scheme. A potential customs duty liability of Rs. 184.53 Lakhs exists if an export obligation, extended until April 28, 2026, is not fulfilled. Additionally, Rs. 85.69 Lakhs is disclosed as a contingent liability for other EPCG licenses pending final closure letters from DGFT, even though export obligations are reported as fulfilled.</w:t>
      </w:r>
    </w:p>
    <w:p>
      <w:pPr>
        <w:jc w:val="both"/>
      </w:pPr>
      <w:r>
        <w:rPr>
          <w:b/>
          <w:sz w:val="22"/>
        </w:rPr>
        <w:t>Restricted Cash:</w:t>
      </w:r>
    </w:p>
    <w:p>
      <w:pPr>
        <w:jc w:val="both"/>
      </w:pPr>
      <w:r>
        <w:rPr>
          <w:b w:val="0"/>
          <w:sz w:val="22"/>
        </w:rPr>
        <w:t>Fixed deposits totaling Rs. 127.93 Lakhs are pledged as security: Rs. 18.43 Lakhs for a Bank Guarantee in favor of DGFT and Rs. 109.50 Lakhs (15% cash margin) for a Letter of Credit facility. The Cash and Bank Balance reported on the Balance Sheet as of March 31, 2025, is Rs. 115.38 Lakhs. This figure is less than the total identified restricted fixed deposits, suggesting that a significant portion, if not all, of the reported cash and bank balance may not be freely available for operational use, or these pledged FDs are categorized under other asset lines. The Cash Flow Statement indicates Cash and cash equivalents at the end of the year as 14.29 Lakhs for FY2025, further highlighting the distinction between balance sheet cash and freely available equivalents.</w:t>
      </w:r>
    </w:p>
    <w:p>
      <w:pPr>
        <w:jc w:val="both"/>
      </w:pPr>
      <w:r>
        <w:rPr>
          <w:b/>
          <w:sz w:val="22"/>
        </w:rPr>
        <w:t>Related Party Transactions:</w:t>
      </w:r>
    </w:p>
    <w:p>
      <w:pPr>
        <w:jc w:val="both"/>
      </w:pPr>
      <w:r>
        <w:rPr>
          <w:b w:val="0"/>
          <w:sz w:val="22"/>
        </w:rPr>
        <w:t>The company has disclosed transactions with Key Managerial Personnel and their relatives, including Shravan Suthar, Lalit Suthar, Laxmichand Suthar, Pankaj Suthar, Neev Furnitech, and Urmila Suthar. These transactions are stated to be on an arm's length basis and in the ordinary course of business, with no materially significant conflicts of interest. However, the specific nature of all these 'transactions' and 'balances' (e.g., loans extended/received, services rendered) is not explicitly detailed, limiting a comprehensive assessment of related party risk.</w:t>
      </w:r>
    </w:p>
    <w:p>
      <w:pPr>
        <w:pStyle w:val="Heading1"/>
        <w:jc w:val="left"/>
      </w:pPr>
      <w:r>
        <w:rPr>
          <w:b/>
          <w:sz w:val="28"/>
        </w:rPr>
        <w:t>Collateral</w:t>
      </w:r>
    </w:p>
    <w:p>
      <w:pPr>
        <w:jc w:val="both"/>
      </w:pPr>
      <w:r>
        <w:rPr>
          <w:b/>
          <w:sz w:val="22"/>
        </w:rPr>
        <w:t>Collateral</w:t>
      </w:r>
    </w:p>
    <w:p>
      <w:pPr>
        <w:jc w:val="both"/>
      </w:pPr>
      <w:r>
        <w:rPr>
          <w:b w:val="0"/>
          <w:sz w:val="22"/>
        </w:rPr>
        <w:t>The Company is legally empowered to hypothecate, mortgage, pledge, and/or create a charge on all or any of its immovable and movable properties, both present and future, or on the whole or substantially the whole of its undertaking(s). This authority is granted pursuant to Section 180(1)(a) of the Companies Act, 2013, by way of a special resolution. The creation of such charges is undertaken as and when necessary to secure borrowings, subject to an overall ceiling approved by the Company's Members in accordance with Section 180(1)(c) of the Companies Act, 2013.</w:t>
      </w:r>
    </w:p>
    <w:p>
      <w:pPr>
        <w:jc w:val="both"/>
      </w:pPr>
      <w:r>
        <w:rPr>
          <w:b w:val="0"/>
          <w:sz w:val="22"/>
        </w:rPr>
        <w:t>These charges are intended to secure financial assistance, including loans (in rupee and/or foreign currency) and securities (comprising fully/partly convertible and/or non-convertible debentures), provided by lenders. The security extends to cover principal amounts, interest, additional interest, default interest, prepayment premia, fees, costs, charges, and expenses, including those arising from currency fluctuations.</w:t>
      </w:r>
    </w:p>
    <w:p>
      <w:pPr>
        <w:jc w:val="both"/>
      </w:pPr>
      <w:r>
        <w:rPr>
          <w:b w:val="0"/>
          <w:sz w:val="22"/>
        </w:rPr>
        <w:t>Based on the financial statements as of March 31, 2025, the following asset categories represent the potential pool of properties available for collateralization:</w:t>
      </w:r>
    </w:p>
    <w:p>
      <w:pPr>
        <w:pStyle w:val="ListBullet"/>
        <w:jc w:val="both"/>
      </w:pPr>
      <w:r>
        <w:rPr>
          <w:b/>
          <w:sz w:val="22"/>
        </w:rPr>
        <w:t>Property, Plant and Equipment:</w:t>
      </w:r>
      <w:r>
        <w:rPr>
          <w:b w:val="0"/>
          <w:sz w:val="22"/>
        </w:rPr>
        <w:t xml:space="preserve"> Valued at 1,839.43 as of March 31, 2025, a decrease from 2,032.94 as of March 31, 2024.</w:t>
      </w:r>
    </w:p>
    <w:p>
      <w:pPr>
        <w:pStyle w:val="ListBullet"/>
        <w:jc w:val="both"/>
      </w:pPr>
      <w:r>
        <w:rPr>
          <w:b/>
          <w:sz w:val="22"/>
        </w:rPr>
        <w:t>Intangible Assets:</w:t>
      </w:r>
      <w:r>
        <w:rPr>
          <w:b w:val="0"/>
          <w:sz w:val="22"/>
        </w:rPr>
        <w:t xml:space="preserve"> Valued at 2.03 as of March 31, 2025, a slight increase from 1.99 as of March 31, 2024.</w:t>
      </w:r>
    </w:p>
    <w:p>
      <w:pPr>
        <w:pStyle w:val="ListBullet"/>
        <w:jc w:val="both"/>
      </w:pPr>
      <w:r>
        <w:rPr>
          <w:b/>
          <w:sz w:val="22"/>
        </w:rPr>
        <w:t>Inventories:</w:t>
      </w:r>
      <w:r>
        <w:rPr>
          <w:b w:val="0"/>
          <w:sz w:val="22"/>
        </w:rPr>
        <w:t xml:space="preserve"> Valued at 4,993.90 as of March 31, 2025, an increase from 4,930.31 as of March 31, 2024.</w:t>
      </w:r>
    </w:p>
    <w:p>
      <w:pPr>
        <w:pStyle w:val="ListBullet"/>
        <w:jc w:val="both"/>
      </w:pPr>
      <w:r>
        <w:rPr>
          <w:b/>
          <w:sz w:val="22"/>
        </w:rPr>
        <w:t>Trade Receivables:</w:t>
      </w:r>
      <w:r>
        <w:rPr>
          <w:b w:val="0"/>
          <w:sz w:val="22"/>
        </w:rPr>
        <w:t xml:space="preserve"> Valued at 3,503.40 as of March 31, 2025, an increase from 3,008.77 as of March 31, 2024.</w:t>
      </w:r>
    </w:p>
    <w:p>
      <w:pPr>
        <w:pStyle w:val="ListBullet"/>
        <w:jc w:val="both"/>
      </w:pPr>
      <w:r>
        <w:rPr>
          <w:b/>
          <w:sz w:val="22"/>
        </w:rPr>
        <w:t>Cash and Bank Balance:</w:t>
      </w:r>
      <w:r>
        <w:rPr>
          <w:b w:val="0"/>
          <w:sz w:val="22"/>
        </w:rPr>
        <w:t xml:space="preserve"> Valued at 115.38 as of March 31, 2025, a decrease from 122.60 as of March 31, 2024. The evidence does not provide a breakdown to distinguish between freely available cash and restricted cash.</w:t>
      </w:r>
    </w:p>
    <w:p>
      <w:pPr>
        <w:pStyle w:val="Heading1"/>
        <w:jc w:val="left"/>
      </w:pPr>
      <w:r>
        <w:rPr>
          <w:b/>
          <w:sz w:val="28"/>
        </w:rPr>
        <w:t>Data Consistency Review</w:t>
      </w:r>
    </w:p>
    <w:p>
      <w:pPr>
        <w:jc w:val="both"/>
      </w:pPr>
      <w:r>
        <w:rPr>
          <w:b w:val="0"/>
          <w:sz w:val="22"/>
        </w:rPr>
        <w:t>A review of the financial data provided for reconciliation against internal database figures has been conducted. It is noted that while the reconciliation table indicates "Evidence (Lakhs) : FOUND" and a "Status : match" for each field, the actual financial statement figures in Lakhs required for independent verification were not provided in the 'Evidence' section of this memo. Consequently, a definitive numerical reconciliation cannot be performed to confirm the accuracy of the stated 'match' status.</w:t>
      </w:r>
    </w:p>
    <w:p>
      <w:pPr>
        <w:jc w:val="both"/>
      </w:pPr>
      <w:r>
        <w:rPr>
          <w:b w:val="0"/>
          <w:sz w:val="22"/>
        </w:rPr>
        <w:t>Based on the database values provided (in Crores) and applying the conversion rate of 1 Crore = 100 Lakhs, the following observations are made regarding the stated reconciliation:</w:t>
      </w:r>
    </w:p>
    <w:p>
      <w:pPr>
        <w:pStyle w:val="ListBullet"/>
        <w:jc w:val="both"/>
      </w:pPr>
      <w:r>
        <w:rPr>
          <w:b/>
          <w:sz w:val="22"/>
        </w:rPr>
        <w:t>Revenue:</w:t>
      </w:r>
      <w:r>
        <w:rPr>
          <w:b w:val="0"/>
          <w:sz w:val="22"/>
        </w:rPr>
        <w:t xml:space="preserve"> The database records revenue at INR 122.56 Crores, which equates to INR 12,256 Lakhs. The reconciliation table indicates a match with the evidence.</w:t>
      </w:r>
    </w:p>
    <w:p>
      <w:pPr>
        <w:pStyle w:val="ListBullet"/>
        <w:jc w:val="both"/>
      </w:pPr>
      <w:r>
        <w:rPr>
          <w:b/>
          <w:sz w:val="22"/>
        </w:rPr>
        <w:t>Net Profit:</w:t>
      </w:r>
      <w:r>
        <w:rPr>
          <w:b w:val="0"/>
          <w:sz w:val="22"/>
        </w:rPr>
        <w:t xml:space="preserve"> The database records net profit at INR 7.50 Crores, which equates to INR 750 Lakhs. The reconciliation table indicates a match with the evidence.</w:t>
      </w:r>
    </w:p>
    <w:p>
      <w:pPr>
        <w:pStyle w:val="ListBullet"/>
        <w:jc w:val="both"/>
      </w:pPr>
      <w:r>
        <w:rPr>
          <w:b/>
          <w:sz w:val="22"/>
        </w:rPr>
        <w:t>Borrowings:</w:t>
      </w:r>
      <w:r>
        <w:rPr>
          <w:b w:val="0"/>
          <w:sz w:val="22"/>
        </w:rPr>
        <w:t xml:space="preserve"> The database records borrowings at INR 45.84 Crores, which equates to INR 4,584 Lakhs. The reconciliation table indicates a match with the evidence.</w:t>
      </w:r>
    </w:p>
    <w:p>
      <w:pPr>
        <w:pStyle w:val="ListBullet"/>
        <w:jc w:val="both"/>
      </w:pPr>
      <w:r>
        <w:rPr>
          <w:b/>
          <w:sz w:val="22"/>
        </w:rPr>
        <w:t>Cash and Bank Balances:</w:t>
      </w:r>
      <w:r>
        <w:rPr>
          <w:b w:val="0"/>
          <w:sz w:val="22"/>
        </w:rPr>
        <w:t xml:space="preserve"> The database records cash and bank balances at INR 1.15 Crores, which equates to INR 115 Lakhs. As per instruction, this refers to the Balance Sheet line item and is distinct from the closing cash balance on the Cash Flow Statement. The reconciliation table indicates a match with the evidence.</w:t>
      </w:r>
    </w:p>
    <w:p>
      <w:pPr>
        <w:pStyle w:val="ListBullet"/>
        <w:jc w:val="both"/>
      </w:pPr>
      <w:r>
        <w:rPr>
          <w:b/>
          <w:sz w:val="22"/>
        </w:rPr>
        <w:t>Inventory:</w:t>
      </w:r>
      <w:r>
        <w:rPr>
          <w:b w:val="0"/>
          <w:sz w:val="22"/>
        </w:rPr>
        <w:t xml:space="preserve"> The database records inventory at INR 49.94 Crores, which equates to INR 4,994 Lakhs. The reconciliation table indicates a match with the evidence.</w:t>
      </w:r>
    </w:p>
    <w:p>
      <w:pPr>
        <w:pStyle w:val="ListBullet"/>
        <w:jc w:val="both"/>
      </w:pPr>
      <w:r>
        <w:rPr>
          <w:b/>
          <w:sz w:val="22"/>
        </w:rPr>
        <w:t>Trade Receivables:</w:t>
      </w:r>
      <w:r>
        <w:rPr>
          <w:b w:val="0"/>
          <w:sz w:val="22"/>
        </w:rPr>
        <w:t xml:space="preserve"> The database records trade receivables at INR 35.03 Crores, which equates to INR 3,503 Lakhs. The reconciliation table indicates a match with the evidence.</w:t>
      </w:r>
    </w:p>
    <w:p>
      <w:pPr>
        <w:pStyle w:val="ListBullet"/>
        <w:jc w:val="both"/>
      </w:pPr>
      <w:r>
        <w:rPr>
          <w:b/>
          <w:sz w:val="22"/>
        </w:rPr>
        <w:t>Cash Flow from Operations (CFO):</w:t>
      </w:r>
      <w:r>
        <w:rPr>
          <w:b w:val="0"/>
          <w:sz w:val="22"/>
        </w:rPr>
        <w:t xml:space="preserve"> The database records CFO at INR -6.78 Crores, which equates to INR -678 Lakhs. The reconciliation table indicates a match with the evidence.</w:t>
      </w:r>
    </w:p>
    <w:p>
      <w:pPr>
        <w:pStyle w:val="ListBullet"/>
        <w:jc w:val="both"/>
      </w:pPr>
      <w:r>
        <w:rPr>
          <w:b/>
          <w:sz w:val="22"/>
        </w:rPr>
        <w:t>Net Cash Flow:</w:t>
      </w:r>
      <w:r>
        <w:rPr>
          <w:b w:val="0"/>
          <w:sz w:val="22"/>
        </w:rPr>
        <w:t xml:space="preserve"> The database records net cash flow at INR 0.02 Crores, which equates to INR 2 Lakhs. The reconciliation table indicates a match with the evidence.</w:t>
      </w:r>
    </w:p>
    <w:p>
      <w:pPr>
        <w:jc w:val="both"/>
      </w:pPr>
      <w:r>
        <w:rPr>
          <w:b w:val="0"/>
          <w:sz w:val="22"/>
        </w:rPr>
        <w:t>While the provided reconciliation results state a 'match' for all fields, independent confirmation of these figures against the company's financial statements is not possible due to the absence of the actual evidence values in Lakhs within the supplied documentation.</w:t>
      </w:r>
    </w:p>
    <w:p>
      <w:pPr>
        <w:pStyle w:val="Heading1"/>
        <w:jc w:val="left"/>
      </w:pPr>
      <w:r>
        <w:rPr>
          <w:b/>
          <w:sz w:val="28"/>
        </w:rPr>
        <w:t>Recommendation</w:t>
      </w:r>
    </w:p>
    <w:p>
      <w:pPr>
        <w:jc w:val="both"/>
      </w:pPr>
      <w:r>
        <w:rPr>
          <w:b/>
          <w:sz w:val="22"/>
        </w:rPr>
        <w:t>Recommendation</w:t>
      </w:r>
    </w:p>
    <w:p>
      <w:pPr>
        <w:jc w:val="both"/>
      </w:pPr>
      <w:r>
        <w:rPr>
          <w:b w:val="0"/>
          <w:sz w:val="22"/>
        </w:rPr>
        <w:t>The financial performance for the period ended March 31, 2025, reflects a mixed financial picture with notable improvements in certain key areas, alongside persistent challenges, particularly concerning cash flow generation.</w:t>
      </w:r>
    </w:p>
    <w:p>
      <w:pPr>
        <w:jc w:val="both"/>
      </w:pPr>
      <w:r>
        <w:rPr>
          <w:b/>
          <w:sz w:val="22"/>
        </w:rPr>
        <w:t>Positive Developments (FY2025 vs. FY2024):</w:t>
      </w:r>
    </w:p>
    <w:p>
      <w:pPr>
        <w:pStyle w:val="ListBullet"/>
        <w:jc w:val="both"/>
      </w:pPr>
      <w:r>
        <w:rPr>
          <w:b/>
          <w:sz w:val="22"/>
        </w:rPr>
        <w:t>Liquidity:</w:t>
      </w:r>
      <w:r>
        <w:rPr>
          <w:b w:val="0"/>
          <w:sz w:val="22"/>
        </w:rPr>
        <w:t xml:space="preserve"> The Current Ratio significantly improved from 1.34 to 1.85, indicating enhanced short-term solvency, attributed to a substantial rise in current assets.</w:t>
      </w:r>
    </w:p>
    <w:p>
      <w:pPr>
        <w:pStyle w:val="ListBullet"/>
        <w:jc w:val="both"/>
      </w:pPr>
      <w:r>
        <w:rPr>
          <w:b/>
          <w:sz w:val="22"/>
        </w:rPr>
        <w:t>Leverage:</w:t>
      </w:r>
      <w:r>
        <w:rPr>
          <w:b w:val="0"/>
          <w:sz w:val="22"/>
        </w:rPr>
        <w:t xml:space="preserve"> The Debt-Equity Ratio saw a significant reduction from 2.81 to 0.79, reflecting substantial deleveraging primarily due to a reduction in debt and an increase in equity capital from infusions during the year.</w:t>
      </w:r>
    </w:p>
    <w:p>
      <w:pPr>
        <w:pStyle w:val="ListBullet"/>
        <w:jc w:val="both"/>
      </w:pPr>
      <w:r>
        <w:rPr>
          <w:b/>
          <w:sz w:val="22"/>
        </w:rPr>
        <w:t>Profitability:</w:t>
      </w:r>
      <w:r>
        <w:rPr>
          <w:b w:val="0"/>
          <w:sz w:val="22"/>
        </w:rPr>
        <w:t xml:space="preserve"> The Net Profit Ratio improved from 4.40% to 6.11%, driven by increased revenue, and the Return on Capital Employed increased from 0.18 to 0.21, indicating better efficiency in utilizing capital.</w:t>
      </w:r>
    </w:p>
    <w:p>
      <w:pPr>
        <w:pStyle w:val="ListBullet"/>
        <w:jc w:val="both"/>
      </w:pPr>
      <w:r>
        <w:rPr>
          <w:b/>
          <w:sz w:val="22"/>
        </w:rPr>
        <w:t>Operating Cash Flow (Improvement):</w:t>
      </w:r>
      <w:r>
        <w:rPr>
          <w:b w:val="0"/>
          <w:sz w:val="22"/>
        </w:rPr>
        <w:t xml:space="preserve"> While still negative, the Net Cash Flow from Operating Activities showed a significant improvement, moving from -1,660.47 Lakhs in FY2024 to -678.25 Lakhs in FY2025. This was partly aided by a smaller increase in inventories and trade receivables, although offset by a significant outflow from trade payables.</w:t>
      </w:r>
    </w:p>
    <w:p>
      <w:pPr>
        <w:pStyle w:val="ListBullet"/>
        <w:jc w:val="both"/>
      </w:pPr>
      <w:r>
        <w:rPr>
          <w:b/>
          <w:sz w:val="22"/>
        </w:rPr>
        <w:t>Operating Efficiency:</w:t>
      </w:r>
      <w:r>
        <w:rPr>
          <w:b w:val="0"/>
          <w:sz w:val="22"/>
        </w:rPr>
        <w:t xml:space="preserve"> The Inventory Turnover Ratio improved from 1.70 to 1.98.</w:t>
      </w:r>
    </w:p>
    <w:p>
      <w:pPr>
        <w:jc w:val="both"/>
      </w:pPr>
      <w:r>
        <w:rPr>
          <w:b/>
          <w:sz w:val="22"/>
        </w:rPr>
        <w:t>Areas of Concern (FY2025 vs. FY2024):</w:t>
      </w:r>
    </w:p>
    <w:p>
      <w:pPr>
        <w:pStyle w:val="ListBullet"/>
        <w:jc w:val="both"/>
      </w:pPr>
      <w:r>
        <w:rPr>
          <w:b/>
          <w:sz w:val="22"/>
        </w:rPr>
        <w:t>Debt Service Coverage:</w:t>
      </w:r>
      <w:r>
        <w:rPr>
          <w:b w:val="0"/>
          <w:sz w:val="22"/>
        </w:rPr>
        <w:t xml:space="preserve"> The Debt Service Coverage Ratio (DSCR), while improving from 0.27 to 0.34, remains critically low (below 1.00). This indicates that the company's operating earnings are insufficient to cover its debt servicing obligations, despite higher EBIT and reduced debt servicing costs. This is a material credit weakness.</w:t>
      </w:r>
    </w:p>
    <w:p>
      <w:pPr>
        <w:pStyle w:val="ListBullet"/>
        <w:jc w:val="both"/>
      </w:pPr>
      <w:r>
        <w:rPr>
          <w:b/>
          <w:sz w:val="22"/>
        </w:rPr>
        <w:t>Negative Operating Cash Flow:</w:t>
      </w:r>
      <w:r>
        <w:rPr>
          <w:b w:val="0"/>
          <w:sz w:val="22"/>
        </w:rPr>
        <w:t xml:space="preserve"> Despite the year-on-year improvement, Net Cash Flow from Operating Activities remains negative (-678.25 Lakhs), suggesting that core operations are not yet generating sufficient cash to fund themselves, which is unsustainable in the long term.</w:t>
      </w:r>
    </w:p>
    <w:p>
      <w:pPr>
        <w:pStyle w:val="ListBullet"/>
        <w:jc w:val="both"/>
      </w:pPr>
      <w:r>
        <w:rPr>
          <w:b/>
          <w:sz w:val="22"/>
        </w:rPr>
        <w:t>Working Capital Outflows:</w:t>
      </w:r>
      <w:r>
        <w:rPr>
          <w:b w:val="0"/>
          <w:sz w:val="22"/>
        </w:rPr>
        <w:t xml:space="preserve"> A substantial cash outflow of -1,319.68 Lakhs was recorded for Trade Payables in FY2025 (compared to an inflow of 58.97 Lakhs in FY2024), driven by an increase in expenses and early payments, contributing to the negative operating cash flow.</w:t>
      </w:r>
    </w:p>
    <w:p>
      <w:pPr>
        <w:pStyle w:val="ListBullet"/>
        <w:jc w:val="both"/>
      </w:pPr>
      <w:r>
        <w:rPr>
          <w:b/>
          <w:sz w:val="22"/>
        </w:rPr>
        <w:t>Investing Activities:</w:t>
      </w:r>
      <w:r>
        <w:rPr>
          <w:b w:val="0"/>
          <w:sz w:val="22"/>
        </w:rPr>
        <w:t xml:space="preserve"> A significant increase in Fixed Deposits by -301.60 Lakhs (compared to -24.30 Lakhs in FY2024) indicates cash being tied up in less liquid assets while operating cash flow remains a concern.</w:t>
      </w:r>
    </w:p>
    <w:p>
      <w:pPr>
        <w:pStyle w:val="ListBullet"/>
        <w:jc w:val="both"/>
      </w:pPr>
      <w:r>
        <w:rPr>
          <w:b/>
          <w:sz w:val="22"/>
        </w:rPr>
        <w:t>Asset Utilization:</w:t>
      </w:r>
      <w:r>
        <w:rPr>
          <w:b w:val="0"/>
          <w:sz w:val="22"/>
        </w:rPr>
        <w:t xml:space="preserve"> The Net Capital Turnover Ratio declined from 5.08 to 3.84, suggesting a less efficient utilization of capital in generating revenue.</w:t>
      </w:r>
    </w:p>
    <w:p>
      <w:pPr>
        <w:pStyle w:val="ListBullet"/>
        <w:jc w:val="both"/>
      </w:pPr>
      <w:r>
        <w:rPr>
          <w:b/>
          <w:sz w:val="22"/>
        </w:rPr>
        <w:t>Trade Receivables Turnover:</w:t>
      </w:r>
      <w:r>
        <w:rPr>
          <w:b w:val="0"/>
          <w:sz w:val="22"/>
        </w:rPr>
        <w:t xml:space="preserve"> A slight decline in the Trade Receivables Turnover Ratio from 3.95 to 3.77 indicates marginally slower collection of receivables.</w:t>
      </w:r>
    </w:p>
    <w:p>
      <w:pPr>
        <w:jc w:val="both"/>
      </w:pPr>
      <w:r>
        <w:rPr>
          <w:b/>
          <w:sz w:val="22"/>
        </w:rPr>
        <w:t>Conclusion and Recommendation:</w:t>
      </w:r>
    </w:p>
    <w:p>
      <w:pPr>
        <w:jc w:val="both"/>
      </w:pPr>
      <w:r>
        <w:rPr>
          <w:b w:val="0"/>
          <w:sz w:val="22"/>
        </w:rPr>
        <w:t>While the company has made significant strides in improving its liquidity, leverage, and net profitability, the persistently negative Net Cash Flow from Operating Activities and the critically low Debt Service Coverage Ratio (DSCR of 0.34) represent substantial credit risks. The inability to generate sufficient cash from operations to cover debt obligations is a fundamental concern for creditworthiness, despite balance sheet strengthening efforts.</w:t>
      </w:r>
    </w:p>
    <w:p>
      <w:pPr>
        <w:jc w:val="both"/>
      </w:pPr>
      <w:r>
        <w:rPr>
          <w:b w:val="0"/>
          <w:sz w:val="22"/>
        </w:rPr>
        <w:t xml:space="preserve">Given the inherent cash flow challenges and inadequate debt service coverage, a </w:t>
      </w:r>
      <w:r>
        <w:rPr>
          <w:b/>
          <w:sz w:val="22"/>
        </w:rPr>
        <w:t>"Decline"</w:t>
      </w:r>
      <w:r>
        <w:rPr>
          <w:b w:val="0"/>
          <w:sz w:val="22"/>
        </w:rPr>
        <w:t xml:space="preserve"> recommendation is prudent at this juncture. A reassessment could be considered upon sustained generation of positive operating cash flow and a material improvement in the Debt Service Coverage Ratio above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