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Assessment Memo</w:t>
      </w:r>
    </w:p>
    <w:p>
      <w:r>
        <w:rPr>
          <w:b/>
        </w:rPr>
        <w:t xml:space="preserve">Company: </w:t>
      </w:r>
      <w:r>
        <w:t>Durlax Top Surface Limited</w:t>
      </w:r>
      <w:r>
        <w:rPr>
          <w:b/>
        </w:rPr>
        <w:br/>
        <w:t xml:space="preserve">Financial Year: </w:t>
      </w:r>
      <w:r>
        <w:t>2025</w:t>
      </w:r>
    </w:p>
    <w:p>
      <w:r>
        <w:br w:type="page"/>
      </w:r>
    </w:p>
    <w:p>
      <w:pPr>
        <w:pStyle w:val="Heading1"/>
      </w:pPr>
      <w:r>
        <w:t>Applicant Overview</w:t>
      </w:r>
    </w:p>
    <w:p>
      <w:r>
        <w:t>**Applicant Overview**</w:t>
        <w:br/>
        <w:br/>
        <w:t>The applicant for this credit assessment is Durlax Top Surface Limited. The company's registered office is located at Unit No. 1601, 16th Floor, Synergy Business Park Premises Coop Society Ltd, Behind Virwani Industrial Estate, Shahakarwadi Off Vishweshwar Nagar Road, Goregaon East, Mumbai - 400063.</w:t>
        <w:br/>
        <w:br/>
        <w:t>Komal Upendra Birla serves as the Company Secretary and Compliance Officer.</w:t>
        <w:br/>
        <w:br/>
        <w:t>As per a Board Resolution dated August 29, 2025, documented in the Annual Report 2024-25, the Board of Directors is authorized to negotiate, finalize, and agree upon the terms and conditions for loans, guarantees, securities, and investments. The aggregate outstanding amount of such facilities is capped at Rs. 200 Crores (Rupees Two Hundred Crore Only).</w:t>
        <w:br/>
        <w:br/>
        <w:t>Furthermore, Durlax Top Surface Limited proposes to issue Fully Convertible Warrants as a type of security.</w:t>
      </w:r>
    </w:p>
    <w:p>
      <w:pPr>
        <w:pStyle w:val="Heading1"/>
      </w:pPr>
      <w:r>
        <w:t>Company Background</w:t>
      </w:r>
    </w:p>
    <w:p>
      <w:r>
        <w:t>**Company Background**</w:t>
        <w:br/>
        <w:br/>
        <w:t>DURLAX TOP SURFACE LIMITED, originally incorporated in 2010 as 'Durlax Archtech Private Limited', transitioned to a Public Limited Company in 2023 and subsequently listed on the NSE Emerge Platform in 2024.</w:t>
        <w:br/>
        <w:br/>
        <w:t>The Company operates as a manufacturer and trader of various kinds of Solid Surfaces, alongside providing sourcing, trading, and supply chain services. Its brand portfolio includes 'Luxor®' and 'Aspiron®', launched in 2011, and the more recent 'Heronitez™', introduced in 2024-25. The Company established a state-of-the-art manufacturing unit in Vapi, Gujarat, in 2017, initiating commercial production and commencing exports under its own brand in the same year. DURLAX TOP SURFACE LIMITED holds ISO 9001:2015 certification for sourcing, trading, and supply chain services, and ISO 14001:2015 certification for manufacturing and trading of Solid Surfaces, both received in 2016. The Company achieved revenue from operations exceeding ₹30 Crores in 2016 and ₹40 Crores in 2018.</w:t>
        <w:br/>
        <w:br/>
        <w:t>**Management &amp; Governance**</w:t>
        <w:br/>
        <w:br/>
        <w:t>As per the Annual Report for 2024-25, the Key Managerial Personnel (KMP) comprise Mr. Shravan Suthar (Managing Director), Mr. Lalit Suthar (Whole Time Director), Ms. Kalpana Nikam (Chief Financial Officer), and Ms. Komal Upendra Birla (Company Secretary). Ms. Kalpana Nikam was appointed CFO effective 19.09.2023, succeeding Mr. Sunil Khalate. Ms. Komal Upendra Birla assumed the role of Company Secretary effective 20.05.2024, following Ms. Sejal Solanki (who served until 20.05.2024) and Ms. Honey Bansal (who served until 22.06.2023).</w:t>
        <w:br/>
        <w:br/>
        <w:t>During the year, the Board of Directors convened 11 meetings. The Nomination &amp; Remuneration Committee met once on 22.08.2024 and has formulated a remuneration policy applicable to Directors, KMP, and senior management. The Independent Directors, including Mr. Narayan Uttam Samantra, Mr. Bhavesh Jain (appointed w.e.f 22.08.2024), and Ms. Palak Jain (appointed w.e.f 22.08.2024), have submitted declarations confirming their fulfillment of requirements under Section 149(6) of the Companies Act, 2013. Independent Directors Ms. Roxy Teniwal and Mr. Abhishek Bansal resigned effective 22.08.2024.</w:t>
        <w:br/>
        <w:br/>
        <w:t>Several KMPs hold interests in other entities, including Laxmichand Suthar HUF, SDC Enterprises (Shravan Suthar HUF), Lalit Suthar HUF, Pankaj Suthar HUF, Laxmichand Suthar Proprietorship, Lalit Suthar Proprietorship, Shravan Design Co, Ardent Projects, Kuber Trading Co, and Neev Furnitech.</w:t>
      </w:r>
    </w:p>
    <w:p>
      <w:pPr>
        <w:pStyle w:val="Heading1"/>
      </w:pPr>
      <w:r>
        <w:t>Financial Analysis</w:t>
      </w:r>
    </w:p>
    <w:p>
      <w:r>
        <w:t>**Financial Analysis**</w:t>
        <w:br/>
        <w:br/>
        <w:t>The company demonstrated strong revenue growth and improved profitability in the fiscal year ended 30 March 2025. Total revenue for the year increased significantly by 37.40% to **INR 12,482.01 Lakhs**, compared to INR 9,083.93 Lakhs in the prior year ended 31 March 2024. This growth was primarily driven by a 35.13% increase in Revenue from operations (gross) to **INR 12,265.25 Lakhs** (from INR 9,076.42 Lakhs in 2024). Other income also saw a substantial increase, rising from INR 7.51 Lakhs in 2024 to **INR 216.76 Lakhs** in 2025, which includes interest income recognized on a time proportion basis (Evidence 2).</w:t>
        <w:br/>
        <w:br/>
        <w:t>An inconsistency was noted in the supplied reconciliation results where the database `revenue` of 122.56 Crores is flagged as a mismatch with the evidence value of 12,265.25 Lakhs (122.65 Crores).</w:t>
        <w:br/>
        <w:br/>
        <w:t>In terms of profitability, Profit Before Tax (PBT) showed a remarkable improvement, surging by 141.74% to **INR 996.72 Lakhs** in 2025, from INR 412.28 Lakhs in 2024. Net Profit After Tax (NPAT) also saw substantial growth of 87.72%, reaching **INR 749.66 Lakhs** in 2025, up from INR 399.34 Lakhs in 2024. The total tax expense increased significantly to **INR 247.06 Lakhs** in 2025 (comprising current tax of INR 259.35 Lakhs and deferred tax of -INR 12.29 Lakhs), compared to INR 12.94 Lakhs in 2024 (current tax of INR 13.00 Lakhs and deferred tax of -INR 0.06 Lakhs).</w:t>
        <w:br/>
        <w:t>Regarding the `net_profit` reconciliation, the database value of 7.50 Crores is noted as a mismatch with the evidence of 749.66 Lakhs (7.50 Crores). Based on the evidence provided, these figures appear to be consistent after unit conversion.</w:t>
        <w:br/>
        <w:br/>
        <w:t>Key expense components for 2025 include Cost of materials consumed at **INR 9,803.38 Lakhs** (increased from INR 7,447.64 Lakhs in 2024), Employee benefits expense at **INR 231.30 Lakhs** (up from INR 169.79 Lakhs), Finance costs at **INR 374.54 Lakhs** (slightly down from INR 378.59 Lakhs), Depreciation and amortisation expense at **INR 245.43 Lakhs** (up from INR 223.77 Lakhs), and Other expenses at **INR 843.85 Lakhs** (increased from INR 685.01 Lakhs). The change in inventories of finished goods, work-in-progress, and stock-in-trade resulted in a net decrease of **INR 13.21 Lakhs** in 2025, an improvement from a decrease of INR 329.54 Lakhs in 2024. Total expenses for 2025 were **INR 11,485.29 Lakhs**, rising from INR 8,575.26 Lakhs in 2024.</w:t>
        <w:br/>
        <w:br/>
        <w:t>As of 31 March 2025, the company's total assets stood at **INR 11,477.93 Lakhs**, increasing from INR 10,553.51 Lakhs as of 31 March 2024. Shareholders’ funds substantially increased to **INR 5,768.42 Lakhs** (from INR 2,162.76 Lakhs in 2024), indicating significant equity injection or retained earnings. Non-current liabilities decreased from INR 2,145.74 Lakhs in 2024 to **INR 729.67 Lakhs** in 2025, primarily due to a reduction in long-term borrowings from INR 2,070.88 Lakhs to **INR 667.11 Lakhs**. Current liabilities also saw a decrease to **INR 4,979.85 Lakhs** (from INR 6,245.01 Lakhs), driven by a significant reduction in trade payables from INR 2,141.07 Lakhs to **INR 821.39 Lakhs**. Short-term borrowings remained relatively stable at **INR 3,916.56 Lakhs** compared to INR 3,999.83 Lakhs in 2024. Total borrowings as of 31 March 2025 were **INR 4,583.67 Lakhs**, which matches the database value of 45.84 Crores after unit conversion.</w:t>
        <w:br/>
        <w:br/>
        <w:t>On the asset side, Property, Plant &amp; Equipment (including intangible assets) decreased from INR 2,034.93 Lakhs in 2024 to **INR 1,841.46 Lakhs** in 2025. Inventories increased slightly to **INR 4,993.90 Lakhs** (from INR 4,930.31 Lakhs in 2024), which matches the database value of 49.94 Crores. Trade receivables grew to **INR 3,503.40 Lakhs** (from INR 3,008.77 Lakhs in 2024), which matches the database value of 35.03 Crores. The majority of trade receivables (**INR 3,187.85 Lakhs**) are current (less than 6 months old) and are considered good, with no disputed or doubtful debts.</w:t>
        <w:br/>
        <w:br/>
        <w:t>Cash and Bank Balances stood at **INR 115.38 Lakhs** as of 31 March 2025, a slight decrease from INR 122.60 Lakhs in 2024. This figure matches the database value of 1.15 Crores. Notably, a significant portion of the cash balance is restricted: **INR 101.09 Lakhs** (2025) and INR 110.41 Lakhs (2024) is held as Margin Money with banks, representing a Fixed Deposit that serves as a lien against a Letter of Credit facility (Evidence 12, 13). Freely available cash on hand and in current accounts amounted to **INR 14.29 Lakhs** in 2025 (INR 12.95 Lakhs cash on hand and INR 1.34 Lakhs in current accounts), compared to INR 12.20 Lakhs in 2024.</w:t>
        <w:br/>
        <w:br/>
        <w:t>Cash Flow from Operating Activities (CFO) showed an improved but still negative position of **-INR 678.25 Lakhs** for the year ended 31 March 2025, compared to -INR 1,660.47 Lakhs in the prior year. This figure matches the database value of -6.78 Crores. The primary drivers for the cash outflow from operations included an increase in Trade Receivables (outflow of **INR 494.63 Lakhs**) and a significant decrease in Trade Payables (outflow of **INR 1,319.68 Lakhs**), partly offset by adjustments for depreciation and interest expenses. Direct Taxes paid amounted to **-INR 139.31 Lakhs** in 2025. Cash Flow from Investing Activities resulted in a net outflow of **-INR 51.96 Lakhs** (mainly from the purchase of Property, Plant &amp; Equipment). Overall, the Net Increase in Cash &amp; Cash Equivalents for the year was **INR 2.10 Lakhs**, which matches the database value of 0.02 Crores, resulting in Cash and cash equivalents at the end of the year of **INR 14.29 Lakhs**.</w:t>
        <w:br/>
        <w:br/>
        <w:t>An inconsistency was identified regarding Depreciation and Amortisation for 2024, with the P&amp;L (Evidence 7) stating INR 223.77 Lakhs and the Cash Flow Statement adjustment (Evidence 6) stating INR 320.17 Lakhs. Similarly, 'Finance costs' (P&amp;L) and 'Interest Expenses' (Cash Flow Statement adjustment) also showed variations (e.g., 2025 P&amp;L Finance Costs: INR 374.54 Lakhs vs. CFS Interest Expenses: INR 335.04 Lakhs).</w:t>
      </w:r>
    </w:p>
    <w:p>
      <w:pPr>
        <w:pStyle w:val="Heading1"/>
      </w:pPr>
      <w:r>
        <w:t>Banking Conduct</w:t>
      </w:r>
    </w:p>
    <w:p>
      <w:r>
        <w:t>**Section: Banking Conduct**</w:t>
        <w:br/>
        <w:br/>
        <w:t>The company maintains active banking relationships across multiple financial institutions for various credit and transactional needs.</w:t>
        <w:br/>
        <w:br/>
        <w:t>**Credit Facilities and Utilization:**</w:t>
        <w:br/>
        <w:t>Durlax Top Surface Limited operates a Cash Credit (Working Capital) account (XXXX XXXX 4471 (CC)) with Sample Bank of India, which has a sanctioned limit of INR 3,500.00 Lakhs. Analysis of the statement from October 01, 2025, to December 31, 2025, indicates consistent activity and utilization of this facility, with balances frequently fluctuating, including periods of negative balances typical for a cash credit line.</w:t>
        <w:br/>
        <w:br/>
        <w:t>The company also utilizes significant overdraft facilities, which stood at INR 2,946.55 Lakhs as at March 31, 2025, a slight decrease from INR 3,036.40 Lakhs as at March 31, 2024. Letter of Credit facilities amounted to INR 598.50 Lakhs as at March 31, 2025, decreasing from INR 662.86 Lakhs in the prior year. Other loans repayable within the year (secured and unsecured) were INR 371.51 Lakhs as at March 31, 2025, an increase from INR 300.57 Lakhs as at March 31, 2024.</w:t>
        <w:br/>
        <w:br/>
        <w:t>**Loan Portfolio:**</w:t>
        <w:br/>
        <w:t>The company has a diversified loan portfolio, including both secured and unsecured facilities. Key secured lenders include:</w:t>
        <w:br/>
        <w:t>*   **Punjab National Bank:** Medium-term working capital facility of INR 1,100.00 Lakhs (secured by hypothecation of Stock &amp; Books Debts and Personal Guarantees) and a Letter of Credit facility of INR 730.00 Lakhs (secured by a 15% Cash Margin FDR and Personal Guarantees).</w:t>
        <w:br/>
        <w:t>*   **Axis Bank Ltd:** Medium-term working capital facility of INR 1,900.00 Lakhs (secured by hypothecation of entire Current Assets, pari passu charge on Land, Building, Plant &amp; Machinery, Office Premises, Shop No 01 &amp; 02, and Personal Guarantees).</w:t>
        <w:br/>
        <w:t>*   **Mahindra &amp; Mahindra Financial Services Limited:** Two machinery term loan facilities of INR 54.86 Lakhs and INR 206.00 Lakhs (secured by a charge on Plant &amp; Machinery, Security Deposits, and Personal Guarantees).</w:t>
        <w:br/>
        <w:t>*   **Tata Capital:** Term loan facility of INR 300.00 Lakhs (secured by a lien on Fixed Deposit of INR 150.00 Lakhs and Personal Guarantees).</w:t>
        <w:br/>
        <w:br/>
        <w:t>Unsecured business loans are availed from Deutsche Bank (INR 39.7 Lakhs), Ambit Finvest Private Limited (INR 50.00 Lakhs), HDFC Bank Limited (INR 35.15 Lakhs), and Hero Fincorp Limited (INR 30.15 Lakhs). Additionally, the company has unsecured loans from Directors and Directors' Relatives, for which repayment and interest terms are not specified and are thus considered long-term and interest-free. The non-current portion of unsecured loans from Directors, Directors' Relatives, Body Corporates, and Banks/FIs significantly decreased from March 31, 2024, to March 31, 2025. For instance, unsecured loans from Directors decreased from INR 1,095.95 Lakhs to INR 90.37 Lakhs.</w:t>
        <w:br/>
        <w:br/>
        <w:t>**Repayment Performance:**</w:t>
        <w:br/>
        <w:t>The company has demonstrated sound repayment conduct, with an explicit statement confirming, "The company has not defaulted on repayment of secured/ unsecured loans and interest during the year." This is further corroborated by bank statement entries showing timely payment of term loan EMIs, such as INR 4,12,640.00 on both October 05, 2025, and December 05, 2025.</w:t>
        <w:br/>
        <w:br/>
        <w:t>**Cash and Bank Balances:**</w:t>
        <w:br/>
        <w:t>As at March 31, 2025, Cash on hand stood at INR 12.95 Lakhs, an increase from INR 11.54 Lakhs as at March 31, 2024. A portion of the company's cash is restricted, including a lien on Fixed Deposit of INR 150.00 Lakhs held against the Tata Capital term loan and a 15% Cash Margin FDR securing the Punjab National Bank Letter of Credit facility.</w:t>
        <w:br/>
        <w:br/>
        <w:t>**Personal Guarantees:**</w:t>
        <w:br/>
        <w:t>Several credit facilities are supported by personal guarantees from the company's directors/promoters, including Mr. Shravan Suthar, Mr. Lalit Suthar, Mr. Laxmichand Suthar, and Mr. Pankaj Suthar, reinforcing the promoters' commitment.</w:t>
      </w:r>
    </w:p>
    <w:p>
      <w:pPr>
        <w:pStyle w:val="Heading1"/>
      </w:pPr>
      <w:r>
        <w:t>Tax and Statutory Compliance</w:t>
      </w:r>
    </w:p>
    <w:p>
      <w:r>
        <w:t>## Tax and Statutory Compliance</w:t>
        <w:br/>
        <w:br/>
        <w:t>For the financial year ended 30 March 2025, the company reported a provision for current tax of 119.20 Lakhs. A deferred tax benefit of 2.32 Lakhs was recognized, resulting in a net tax expense of 116.88 Lakhs. This represents a significant increase compared to the previous year ended 31 March 2024, where the provision for current tax was 13.00 Lakhs, with a deferred tax benefit of 1.82 Lakhs, leading to a net tax expense of 11.18 Lakhs. The substantial increase in current tax provision indicates improved taxable profitability in the most recent year.</w:t>
        <w:br/>
        <w:br/>
        <w:t>The company held a balance with Revenue Authorities of 111.88 Lakhs as of 31 March 2025, which increased from 16.48 Lakhs as of 31 March 2024. This balance typically represents advance tax payments or tax refunds receivable.</w:t>
        <w:br/>
        <w:br/>
        <w:t>Evidence of ongoing compliance is noted with a GST payment of 3,80,575.03 on 07 December 2025.</w:t>
        <w:br/>
        <w:br/>
        <w:t>According to the Annual Report for 2024-25, the auditors have confirmed that the company has been generally regular in depositing undisputed statutory dues, including Income-tax, Service tax, and Cess, with the appropriate authorities. Furthermore, the company reported no outstanding dues on account of Provident Fund, ESIC, Sales Tax, Custom Duty, and Excise Duty during the same period.</w:t>
        <w:br/>
        <w:br/>
        <w:t>In terms of cost records, the auditors reviewed the books of account maintained by the company pursuant to Section 148 of the Act. They opined that, prima facie, the prescribed accounts and records have been made and maintained, although a detailed examination of their accuracy or completeness was not performed.</w:t>
      </w:r>
    </w:p>
    <w:p>
      <w:pPr>
        <w:pStyle w:val="Heading1"/>
      </w:pPr>
      <w:r>
        <w:t>Audit and Compliance</w:t>
      </w:r>
    </w:p>
    <w:p>
      <w:r>
        <w:t>Section:</w:t>
        <w:br/>
        <w:t>Audit and Compliance</w:t>
        <w:br/>
        <w:br/>
        <w:t>The financial statements for the year ended March 31, 2025, comply with the Accounting Standards specified under Section 133 of the Act, read with Rule 7 of the Companies (Accounts) Rules, 2014. The auditors confirm that proper books of account have been kept by the Company, and the Balance Sheet, Statement of Profit and Loss, and Cash Flow Statement are in agreement with these books. The audit scope included an evaluation of the overall presentation, structure, content, and disclosures within the financial statements to ensure fair presentation of underlying transactions and events. The auditors also provide a standard disclosure that future events or conditions may cause the Company to cease to continue as a going concern.</w:t>
        <w:br/>
        <w:br/>
        <w:t>The auditors communicate with those charged with governance regarding significant audit findings, including any significant deficiencies in internal control identified during their audit. While the auditors assess the adequacy of internal financial controls over financial reporting, the evidence provided is insufficient to conclude on the operating effectiveness of these controls due to an incomplete statement.</w:t>
        <w:br/>
        <w:br/>
        <w:t>As of March 31, 2025, based on written representations taken on record by the Board of Directors, none of the directors are disqualified from being appointed as a director in terms of Section 164(2) of the Act. The auditors have confirmed compliance with relevant ethical requirements regarding independence and have communicated all relationships and other matters that may reasonably be thought to bear on their independence. Key Audit Matters are determined from matters communicated with those charged with governance and are typically described in the auditor's report.</w:t>
      </w:r>
    </w:p>
    <w:p>
      <w:pPr>
        <w:pStyle w:val="Heading1"/>
      </w:pPr>
      <w:r>
        <w:t>Risk Assessment</w:t>
      </w:r>
    </w:p>
    <w:p>
      <w:r>
        <w:t>**Section: Risk Assessment**</w:t>
        <w:br/>
        <w:br/>
        <w:t>The company's risk profile presents a mixed outlook, characterized by improved financial leverage and profitability, yet tempered by persistent liquidity constraints and notable contingent liabilities.</w:t>
        <w:br/>
        <w:br/>
        <w:t>**1. Financial Structure and Leverage:**</w:t>
        <w:br/>
        <w:t>The financial structure of the company has seen significant improvement as of March 31, 2025. The Debt-to-Equity Ratio experienced a substantial reduction of 71.69%, falling from 2.81 in FY2024 to 0.79 in FY2025. This positive trend is primarily attributable to a considerable infusion of equity capital during the year. The company undertook an Initial Public Offer (IPO), which included a fresh issue of 4,200,000 equity shares at a price of Rs. 68/- each, leading to an increase in Share Capital from 1,242.77 Lakhs in FY2024 to 1,662.77 Lakhs in FY2025. Concurrently, Reserves and Surplus surged from 919.99 Lakhs to 4,105.65 Lakhs.</w:t>
        <w:br/>
        <w:br/>
        <w:t>Total borrowings (long-term and short-term) decreased from 6,070.71 Lakhs in FY2024 (comprising 2,070.88 Lakhs long-term and 3,999.83 Lakhs short-term) to 4,583.67 Lakhs in FY2025 (667.11 Lakhs long-term and 3,916.56 Lakhs short-term). Long-term borrowings alone declined significantly. The company maintains an authorized borrowing limit of up to Rs. 200 Crores (20,000 Lakhs) at any point in time, providing substantial flexibility for future financing needs.</w:t>
        <w:br/>
        <w:br/>
        <w:t>**2. Liquidity and Cash Flow:**</w:t>
        <w:br/>
        <w:t>Despite an improvement in the Current Ratio from 1.34 in FY2024 to 1.85 in FY2025, driven by an increase in current assets, the company's liquidity position remains tight concerning readily available cash.</w:t>
        <w:br/>
        <w:t>*   The Balance Sheet reports "Cash and Bank Balance" of 115.38 Lakhs as of March 31, 2025.</w:t>
        <w:br/>
        <w:t>*   However, detailed notes indicate that a total of 127.93 Lakhs is held as restricted Fixed Deposits (FDRs): 18.43 Lakhs against a Bank Guarantee issued to DGFT and 109.50 Lakhs (15% cash margin) against a Letter of Credit facility of 730.00 Lakhs from Punjab National Bank. This sum of restricted cash exceeds the reported "Cash and Bank Balance" on the Balance Sheet, suggesting that all reported cash, and potentially more, is encumbered.</w:t>
        <w:br/>
        <w:t>*   The Cash Flow Statement reports "Cash and cash equivalents at the end of the year" at a lower figure of 14.29 Lakhs for FY2025 (compared to 12.20 Lakhs in FY2024). While acknowledging that such differences can arise from distinct classification criteria (e.g., bank overdrafts) in financial statements, this figure underscores the very limited freely available cash resources.</w:t>
        <w:br/>
        <w:t>*   Operating activities have consistently resulted in negative cash flow: -678.25 Lakhs in FY2025 and -1,660.47 Lakhs in FY2024. This trend indicates that the company's core operations are not generating sufficient cash to cover its working capital requirements, necessitating reliance on other funding sources. A significant decrease in Trade Payables (a cash outflow of 1,319.68 Lakhs) contributed to the negative operating cash flow in FY2025.</w:t>
        <w:br/>
        <w:br/>
        <w:t>**3. Profitability and Debt Service:**</w:t>
        <w:br/>
        <w:t>Profitability has improved, with Net Profit before taxes increasing from 412.28 Lakhs in FY2024 to 996.72 Lakhs in FY2025. Operating Profit before Working Capital changes also rose from 1,068.48 Lakhs to 1,577.19 Lakhs year-on-year, reflecting better operational performance.</w:t>
        <w:br/>
        <w:br/>
        <w:t>Despite these improvements, the Debt Service Coverage Ratio (DSCR) remains a critical concern, standing at 0.34 in FY2025 (an increase from 0.27 in FY2024). A DSCR consistently below 1 implies that the company's operating profit is currently insufficient to cover its debt service obligations (both principal and interest). While the ratio improved due to higher EBIT and reduced debt servicing costs, it still indicates potential challenges in meeting debt repayments solely from operational earnings.</w:t>
        <w:br/>
        <w:br/>
        <w:t>Return on Equity (ROE) saw a marginal decline from 0.20 in FY22024 to 0.19 in FY2025.</w:t>
        <w:br/>
        <w:br/>
        <w:t>**4. Operational and Contingent Liabilities:**</w:t>
        <w:br/>
        <w:t>The company faces contingent liabilities primarily related to its EPCG (Export Promotion Capital Goods) schemes:</w:t>
        <w:br/>
        <w:t>*   A specific export obligation for a license dated October 28, 2016, is extended until April 28, 2026. Non-compliance carries a potential customs duty liability of Rs. 184.53 Lakhs.</w:t>
        <w:br/>
        <w:t>*   For two other EPCG licenses, export obligations are reported as fulfilled, and closure applications have been submitted. However, the final closure letters from DGFT are awaited, resulting in a contingent liability disclosure of Rs. 85.69 Lakhs.</w:t>
        <w:br/>
        <w:t>*   Borrowings are secured comprehensively through hypothecation of stock &amp; book debts, entire current assets, and a pari passu charge on land, building, plant &amp; machinery, and office premises. Personal guarantees from Key Managerial Personnel (Mr. Shravan Suthar, Mr. Lalit Suthar, Mr. Laxmichand Suthar, and Mr. Pankaj Suthar) further underpin these facilities, indicating strong sponsor support.</w:t>
        <w:br/>
        <w:t>*   Related Party Transactions are stated to be conducted on an arm's length basis and in the ordinary course of business, with no materially significant transactions identified as having a potential conflict of interest, thereby mitigating this specific risk. Mr. Lalit Laxmichand Suthar, a Whole Time Director, is due to retire by rotation at the forthcoming Annual General Meeting.</w:t>
        <w:br/>
        <w:br/>
        <w:t>**Inconsistencies Noted:**</w:t>
        <w:br/>
        <w:t>*   A discrepancy exists in the "Net profit before taxes" figures: Evidence 7 (P&amp;L extract) reports 456.70 Lakhs for FY2025, while Evidence 8/10 (Cash Flow Statement) reports 996.72 Lakhs for the same period. The Cash Flow Statement figures have been prioritized for consistency in financial analysis within this assessment.</w:t>
        <w:br/>
        <w:t>*   The "Cash and Bank Balance" reported on the Balance Sheet (115.38 Lakhs for FY2025) is less than the identified restricted fixed deposits (127.93 Lakhs), suggesting that the reported cash is entirely restricted or a classification difference exists. This highlights a severe lack of readily available free cash.</w:t>
        <w:br/>
        <w:t>*   The "Cash and cash equivalents at the end of the year" from the Cash Flow Statement (14.29 Lakhs for FY2025) differs significantly from the Balance Sheet's "Cash and Bank Balance." While this may stem from varying classification rules for overdrafts, it emphasizes the company's minimal liquid reserves.</w:t>
      </w:r>
    </w:p>
    <w:p>
      <w:pPr>
        <w:pStyle w:val="Heading1"/>
      </w:pPr>
      <w:r>
        <w:t>Collateral</w:t>
      </w:r>
    </w:p>
    <w:p>
      <w:r>
        <w:t>**Collateral**</w:t>
        <w:br/>
        <w:br/>
        <w:t>The Company possesses the statutory authority to create charges over its assets to secure financial assistance. Pursuant to Section 180(1)(a) of the Companies Act, 2013, the Board is empowered, by way of a special resolution, to hypothecate, mortgage, pledge, and/or create a charge on **all or any immovable and movable properties of the Company, both present and future, or the whole or substantially the whole of the undertaking(s) of the Company**. This authority is exercised within the overall ceiling approved by the Company's Members, as stipulated by Section 180(1)(c) of the Companies Act, 2013. The Company proposes to seek consent from its members for this purpose.</w:t>
        <w:br/>
        <w:br/>
        <w:t>The security arrangements are designed to cover financial assistance from various Lenders, including multilateral agencies and/or other creditors. The scope of security includes all interest, additional interest, default interest, further interest, principal amounts, premia on prepayment, any fees, costs, charges, and expenses (including those arising from currency exchange devaluation or fluctuations). It also encompasses all other monies payable under respective financing documents and agreements. Furthermore, this security extends to debentures (fully/partly convertible and/or non-convertible) issued or to be issued, or to otherwise charge the Company's assets for loans (in rupee currency and/or foreign currency) and securities availed.</w:t>
        <w:br/>
        <w:br/>
        <w:t>As of 31 March, 2025, the Company reported total assets of 11,477.93. This represents an increase from 10,553.51 as of 31 March, 2024.</w:t>
        <w:br/>
        <w:br/>
        <w:t>A summary of the Company's asset base, which forms the potential pool for collateral, is as follows:</w:t>
        <w:br/>
        <w:br/>
        <w:t>**As at 31 March, 2025:**</w:t>
        <w:br/>
        <w:t>*   **Non-current assets**: 2,249.47</w:t>
        <w:br/>
        <w:t xml:space="preserve">    *   Property, Plant and Equipment &amp; Intangible Assets: 1,841.47</w:t>
        <w:br/>
        <w:t xml:space="preserve">    *   Non-current investments: -</w:t>
        <w:br/>
        <w:t xml:space="preserve">    *   Long-term loans and advances: 25.86</w:t>
        <w:br/>
        <w:t xml:space="preserve">    *   Other non-current assets: 382.14</w:t>
        <w:br/>
        <w:t>*   **Current assets**: 9,228.46</w:t>
        <w:br/>
        <w:t xml:space="preserve">    *   Current investments: 47.52</w:t>
        <w:br/>
        <w:t xml:space="preserve">    *   Inventories: 4,993.90</w:t>
        <w:br/>
        <w:t xml:space="preserve">    *   Trade receivables: 3,503.40</w:t>
        <w:br/>
        <w:t xml:space="preserve">    *   Cash and Bank Balance: 115.38</w:t>
        <w:br/>
        <w:t xml:space="preserve">    *   Short-term loans and advances: 14.27</w:t>
        <w:br/>
        <w:t xml:space="preserve">    *   Other current assets: 554.00</w:t>
        <w:br/>
        <w:br/>
        <w:t>**Year-on-Year Trends:**</w:t>
        <w:br/>
        <w:t>The Company's total assets have increased year-on-year from 10,553.51 in 2024 to 11,477.93 in 2025.</w:t>
        <w:br/>
        <w:t>*   **Non-current assets** saw a modest increase from 2,170.19 in 2024 to 2,249.47 in 2025. Within this category, Property, Plant and Equipment &amp; Intangible Assets decreased from 2,034.93 in 2024 to 1,841.47 in 2025, while Other non-current assets significantly increased from 75.72 to 382.14 over the same period. Non-current investments, which were 47.52 in 2024, were nil in 2025.</w:t>
        <w:br/>
        <w:t>*   **Current assets** showed a notable increase from 8,382.48 in 2024 to 9,228.46 in 2025. Key contributors to this increase include Inventories (from 4,930.31 to 4,993.90) and Trade receivables (from 3,008.77 to 3,503.40). Cash and Bank Balance slightly decreased from 122.60 in 2024 to 115.38 in 2025.</w:t>
        <w:br/>
        <w:br/>
        <w:t>The provided evidence outlines the legal authority and general scope of collateralization but does not specify the current encumbrance status or fair market values of these assets for specific collateral purposes. No breakdown distinguishing between freely available cash and restricted cash within the 'Cash and Bank Balance' is provided.</w:t>
      </w:r>
    </w:p>
    <w:p>
      <w:pPr>
        <w:pStyle w:val="Heading1"/>
      </w:pPr>
      <w:r>
        <w:t>Data Consistency Review</w:t>
      </w:r>
    </w:p>
    <w:p>
      <w:r>
        <w:t>### Data Consistency Review</w:t>
        <w:br/>
        <w:br/>
        <w:t>A review of key financial data points against the provided evidence has been conducted, with unit conversions applied where necessary (1 Crore = 100 Lakhs).</w:t>
        <w:br/>
        <w:br/>
        <w:t>**Material Inconsistencies Identified:**</w:t>
        <w:br/>
        <w:br/>
        <w:t>*   **Revenue:** The database records revenue at 122.56 Crores (12,256 Lakhs). The retrieved evidence indicates revenue of 76.42 Lakhs. These values show a significant discrepancy, even after unit conversion.</w:t>
        <w:br/>
        <w:t>*   **Net Profit:** The database reports net profit at 7.50 Crores (750 Lakhs). The retrieved evidence shows net profit of 79.0 Lakhs. A material difference exists between these figures, even after unit conversion.</w:t>
        <w:br/>
        <w:br/>
        <w:t>**Reconciled Data Points:**</w:t>
        <w:br/>
        <w:br/>
        <w:t>The following data points from the database reconcile with the retrieved evidence after accounting for unit conversion (Crores to Lakhs):</w:t>
        <w:br/>
        <w:br/>
        <w:t>*   **Borrowings:** The database value reconciles with the evidence.</w:t>
        <w:br/>
        <w:t>*   **Cash and Bank Balances:** The database value reconciles with the evidence. It is noted that this figure pertains to the Balance Sheet line item 'Cash and Bank Balances' and is distinct from the closing cash balance on the Cash Flow Statement due to differing accounting classifications.</w:t>
        <w:br/>
        <w:t>*   **Inventory:** The database value reconciles with the evidence.</w:t>
        <w:br/>
        <w:t>*   **Trade Receivables:** The database value reconciles with the evidence.</w:t>
        <w:br/>
        <w:t>*   **Cash Flow from Operations (CFO):** The database value reconciles with the evidence.</w:t>
        <w:br/>
        <w:t>*   **Net Cash Flow:** The database value reconciles with the evidence.</w:t>
      </w:r>
    </w:p>
    <w:p>
      <w:pPr>
        <w:pStyle w:val="Heading1"/>
      </w:pPr>
      <w:r>
        <w:t>Recommendation</w:t>
      </w:r>
    </w:p>
    <w:p>
      <w:r>
        <w:t>**Section: Recommendation**</w:t>
        <w:br/>
        <w:br/>
        <w:t>The company's financial performance in the most recent year, as of March 31, 2025, demonstrates a mixed but generally improving financial profile. Significant positive trends include:</w:t>
        <w:br/>
        <w:br/>
        <w:t>*   **Improved Liquidity:** The Current Ratio improved substantially to 1.85 in 2025 from 1.34 in 2024, indicating enhanced short-term liquidity due to a significant rise in current assets.</w:t>
        <w:br/>
        <w:t>*   **Deleveraging:** The Debt-Equity Ratio witnessed a dramatic reduction to 0.79 in 2025 from 2.81 in 2024. This significant improvement is attributed to a reduction in debt and an infusion of equity capital during the year, substantially strengthening the balance sheet.</w:t>
        <w:br/>
        <w:t>*   **Enhanced Profitability:** The Net Profit Ratio increased to 6.11% in 2025 from 4.40% in 2024, driven by an increase in revenue. Similarly, the Return on Capital Employed improved to 0.21 from 0.18. Operating Profit before Working Capital Changes also saw a healthy increase to 1,577.19 Lakhs in 2025 from 1,068.48 Lakhs in 2024.</w:t>
        <w:br/>
        <w:t>*   **Operating Cash Flow Improvement:** While still negative, Net Cash Flow from Operating Activities (CFO) showed a significant improvement, reducing the cash outflow from -1,660.47 Lakhs in 2024 to -678.25 Lakhs in 2025.</w:t>
        <w:br/>
        <w:t>*   **Debt Service Coverage:** The Debt Service Coverage Ratio improved to 0.34 in 2025 from 0.27 in 2024, primarily due to higher Earnings Before Interest and Taxes (EBIT) and a reduction in debt servicing costs.</w:t>
        <w:br/>
        <w:br/>
        <w:t>However, certain areas warrant continued attention:</w:t>
        <w:br/>
        <w:br/>
        <w:t>*   **Negative Operating Cash Flow:** Despite the improvement, CFO remains negative, indicating that core operations are not yet generating sufficient cash to fund themselves. This is exacerbated by a significant increase in Trade Payables (a cash outflow of -1,319.68 Lakhs in 2025).</w:t>
        <w:br/>
        <w:t>*   **Low Debt Service Coverage Ratio:** While improved, the DSCR of 0.34 remains below a comfortable threshold (typically &gt;1.0), implying that the company's operating cash flow is still insufficient to fully cover its debt service obligations without relying on other sources.</w:t>
        <w:br/>
        <w:t>*   **Trade Receivable Turnover:** The slight decrease in the Trade Receivables turnover ratio (3.77 in 2025 from 3.95 in 2024) suggests a modest slowdown in receivables collection efficiency.</w:t>
        <w:br/>
        <w:t>*   **Capital Efficiency:** The Net Capital Turnover Ratio decreased to 3.84 in 2025 from 5.08 in 2024, suggesting a less efficient use of capital in generating sales.</w:t>
        <w:br/>
        <w:t>*   **Investment in Fixed Deposits:** There was a notable increase in fixed deposits of -301.60 Lakhs in 2025, which, if restricted, could tie up liquidity that might otherwise be available.</w:t>
        <w:br/>
        <w:br/>
        <w:t>Based on the overall financial trajectory, the significant strengthening of the balance sheet through deleveraging and equity infusion, coupled with improved profitability and a reduction in operational cash burn, suggests an improving credit profile. While the persistently negative operating cash flow and sub-optimal DSCR necessitate careful monitoring, the substantial improvements in core financial metrics indicate a positive outlook.</w:t>
        <w:br/>
        <w:br/>
        <w:t>Therefore, a credit extension can be recommended, contingent upon close monitoring of the company's progress in generating positive operating cash flows and clarification regarding the nature and availability of the increased fixed deposits.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