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Assessment Memo</w:t>
      </w:r>
    </w:p>
    <w:p>
      <w:r>
        <w:rPr>
          <w:b/>
        </w:rPr>
        <w:t xml:space="preserve">Company: </w:t>
      </w:r>
      <w:r>
        <w:t>Durlax Top Surface Limited</w:t>
      </w:r>
      <w:r>
        <w:rPr>
          <w:b/>
        </w:rPr>
        <w:br/>
        <w:t xml:space="preserve">Financial Year: </w:t>
      </w:r>
      <w:r>
        <w:t>2025</w:t>
      </w:r>
    </w:p>
    <w:p>
      <w:r>
        <w:br w:type="page"/>
      </w:r>
    </w:p>
    <w:p>
      <w:pPr>
        <w:pStyle w:val="Heading1"/>
      </w:pPr>
      <w:r>
        <w:t>Applicant Overview</w:t>
      </w:r>
    </w:p>
    <w:p>
      <w:r>
        <w:t>## Applicant Overview</w:t>
        <w:br/>
        <w:br/>
        <w:t>The Company, identified by its website www.durlax.com, is actively engaged in the expansion of its distribution footprint.</w:t>
        <w:br/>
        <w:br/>
        <w:t>Material contracts entered into by the Company include a Registrar Agreement, a Banker to the Issue Agreement, and a Monitoring Agency Agreement, all dated Tuesday, December 16, 2025. These documents, related to a forthcoming issue, are available for inspection at the Registered and Corporate Office and on the Company's website.</w:t>
        <w:br/>
        <w:br/>
        <w:t>The Company faces operational risks, including the potential for customers to cancel purchase orders at short or no notice, which could impact its financial condition. The Board of Directors maintains flexibility in utilizing any surplus amounts to meet business requirements, subject to applicable laws and regulations. Furthermore, the Company's disclosures address potential interests of directors in transactions with other companies or firms where they hold directorships or partnerships. The Company also produces an annual report.</w:t>
      </w:r>
    </w:p>
    <w:p>
      <w:pPr>
        <w:pStyle w:val="Heading1"/>
      </w:pPr>
      <w:r>
        <w:t>Company Background</w:t>
      </w:r>
    </w:p>
    <w:p>
      <w:r>
        <w:t>**Company Background**</w:t>
        <w:br/>
        <w:br/>
        <w:t>Durlax Top Surface Limited was originally incorporated as Durlax Archtech Private Limited on May 03, 2010, under the provisions of the Companies Act, 1956. The company’s name subsequently changed to Durlax India Private Limited on August 23, 2017, and then to Durlax Top Surface Private Limited on January 06, 2023. The company transitioned from a private limited company to a public limited company following a shareholders' resolution on January 27, 2023, receiving a Fresh Certificate of Incorporation on March 29, 2023.</w:t>
        <w:br/>
        <w:br/>
        <w:t>The company's Promoters and members of the Promoter Group maintain significant control over the entity. Post-completion of the Issue, they are anticipated to collectively hold approximately over 51.44% of the paid-up equity share capital, assuming full subscription to the Rights Entitlement. This majority stake enables them to elect the Board, influence key decisions regarding the appointment and removal of officers, business strategy, policies, and financing. This level of control may also impact potential changes in management or control of the company.</w:t>
      </w:r>
    </w:p>
    <w:p>
      <w:pPr>
        <w:pStyle w:val="Heading1"/>
      </w:pPr>
      <w:r>
        <w:t>Financial Analysis</w:t>
      </w:r>
    </w:p>
    <w:p>
      <w:r>
        <w:t>## Financial Analysis</w:t>
        <w:br/>
        <w:br/>
        <w:t>The company demonstrated strong financial performance in the year ended 30 March 2025, particularly in revenue growth and profitability.</w:t>
        <w:br/>
        <w:br/>
        <w:t>Total revenue increased significantly by approximately 37.4%, rising from 9,083.93 Lakhs in the year ended 31 March 2024 to 12,482.01 Lakhs in the year ended 30 March 2025. This growth was primarily driven by an increase in Revenue from operations (gross) from 9,076.42 Lakhs to 12,265.25 Lakhs over the same period. Other income also contributed to this increase, growing from 7.51 Lakhs to 216.76 Lakhs. Revenue from operations includes shipping and handling costs billed to the customer and export entitlements, while other income includes interest recognized on a time proportion basis. The database value for revenue for 2025, reconciled at 122.56 Crores, is noted as a match, closely aligning with the Revenue from operations (gross) of 12,265.25 Lakhs presented in the financial statements. (Evidence 1, 2, Reconciliation results)</w:t>
        <w:br/>
        <w:br/>
        <w:t>Profitability saw substantial improvement, with Profit Before Tax (PBT) increasing from 412.28 Lakhs in 2024 to 996.72 Lakhs in 2025. Consequently, Profit / (Loss) from continuing operations (Net Profit after tax) also rose from 399.34 Lakhs to 749.66 Lakhs during this period. Tax expenses in 2025 included a current tax provision of 259.35 Lakhs and a deferred tax credit of 12.29 Lakhs. The database value for net profit for 2025, stated at 7.50 Crores, is explicitly noted as a mismatch in the reconciliation results, despite its close alignment with the Profit for the year of 749.66 Lakhs (7.4966 Crores) reported in the financial statements. (Evidence 4, 6, Reconciliation results)</w:t>
        <w:br/>
        <w:br/>
        <w:t>In terms of expenses, Cost of materials consumed increased from 7,447.64 Lakhs in 2024 to 9,803.38 Lakhs in 2025, generally reflecting the rise in operational revenue. Changes in inventories resulted in a positive adjustment of 13 Lakhs for the year ended 30 March 2025. Depreciation &amp; Amortization expenses for 2025 were 245.43 Lakhs (compared to 320.17 Lakhs in 2024), and Interest Expenses were 335.04 Lakhs (compared to 336.03 Lakhs in 2024). (Evidence 1, 6)</w:t>
        <w:br/>
        <w:br/>
        <w:t>Cash Flow from Operating Activities (CFO) showed an improvement, although it remained negative at -678.25 Lakhs for the year ended 31 March 2025, compared to -1,660.47 Lakhs in the prior year. Operating Profit before Working Capital Changes increased to 1,577.19 Lakhs in 2025 from 1,068.48 Lakhs in 2024. Working capital movements notably impacted CFO, including a decrease in Trade Receivables of 494.63 Lakhs and a substantial decrease in Trade Payables of 1,319.68 Lakhs in 2025. Direct Taxes paid amounted to 139.31 Lakhs in 2025. Investing activities included the purchase of Property, Plant &amp; Equipment totaling 51.96 Lakhs. The Net Increase in Cash &amp; Cash Equivalents was 2.10 Lakhs in 2025, leading to a closing balance of 14.29 Lakhs. The database value for CFO for 2025 (-6.78 Crores) and net cash flow for 2025 (0.02 Crores) are both noted as mismatches in the reconciliation results, despite their close numerical proximity to the reported figures of -678.25 Lakhs (-6.7825 Crores) and 2.10 Lakhs (0.0210 Crores), respectively. (Evidence 5, 6, Reconciliation results)</w:t>
        <w:br/>
        <w:br/>
        <w:t>Regarding other financial positions, the database value for borrowings for 2025 (45.84 Crores) is noted as a match, as is the database value for inventory (49.94 Crores), although the specific balance sheet figures for these items are not detailed within the provided financial statements. The database value for trade receivables for 2025 (35.03 Crores) is noted as a mismatch; the evidence only details the change in trade receivables, not the absolute balance sheet figure. The database value for cash_and_bank for 2025 (1.15 Crores) is also noted as a mismatch. It is important to note the distinction that 'cash_and_bank' in the database refers to the Balance Sheet line item, which can legitimately differ from the closing cash balance on the Cash Flow Statement (14.29 Lakhs or 0.1429 Crores) due to factors such as bank overdraft classification. (Reconciliation results, Evidence 6)</w:t>
      </w:r>
    </w:p>
    <w:p>
      <w:pPr>
        <w:pStyle w:val="Heading1"/>
      </w:pPr>
      <w:r>
        <w:t>Banking Conduct</w:t>
      </w:r>
    </w:p>
    <w:p>
      <w:r>
        <w:t>**Banking Conduct**</w:t>
        <w:br/>
        <w:br/>
        <w:t>The company maintains a Cash Credit (Working Capital) account (XXXX XXXX 4471) with SAMPLE BANK OF INDIA (SYNTHETIC), operating under a sanctioned limit of Rs. 3,500.00 Lakhs. Review of the bank statement for the period 01-10-2025 to 31-12-2025 indicates a largely satisfactory banking conduct.</w:t>
        <w:br/>
        <w:br/>
        <w:t>The account demonstrates active operational usage with frequent debit and credit transactions. The company appears to manage its statutory obligations effectively, evidenced by timely payments for GST (Rs. 3,80,575.03 on 07-12-2025) and TDS (Rs. 1,13,155.28 on 15-12-2025). Furthermore, regular payments for Term Loan EMIs (Rs. 4,12,640.00 on 05-12-2025) and monthly staff salary disbursements (Rs. 10,82,006.64 on 30-11-2025) are observed.</w:t>
        <w:br/>
        <w:br/>
        <w:t>One instance of a temporary overdraft was recorded on 02-10-2025, where the account reflected a balance of Rs. -3,02,383.54. However, this overdraft was promptly regularized on 03-10-2025, suggesting a quick rectification rather than a prolonged default. The available evidence does not indicate a pattern of habitual overdrawing.</w:t>
      </w:r>
    </w:p>
    <w:p>
      <w:pPr>
        <w:pStyle w:val="Heading1"/>
      </w:pPr>
      <w:r>
        <w:t>Tax and Statutory Compliance</w:t>
      </w:r>
    </w:p>
    <w:p>
      <w:r>
        <w:t>**Tax and Statutory Compliance**</w:t>
        <w:br/>
        <w:br/>
        <w:t>The company demonstrates a generally compliant approach to its statutory obligations. Management reports that the company has been regular in depositing undisputed statutory dues with the appropriate authorities, including Income-tax, Service tax, and Cess. Furthermore, there were no outstanding dues identified for Provident Fund, ESIC, Sales Tax, Custom Duty, or Excise Duty.</w:t>
        <w:br/>
        <w:br/>
        <w:t>Cost records are maintained in accordance with sub-section (1) of Section 148 of the Act, and a broad review indicates that the prescribed accounts and records have been made and maintained.</w:t>
        <w:br/>
        <w:br/>
        <w:t>The company's financial records reflect tax expenses, including provisions for current and deferred tax. It is also noted as being entitled to deductions under Section 80M of the Act. Transactions involving Goods and Services Tax (GST) are evident, with applicable CGST and SGST rates disclosed on invoices, and the company holds GST credit as well as balances with revenue authorities.</w:t>
      </w:r>
    </w:p>
    <w:p>
      <w:pPr>
        <w:pStyle w:val="Heading1"/>
      </w:pPr>
      <w:r>
        <w:t>Audit and Compliance</w:t>
      </w:r>
    </w:p>
    <w:p>
      <w:r>
        <w:t>## Audit and Compliance</w:t>
        <w:br/>
        <w:br/>
        <w:t>The Company's financial statements are in agreement with its books of account and comply with Accounting Standards specified under Section 133 of the Act, read with Rule 7 of the Companies (Accounts) Rules, 2014. Proper books of account have been maintained by the Company. Auditors have evaluated the overall presentation, structure, and content of the financial statements, including disclosures, to ensure fair presentation. Furthermore, the auditors communicate with those charged with governance regarding audit findings, including any significant deficiencies in internal control identified during the audit. No directors were disqualified as of March 31, 2025, in terms of Section 164(2) of the Act. The auditor's report includes a standard statement noting that future events or conditions may cause the Company to cease to continue as a going concern.</w:t>
        <w:br/>
        <w:br/>
        <w:t>However, reconciliation of key financial figures between the internal database and the retrieved financial statement evidence reveals several inconsistencies. While revenue, borrowings, and inventory figures reconcile, discrepancies were identified for net profit, cash and bank balances, trade receivables, cash flow from operations (CFO), and net cash flow. These material differences between the database records and the supplied financial statement evidence warrant further investigation.</w:t>
      </w:r>
    </w:p>
    <w:p>
      <w:pPr>
        <w:pStyle w:val="Heading1"/>
      </w:pPr>
      <w:r>
        <w:t>Risk Assessment</w:t>
      </w:r>
    </w:p>
    <w:p>
      <w:r>
        <w:t>Section: Risk Assessment</w:t>
        <w:br/>
        <w:br/>
        <w:t>**1. Financial Indebtedness and Solvency:**</w:t>
        <w:br/>
        <w:t>As of March 31, 2025, total borrowings (long-term and short-term) stood at ₹4,583.67 lakhs (equivalent to ₹45.84 Crores). This figure aligns with the `borrowings` database value. This represents a reduction from ₹6,070.71 lakhs as of March 31, 2024. The Debt-Equity Ratio notably improved to 0.79 as of March 31, 2025, from 2.81 in the prior year, marking a 71.69% decrease. This improvement is attributed to a reduction in debt combined with an infusion of equity capital during the year.</w:t>
        <w:br/>
        <w:br/>
        <w:t>*Inconsistency noted:* Evidence 1, summarizing borrowings as of September 30, 2025, reports total unsecured borrowings of ₹644.69 lakhs and no secured borrowings from banks. However, the same evidence subsequently details a secured machinery term loan facility of ₹54.68 lakhs availed from Mahindra &amp; Mahindra Financial Services Limited against Plant &amp; Machinery and Security Deposit. This discrepancy in the secured borrowing figures requires clarification.</w:t>
        <w:br/>
        <w:br/>
        <w:t>**2. Liquidity and Debt Servicing Capacity:**</w:t>
        <w:br/>
        <w:t>The Current Ratio improved to 1.85 as of March 31, 2025, from 1.34 as of March 31, 2024, an increase of 38.06%. This rise is primarily due to a significant increase in current assets, indicating enhanced short-term liquidity. However, a material liquidity risk is evidenced by consistently negative cash flow from operating activities, amounting to -₹678.25 lakhs (-₹6.78 Crores) for the year ended March 31, 2025, following -₹1,660.47 lakhs (-₹16.60 Crores) for the year ended March 31, 2024. The database `cfo` value of -6.78 Crores aligns with the reported evidence.</w:t>
        <w:br/>
        <w:br/>
        <w:t>The Debt Service Coverage Ratio (DSCR) remains low at 0.34 as of March 31, 2025, despite an increase from 0.27 in the prior year. This indicates a limited capacity to cover debt service obligations from operating income, although the improvement is attributed to higher EBIT and a reduction in debt servicing costs. Cash and Bank Balances as of March 31, 2025, were ₹115.38 lakhs (₹1.15 Crores). The database `cash_and_bank` value of 1.15 Crores aligns with this Balance Sheet figure. Trade receivables as of March 31, 2025, were ₹3,503.40 lakhs (₹35.03 Crores), aligning with the database `trade_receivables` value.</w:t>
        <w:br/>
        <w:br/>
        <w:t>**3. Contingent Liabilities and Export Obligations:**</w:t>
        <w:br/>
        <w:t>The company faces significant contingent liabilities related to export obligations. There is an outstanding export obligation with an extension from DGFT until April 28, 2026, carrying a potential custom duty liability of ₹184.53 lakhs (₹1.85 Crores) if not met. Furthermore, ₹85.69 lakhs (₹0.86 Crores) is disclosed as a contingent liability due to awaiting final closure letters from DGFT for fulfilled export obligations under EPCG Licenses. A Bank Guarantee of ₹73.69 lakhs (₹0.74 Crores) has been provided to DGFT, collateralized by a fixed deposit of ₹18.43 lakhs (₹0.18 Crores). Applications for time extensions to fulfill export obligations under the Advance License Scheme are pending, presenting an unquantified potential liability if not approved. These contingent liabilities represent a material financial exposure.</w:t>
        <w:br/>
        <w:br/>
        <w:t>**4. Operational and Covenant Risks:**</w:t>
        <w:br/>
        <w:t>The company's financial arrangements with lenders include restrictive covenants, and non-compliance could trigger defaults, potentially impacting its financial condition and future access to funding. While related party transactions are stated to be conducted on an arm’s length basis, there is no assurance that more favorable terms could not have been achieved with unrelated parties, potentially leading to adverse effects on the company's business, prospects, and financial condition.</w:t>
        <w:br/>
        <w:br/>
        <w:t>**5. Reconciliation Discrepancies:**</w:t>
        <w:br/>
        <w:t>The reconciliation results provided incorrectly flagged `cash_and_bank`, `trade_receivables`, `cfo`, and `net_cash_flow` as mismatches. Upon review, the evidence figures (expressed in Lakhs) directly convert to and align with the database values (expressed in Crores) for these items, demonstrating consistency after applying the unit conversion (1 Crore = 100 Lakhs). For example, `cash_and_bank` of ₹115.38 lakhs matches the database value of 1.15 Crores, and `cfo` of -₹678.25 lakhs matches the database value of -6.78 Crores.</w:t>
      </w:r>
    </w:p>
    <w:p>
      <w:pPr>
        <w:pStyle w:val="Heading1"/>
      </w:pPr>
      <w:r>
        <w:t>Collateral</w:t>
      </w:r>
    </w:p>
    <w:p>
      <w:r>
        <w:t>Section:</w:t>
        <w:br/>
        <w:t>Collateral</w:t>
        <w:br/>
        <w:br/>
        <w:t>The Company is empowered to create security over its assets to secure financial assistance and borrowings. Pursuant to Section 180(1)(a) of the Companies Act, 2013, the Board, by special resolution, may hypothecate, mortgage, pledge, and/or create a charge on all or any immovable and movable properties of the Company, both present and future. This authority also extends to charging the whole or substantially the whole of the undertaking(s) of the Company.</w:t>
        <w:br/>
        <w:br/>
        <w:t>Such collateral arrangements are subject to the consent of the members for an overall ceiling, as per Section 180(1)(c) of the Companies Act, 2013. This security is intended to benefit Lenders, including multilateral agencies and other creditors, by securing principal amounts, interest, fees, costs, charges, expenses, and all other monies payable under financing documents for loans (in rupee and/or foreign currency) and securities (comprising fully/partly convertible and/or non-convertible debentures).</w:t>
      </w:r>
    </w:p>
    <w:p>
      <w:pPr>
        <w:pStyle w:val="Heading1"/>
      </w:pPr>
      <w:r>
        <w:t>Data Consistency Review</w:t>
      </w:r>
    </w:p>
    <w:p>
      <w:r>
        <w:t>Data Consistency Review</w:t>
        <w:br/>
        <w:br/>
        <w:t>A review of key financial data points against the supplied evidence reveals several inconsistencies. The reconciliation results, which account for the unit conversion where 1 Crore equals 100 Lakhs, are detailed below.</w:t>
        <w:br/>
        <w:br/>
        <w:t>The following data points show consistency between the database and the financial statement evidence:</w:t>
        <w:br/>
        <w:t>*   **Revenue**: The database value of 122.56 Crores aligns with the retrieved evidence.</w:t>
        <w:br/>
        <w:t>*   **Borrowings**: The database value of 45.84 Crores aligns with the retrieved evidence.</w:t>
        <w:br/>
        <w:t>*   **Inventory**: The database value of 49.94 Crores aligns with the retrieved evidence.</w:t>
        <w:br/>
        <w:br/>
        <w:t>However, several material discrepancies were identified:</w:t>
        <w:br/>
        <w:t>*   **Net Profit**: The database value of 7.50 Crores does not reconcile with the retrieved evidence.</w:t>
        <w:br/>
        <w:t>*   **Cash and Bank Balances**: The database value of 1.15 Crores does not reconcile with the retrieved evidence. It is noted that the database refers specifically to the Balance Sheet item 'Cash and Bank Balances', which is distinct from the closing cash balance on the Cash Flow Statement due to Indian accounting classifications. Despite this distinction, a mismatch was recorded as no corresponding value was found in the evidence.</w:t>
        <w:br/>
        <w:t>*   **Trade Receivables**: The database value of 35.03 Crores does not reconcile with the retrieved evidence.</w:t>
        <w:br/>
        <w:t>*   **Cash Flow from Operations (CFO)**: The database value of -6.78 Crores does not reconcile with the retrieved evidence.</w:t>
        <w:br/>
        <w:t>*   **Net Cash Flow**: The database value of 0.02 Crores does not reconcile with the retrieved evidence.</w:t>
        <w:br/>
        <w:br/>
        <w:t>These inconsistencies require further investigation to ensure the accuracy and reliability of the financial data informing the credit assessment.</w:t>
      </w:r>
    </w:p>
    <w:p>
      <w:pPr>
        <w:pStyle w:val="Heading1"/>
      </w:pPr>
      <w:r>
        <w:t>Recommendation</w:t>
      </w:r>
    </w:p>
    <w:p>
      <w:r>
        <w:t>**Section: Recommendation**</w:t>
        <w:br/>
        <w:br/>
        <w:t>The Company has demonstrated notable improvements in several key financial metrics as of 31st March 2025, suggesting an enhanced financial profile in areas of liquidity, leverage, and profitability. The Current Ratio has strengthened to 1.85 (from 1.34 in FY24), indicating improved short-term liquidity. Leverage has significantly decreased, with the Debt-Equity Ratio reducing to 0.79 (from 2.81 in FY24), attributable to debt reduction and an increase in equity capital. Profitability has also improved, reflected by an increase in the Net Profit Ratio to 6.11% (from 4.40% in FY24) due to higher revenue, and Return on Capital Employed rising to 0.21 (from 0.18 in FY24). The database's Net Profit of 7.50 Crores for FY25 is consistent with the derived net profit based on the reported Net Profit Ratio of 6.11% and the revenue figure.</w:t>
        <w:br/>
        <w:br/>
        <w:t>However, significant areas of concern persist, primarily related to cash flow generation and debt servicing capacity. Despite an improvement, Net Cash Flow from Operating Activities remains negative at -678.25 Lakhs (-6.78 Crores) for FY25, indicating that core operations are still consuming cash. This figure aligns with the database's CFO value of -6.78 Crores, despite the reconciliation report erroneously flagging it as a mismatch. Similarly, the Net Increase / (Decrease) in Cash &amp; Cash Equivalents of 2.10 Lakhs (0.021 Crores) for FY25 matches the database's Net Cash Flow of 0.02 Crores, another point where the reconciliation report is inaccurate.</w:t>
        <w:br/>
        <w:br/>
        <w:t>Critically, the Debt Service Coverage Ratio (DSCR) remains very weak at 0.34 for FY25 (up from 0.27 in FY24). While the improvement is attributed to higher EBIT and reduced debt servicing costs, an absolute DSCR significantly below 1.0x raises substantial concerns regarding the Company's ability to meet its debt obligations from operational cash flows. Furthermore, the Trade Receivables turnover ratio decreased, implying slower collection periods, and the Trade Payables turnover ratio increased, suggesting faster payments to suppliers, both of which can strain working capital.</w:t>
        <w:br/>
        <w:br/>
        <w:t>The Company proposes to introduce credit terms for customers, a move previously unfeasible due to working capital constraints. This initiative, while potentially beneficial for market position, will undoubtedly increase working capital requirements, particularly in trade receivables, and could place additional pressure on already challenged operational cash flows and debt servicing capacity.</w:t>
        <w:br/>
        <w:br/>
        <w:t>**Recommendation:**</w:t>
        <w:br/>
        <w:t>Given the strong improvements in structural ratios (liquidity, leverage, profitability) but persistent critical weaknesses in cash flow generation and debt service coverage, a cautious approach is recommended. Any provision of credit should be contingent on:</w:t>
        <w:br/>
        <w:t>*   Robust monitoring of the Company’s working capital cycle, especially trade receivables collection, given the impending introduction of customer credit terms.</w:t>
        <w:br/>
        <w:t>*   A clear plan to improve the Debt Service Coverage Ratio above critically low levels.</w:t>
        <w:br/>
        <w:br/>
        <w:t>Insufficient evidence is provided to assess the specific Balance Sheet item 'Cash and Bank Balances' as distinct from the Cash Flow Statement's closing cash balance, as indicated by the reconciliation note for 'cash_and_bank'. Similarly, the absolute balance for 'trade_receivables' at 31st March 2025 is not explicitly provided in the evidence to directly comment on the reconciliation mismatch for this field.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