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Assessment Memo</w:t>
      </w:r>
    </w:p>
    <w:p>
      <w:pPr>
        <w:jc w:val="center"/>
      </w:pPr>
      <w:r>
        <w:rPr>
          <w:b/>
          <w:sz w:val="24"/>
        </w:rPr>
        <w:t xml:space="preserve">Company: </w:t>
      </w:r>
      <w:r>
        <w:rPr>
          <w:sz w:val="24"/>
        </w:rPr>
        <w:t>Durlax Top Surface Limited</w:t>
      </w:r>
    </w:p>
    <w:p>
      <w:pPr>
        <w:jc w:val="center"/>
      </w:pPr>
      <w:r>
        <w:rPr>
          <w:b/>
          <w:sz w:val="24"/>
        </w:rPr>
        <w:t xml:space="preserve">Financial Year: </w:t>
      </w:r>
      <w:r>
        <w:rPr>
          <w:sz w:val="24"/>
        </w:rPr>
        <w:t>2025</w:t>
      </w:r>
    </w:p>
    <w:p>
      <w:r>
        <w:br w:type="page"/>
      </w:r>
    </w:p>
    <w:p>
      <w:pPr>
        <w:pStyle w:val="Heading1"/>
        <w:jc w:val="left"/>
      </w:pPr>
      <w:r>
        <w:rPr>
          <w:b/>
          <w:sz w:val="28"/>
        </w:rPr>
        <w:t>Applicant Overview</w:t>
      </w:r>
    </w:p>
    <w:p>
      <w:pPr>
        <w:jc w:val="both"/>
      </w:pPr>
      <w:r>
        <w:rPr>
          <w:b w:val="0"/>
          <w:sz w:val="22"/>
        </w:rPr>
        <w:t>Durlax Top Surface Limited (the "Company") is incorporated with Corporate Identification Number (CIN) L74999MH2010PLC202712. The Company's registered office is located at Unit No. 1601, 16th Floor, Synergy Business Park, Bhd. Virwani Industrial Estate, Sahakarwadi, Off Vishweshwar Nagar Road, Goregaon(E), Mumbai - 400063. The factory address is Survey No 557/2 &amp; 558/1, Village: Moti Tambadi, Taluka: Pardi, District: Valsad, Vapi - 396193, Gujarat. The Company maintains a website at www.durlax.com and can be contacted at +91-22-61560000 or info@durlaxindia.com.</w:t>
      </w:r>
    </w:p>
    <w:p>
      <w:pPr>
        <w:jc w:val="both"/>
      </w:pPr>
      <w:r>
        <w:rPr>
          <w:b w:val="0"/>
          <w:sz w:val="22"/>
        </w:rPr>
        <w:t>While a specific business description is not provided in the evidence, the Company's asset base includes Plant &amp; Machinery, Buildings, Motor Vehicles, Computers, and Furniture, Fittings &amp; Electrical assets, suggesting operational activities potentially in manufacturing or an industrial sector. The Company's financial year concludes on March 31st, with the latest available information pertaining to the fiscal year ended March 31, 2025.</w:t>
      </w:r>
    </w:p>
    <w:p>
      <w:pPr>
        <w:jc w:val="both"/>
      </w:pPr>
      <w:r>
        <w:rPr>
          <w:b/>
          <w:sz w:val="22"/>
        </w:rPr>
        <w:t>Key Management Personnel and Board of Directors:</w:t>
      </w:r>
    </w:p>
    <w:p>
      <w:pPr>
        <w:jc w:val="both"/>
      </w:pPr>
      <w:r>
        <w:rPr>
          <w:b w:val="0"/>
          <w:sz w:val="22"/>
        </w:rPr>
        <w:t>As of the latest information, the Key Management Personnel (KMP) of Durlax Top Surface Limited include:</w:t>
      </w:r>
    </w:p>
    <w:p>
      <w:pPr>
        <w:pStyle w:val="ListBullet"/>
        <w:jc w:val="both"/>
      </w:pPr>
      <w:r>
        <w:rPr>
          <w:b w:val="0"/>
          <w:sz w:val="22"/>
        </w:rPr>
        <w:t>Mr. Shravan Suthar, Managing Director.</w:t>
      </w:r>
    </w:p>
    <w:p>
      <w:pPr>
        <w:pStyle w:val="ListBullet"/>
        <w:jc w:val="both"/>
      </w:pPr>
      <w:r>
        <w:rPr>
          <w:b w:val="0"/>
          <w:sz w:val="22"/>
        </w:rPr>
        <w:t>Mr. Lalit Suthar, Whole Time Director.</w:t>
      </w:r>
    </w:p>
    <w:p>
      <w:pPr>
        <w:pStyle w:val="ListBullet"/>
        <w:jc w:val="both"/>
      </w:pPr>
      <w:r>
        <w:rPr>
          <w:b w:val="0"/>
          <w:sz w:val="22"/>
        </w:rPr>
        <w:t>Ms. Kalpana Joshi, Chief Financial Officer (appointed effective September 19, 2023, succeeding Mr. Sunil Khalate).</w:t>
      </w:r>
    </w:p>
    <w:p>
      <w:pPr>
        <w:pStyle w:val="ListBullet"/>
        <w:jc w:val="both"/>
      </w:pPr>
      <w:r>
        <w:rPr>
          <w:b w:val="0"/>
          <w:sz w:val="22"/>
        </w:rPr>
        <w:t>Ms. Komal Birla, Company Secretary &amp; Compliance Officer (appointed effective May 20, 2024, succeeding Ms. Sejal Solanki).</w:t>
      </w:r>
    </w:p>
    <w:p>
      <w:pPr>
        <w:jc w:val="both"/>
      </w:pPr>
      <w:r>
        <w:rPr>
          <w:b w:val="0"/>
          <w:sz w:val="22"/>
        </w:rPr>
        <w:t>Other Directors mentioned in the evidence include Mr. Narayan Uttam Samantra, an Independent Director. Mr. Bhavesh Jain and Ms. Palak Jain were appointed as Independent Directors effective August 22, 2024. Former Independent Directors include Mr. Abhishek Bansal and Ms. Roxy Rajendra Teniwal, whose tenures concluded on August 22, 2024.</w:t>
      </w:r>
    </w:p>
    <w:p>
      <w:pPr>
        <w:jc w:val="both"/>
      </w:pPr>
      <w:r>
        <w:rPr>
          <w:b/>
          <w:sz w:val="22"/>
        </w:rPr>
        <w:t>Recent Corporate Developments:</w:t>
      </w:r>
    </w:p>
    <w:p>
      <w:pPr>
        <w:jc w:val="both"/>
      </w:pPr>
      <w:r>
        <w:rPr>
          <w:b w:val="0"/>
          <w:sz w:val="22"/>
        </w:rPr>
        <w:t>The Company successfully conducted an Initial Public Offering (IPO) in 2024, with its securities subsequently listed on the NSE Emerge Platform. The IPO offered Equity Shares with a face value of ₹10 each at a price of ₹68 per share.</w:t>
      </w:r>
    </w:p>
    <w:p>
      <w:pPr>
        <w:jc w:val="both"/>
      </w:pPr>
      <w:r>
        <w:rPr>
          <w:b w:val="0"/>
          <w:sz w:val="22"/>
        </w:rPr>
        <w:t>The 15th Annual General Meeting (AGM) of the Company was scheduled to adopt the financial statements for the year ended March 31, 2025, and consider the re-appointment of Mr. Lalit Suthar as a Director. Additionally, there has been a proposal to increase the managerial remuneration for Mr. Shravan Suthar and Mr. Lalit Suthar to ₹42.00 Lakhs per annum for their remaining tenure, anticipated to take effect during the fiscal year 2025-26.</w:t>
      </w:r>
    </w:p>
    <w:p>
      <w:pPr>
        <w:pStyle w:val="Heading1"/>
        <w:jc w:val="left"/>
      </w:pPr>
      <w:r>
        <w:rPr>
          <w:b/>
          <w:sz w:val="28"/>
        </w:rPr>
        <w:t>Company Background</w:t>
      </w:r>
    </w:p>
    <w:p>
      <w:pPr>
        <w:jc w:val="both"/>
      </w:pPr>
      <w:r>
        <w:rPr>
          <w:b/>
          <w:sz w:val="22"/>
        </w:rPr>
        <w:t>Durlax Top Surface Limited: Company Background</w:t>
      </w:r>
    </w:p>
    <w:p>
      <w:pPr>
        <w:jc w:val="both"/>
      </w:pPr>
      <w:r>
        <w:rPr>
          <w:b w:val="0"/>
          <w:sz w:val="22"/>
        </w:rPr>
        <w:t>Durlax Top Surface Limited was initially incorporated in 2010 as a private limited company under the name ‘Durlax Archtech Private Limited’. The company underwent a significant transformation in 2023, converting to a Public Limited Company, and subsequently listed on the NSE Emerge Platform in 2024.</w:t>
      </w:r>
    </w:p>
    <w:p>
      <w:pPr>
        <w:jc w:val="both"/>
      </w:pPr>
      <w:r>
        <w:rPr>
          <w:b w:val="0"/>
          <w:sz w:val="22"/>
        </w:rPr>
        <w:t>The company's core business involves the manufacturing and trading of Solid Surfaces. Key brand launches include ‘Luxor’ and ‘Aspiron®’ in 2011, followed by the expansion with ‘Heronitez™’ in the financial year 2024-25. Durlax Top Surface Limited established a state-of-the-art manufacturing unit in Vapi, Gujarat, in 2017, commencing commercial production and initiating its first product exports under its own brand in the same year. The company holds ISO 9001:2015 certification for sourcing, trading, and supply chain services, and ISO 14001:2015 for manufacturing and trading various kinds of Solid Surfaces, both received in 2016.</w:t>
      </w:r>
    </w:p>
    <w:p>
      <w:pPr>
        <w:jc w:val="both"/>
      </w:pPr>
      <w:r>
        <w:rPr>
          <w:b w:val="0"/>
          <w:sz w:val="22"/>
        </w:rPr>
        <w:t>Operationally, the company has demonstrated growth, with annual revenues crossing ₹30 Crores for the first time in 2016, and ₹40 Crores in 2018. For the financial year ended March 31, 2025, the company achieved an operational income of ₹125 Crores (Rs. 12,500 Lakhs), surpassing the ₹100 Crore milestone.</w:t>
      </w:r>
    </w:p>
    <w:p>
      <w:pPr>
        <w:jc w:val="both"/>
      </w:pPr>
      <w:r>
        <w:rPr>
          <w:b/>
          <w:sz w:val="22"/>
        </w:rPr>
        <w:t>Management and Governance:</w:t>
      </w:r>
    </w:p>
    <w:p>
      <w:pPr>
        <w:jc w:val="both"/>
      </w:pPr>
      <w:r>
        <w:rPr>
          <w:b w:val="0"/>
          <w:sz w:val="22"/>
        </w:rPr>
        <w:t>The Board of Directors includes Mr. Shravan Suthar as the Managing Director and Mr. Lalit Suthar (DIN: 02985324) as a Whole-time Director (also referred to as Sales Director). The company's directors have opted to retain reserves and surplus to support ongoing expansion and diversification plans, aligning with its growth stage.</w:t>
      </w:r>
    </w:p>
    <w:p>
      <w:pPr>
        <w:jc w:val="both"/>
      </w:pPr>
      <w:r>
        <w:rPr>
          <w:b w:val="0"/>
          <w:sz w:val="22"/>
        </w:rPr>
        <w:t>The Board also comprises Non-Executive Independent Directors, including Mr. Narayan Uttam Samantra (DIN: 09798498), Mr. Bhavesh Rajendra Jain (DIN: 10745884), and Ms. Palak Jain (DIN: 09182098). The company conducts annual evaluations of the Board, its committees, and individual directors based on various criteria, with the performance of non-independent directors evaluated by the independent directors. A remuneration policy is in place for Directors, Key Managerial Personnel, and Senior Management. A proposal to increase the managerial remuneration for Mr. Lalit Suthar, Whole-time Director, to Rs. 42,00,000 per annum for FY 2025-26 has been approved by the Remuneration Committee and the Board of Directors, and is subject to member approval.</w:t>
      </w:r>
    </w:p>
    <w:p>
      <w:pPr>
        <w:jc w:val="both"/>
      </w:pPr>
      <w:r>
        <w:rPr>
          <w:b/>
          <w:sz w:val="22"/>
        </w:rPr>
        <w:t>Corporate Structure:</w:t>
      </w:r>
    </w:p>
    <w:p>
      <w:pPr>
        <w:jc w:val="both"/>
      </w:pPr>
      <w:r>
        <w:rPr>
          <w:b w:val="0"/>
          <w:sz w:val="22"/>
        </w:rPr>
        <w:t>Durlax Top Surface Limited operates as a standalone entity and does not have any Subsidiary, Joint Venture, or Associate Company.</w:t>
      </w:r>
    </w:p>
    <w:p>
      <w:pPr>
        <w:jc w:val="both"/>
      </w:pPr>
      <w:r>
        <w:rPr>
          <w:b w:val="0"/>
          <w:sz w:val="22"/>
        </w:rPr>
        <w:t>Further details regarding the company's Registered Office and Corporate Identification Number (CIN) are not available in the provided evidence.</w:t>
      </w:r>
    </w:p>
    <w:p>
      <w:pPr>
        <w:pStyle w:val="Heading1"/>
        <w:jc w:val="left"/>
      </w:pPr>
      <w:r>
        <w:rPr>
          <w:b/>
          <w:sz w:val="28"/>
        </w:rPr>
        <w:t>Financial Analysis</w:t>
      </w:r>
    </w:p>
    <w:p>
      <w:pPr>
        <w:jc w:val="both"/>
      </w:pPr>
      <w:r>
        <w:rPr>
          <w:b w:val="0"/>
          <w:sz w:val="22"/>
        </w:rPr>
        <w:t>Durlax Top Surface Limited (the "Company") demonstrated strong financial performance and balance sheet improvements for the year ended 31 March, 2025, with significant growth in revenue and profitability. All figures below are in Lakhs unless otherwise specified.</w:t>
      </w:r>
    </w:p>
    <w:p>
      <w:pPr>
        <w:jc w:val="both"/>
      </w:pPr>
      <w:r>
        <w:rPr>
          <w:b/>
          <w:sz w:val="22"/>
        </w:rPr>
        <w:t>Income Statement Analysis:</w:t>
      </w:r>
    </w:p>
    <w:p>
      <w:pPr>
        <w:jc w:val="both"/>
      </w:pPr>
      <w:r>
        <w:rPr>
          <w:b w:val="0"/>
          <w:sz w:val="22"/>
        </w:rPr>
        <w:t>The Company's total revenue experienced substantial growth, increasing by 37.40% to 12,482.01 in FY25 from 9,083.93 in FY24. This was primarily driven by a 35.13% rise in revenue from operations to 12,265.25 in FY25 (FY24: 9,076.42). Other income also saw a remarkable increase to 216.76 in FY25 from 7.51 in FY24.</w:t>
      </w:r>
    </w:p>
    <w:p>
      <w:pPr>
        <w:jc w:val="both"/>
      </w:pPr>
      <w:r>
        <w:rPr>
          <w:b w:val="0"/>
          <w:sz w:val="22"/>
        </w:rPr>
        <w:t>Total expenses grew by 33.94% to 11,485.29 in FY25 (FY24: 8,575.26). Cost of materials consumed, the largest component of expenses, increased by 31.63% to 9,803.38 in FY25 (FY24: 7,447.64). Employee benefits expense rose by 36.23% to 231.30 (FY24: 169.79), and other expenses increased by 23.19% to 843.85 (FY24: 685.01). Finance costs saw a marginal decrease of 1.07% to 374.54 in FY25 (FY24: 378.59). Depreciation and amortisation expense increased by 9.68% to 245.43 (FY24: 223.77).</w:t>
      </w:r>
    </w:p>
    <w:p>
      <w:pPr>
        <w:jc w:val="both"/>
      </w:pPr>
      <w:r>
        <w:rPr>
          <w:b w:val="0"/>
          <w:sz w:val="22"/>
        </w:rPr>
        <w:t>Profitability showed robust improvement. Profit Before Tax (PBT) surged by 141.74% to 996.72 in FY25 (FY24: 412.28). The net profit after tax from continuing operations also significantly increased by 87.72% to 749.66 in FY25, up from 399.34 in FY24. The Company did not report any profit or loss from discontinuing operations in either period.</w:t>
      </w:r>
    </w:p>
    <w:p>
      <w:pPr>
        <w:jc w:val="both"/>
      </w:pPr>
      <w:r>
        <w:rPr>
          <w:b w:val="0"/>
          <w:sz w:val="22"/>
        </w:rPr>
        <w:t>*Note on Inconsistency: The financial figures presented for the Income Statement prioritize Evidence 4 and 7 as they provide a complete and consistent Statement of Profit and Loss for Durlax Top Surface Limited. Other evidence snippets (e.g., Evidence 3) contained differing figures for certain line items; thus, Evidence 4 and 7 were deemed more reliable for this assessment.*</w:t>
      </w:r>
    </w:p>
    <w:p>
      <w:pPr>
        <w:jc w:val="both"/>
      </w:pPr>
      <w:r>
        <w:rPr>
          <w:b/>
          <w:sz w:val="22"/>
        </w:rPr>
        <w:t>Balance Sheet Analysis (As at 31 March):</w:t>
      </w:r>
    </w:p>
    <w:p>
      <w:pPr>
        <w:jc w:val="both"/>
      </w:pPr>
      <w:r>
        <w:rPr>
          <w:b w:val="0"/>
          <w:sz w:val="22"/>
        </w:rPr>
        <w:t>The Company's balance sheet reflects strengthened equity and a reduction in overall borrowings. Total Shareholders' funds increased significantly by 166.72% to 5,768.42 in FY25 (FY24: 2,162.76), primarily driven by a substantial rise in Reserves and Surplus to 4,105.65 (FY24: 919.99) and an increase in Share Capital to 1,662.77 (FY24: 1,242.77).</w:t>
      </w:r>
    </w:p>
    <w:p>
      <w:pPr>
        <w:jc w:val="both"/>
      </w:pPr>
      <w:r>
        <w:rPr>
          <w:b w:val="0"/>
          <w:sz w:val="22"/>
        </w:rPr>
        <w:t>Total borrowings (Long-term and Short-term) decreased by 24.49% to 4,583.67 in FY25 (FY24: 6,070.71). This reduction was mainly due to a 67.88% decrease in long-term borrowings to 667.11 (FY24: 2,070.88), while short-term borrowings remained relatively stable at 3,916.56 (FY24: 3,999.83).</w:t>
      </w:r>
    </w:p>
    <w:p>
      <w:pPr>
        <w:jc w:val="both"/>
      </w:pPr>
      <w:r>
        <w:rPr>
          <w:b w:val="0"/>
          <w:sz w:val="22"/>
        </w:rPr>
        <w:t>Total assets increased to 11,477.93 in FY25 (FY24: 10,553.51). Property, Plant and Equipment (PPE) slightly decreased by 9.52% to 1,839.43 (FY24: 2,032.94). The Company has not revalued its property, plant and assets during the current or previous year, indicating values are at historical cost.</w:t>
      </w:r>
    </w:p>
    <w:p>
      <w:pPr>
        <w:jc w:val="both"/>
      </w:pPr>
      <w:r>
        <w:rPr>
          <w:b w:val="0"/>
          <w:sz w:val="22"/>
        </w:rPr>
        <w:t>Working capital components show mixed trends. Inventories increased marginally by 1.29% to 4,993.90 in FY25 (FY24: 4,930.31). Trade receivables increased by 16.44% to 3,503.40 (FY24: 3,008.77). A breakdown of trade receivables indicates that 91.00% (3,187.85) were less than 6 months old in FY25, similar to 96.57% (2,905.64) in FY24. Trade payables significantly decreased by 61.64% to 821.39 in FY25 (FY24: 2,141.07). Other current assets saw a substantial increase of 80.53% to 554.00 (FY24: 306.84).</w:t>
      </w:r>
    </w:p>
    <w:p>
      <w:pPr>
        <w:jc w:val="both"/>
      </w:pPr>
      <w:r>
        <w:rPr>
          <w:b w:val="0"/>
          <w:sz w:val="22"/>
        </w:rPr>
        <w:t>Cash and Bank Balance slightly decreased by 5.89% to 115.38 in FY25 (FY24: 122.60). Of this, 101.09 in FY25 (FY24: 110.41) represents Margin Money with Bank, which is a fixed deposit held as a lien against Letters of Credit. Therefore, the freely available cash is lower at 14.29 in FY25 (FY24: 12.19, calculated as total cash and bank balance less margin money).</w:t>
      </w:r>
    </w:p>
    <w:p>
      <w:pPr>
        <w:jc w:val="both"/>
      </w:pPr>
      <w:r>
        <w:rPr>
          <w:b/>
          <w:sz w:val="22"/>
        </w:rPr>
        <w:t>Cash Flow Statement Analysis:</w:t>
      </w:r>
    </w:p>
    <w:p>
      <w:pPr>
        <w:jc w:val="both"/>
      </w:pPr>
      <w:r>
        <w:rPr>
          <w:b w:val="0"/>
          <w:sz w:val="22"/>
        </w:rPr>
        <w:t>The Net Cash Flow from Operating Activities (CFO) showed a significant improvement, with the outflow reducing by 59.15% to -678.25 in FY25, compared to an outflow of -1,660.47 in FY24. This improvement was supported by a reduction in the negative cash generated from operations (before direct taxes paid) from -1,658.79 in FY24 to -538.94 in FY25, despite substantial direct taxes paid of 139.31 in FY25 (FY24: 1.68).</w:t>
      </w:r>
    </w:p>
    <w:p>
      <w:pPr>
        <w:jc w:val="both"/>
      </w:pPr>
      <w:r>
        <w:rPr>
          <w:b w:val="0"/>
          <w:sz w:val="22"/>
        </w:rPr>
        <w:t>Cash outflow from investing activities was -51.96 in FY25 (FY24: -311.32, which included larger capital expenditures).</w:t>
      </w:r>
    </w:p>
    <w:p>
      <w:pPr>
        <w:jc w:val="both"/>
      </w:pPr>
      <w:r>
        <w:rPr>
          <w:b w:val="0"/>
          <w:sz w:val="22"/>
        </w:rPr>
        <w:t>The net increase in cash and cash equivalents for the year was 2.10 in FY25, a decrease from 8.23 in FY24, suggesting a smaller build-up of overall cash balances by year-end. The cash and cash equivalents at the end of the year stood at 14.29 (FY24: 12.20).</w:t>
      </w:r>
    </w:p>
    <w:p>
      <w:pPr>
        <w:jc w:val="both"/>
      </w:pPr>
      <w:r>
        <w:rPr>
          <w:b/>
          <w:sz w:val="22"/>
        </w:rPr>
        <w:t>Key Management Personnel (KMP):</w:t>
      </w:r>
    </w:p>
    <w:p>
      <w:pPr>
        <w:jc w:val="both"/>
      </w:pPr>
      <w:r>
        <w:rPr>
          <w:b w:val="0"/>
          <w:sz w:val="22"/>
        </w:rPr>
        <w:t>Mr. Shravan Suthar is the Managing Director of Durlax Top Surface Limited. Personal Guarantees have been provided by Mr. Shravan Suthar, Mr. Lalit Suthar, and Mr. Laxmichand Suthar, indicating direct KMP commitment to the Company's financial obligations.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Fy25</w:t>
            </w:r>
          </w:p>
        </w:tc>
        <w:tc>
          <w:tcPr>
            <w:tcW w:type="dxa" w:w="2160"/>
          </w:tcPr>
          <w:p>
            <w:r>
              <w:rPr>
                <w:b/>
              </w:rPr>
              <w:t>Fy24</w:t>
            </w:r>
          </w:p>
        </w:tc>
        <w:tc>
          <w:tcPr>
            <w:tcW w:type="dxa" w:w="2160"/>
          </w:tcPr>
          <w:p>
            <w:r>
              <w:rPr>
                <w:b/>
              </w:rPr>
              <w:t>Change</w:t>
            </w:r>
          </w:p>
        </w:tc>
      </w:tr>
      <w:tr>
        <w:tc>
          <w:tcPr>
            <w:tcW w:type="dxa" w:w="2160"/>
          </w:tcPr>
          <w:p>
            <w:r>
              <w:t>Total Revenue</w:t>
            </w:r>
          </w:p>
        </w:tc>
        <w:tc>
          <w:tcPr>
            <w:tcW w:type="dxa" w:w="2160"/>
          </w:tcPr>
          <w:p>
            <w:r>
              <w:t>12,482.01</w:t>
            </w:r>
          </w:p>
        </w:tc>
        <w:tc>
          <w:tcPr>
            <w:tcW w:type="dxa" w:w="2160"/>
          </w:tcPr>
          <w:p>
            <w:r>
              <w:t>9,083.93</w:t>
            </w:r>
          </w:p>
        </w:tc>
        <w:tc>
          <w:tcPr>
            <w:tcW w:type="dxa" w:w="2160"/>
          </w:tcPr>
          <w:p>
            <w:r>
              <w:t>+37.40%</w:t>
            </w:r>
          </w:p>
        </w:tc>
      </w:tr>
      <w:tr>
        <w:tc>
          <w:tcPr>
            <w:tcW w:type="dxa" w:w="2160"/>
          </w:tcPr>
          <w:p>
            <w:r>
              <w:t>Net Profit After Tax</w:t>
            </w:r>
          </w:p>
        </w:tc>
        <w:tc>
          <w:tcPr>
            <w:tcW w:type="dxa" w:w="2160"/>
          </w:tcPr>
          <w:p>
            <w:r>
              <w:t>749.66</w:t>
            </w:r>
          </w:p>
        </w:tc>
        <w:tc>
          <w:tcPr>
            <w:tcW w:type="dxa" w:w="2160"/>
          </w:tcPr>
          <w:p>
            <w:r>
              <w:t>399.34</w:t>
            </w:r>
          </w:p>
        </w:tc>
        <w:tc>
          <w:tcPr>
            <w:tcW w:type="dxa" w:w="2160"/>
          </w:tcPr>
          <w:p>
            <w:r>
              <w:t>+87.72%</w:t>
            </w:r>
          </w:p>
        </w:tc>
      </w:tr>
      <w:tr>
        <w:tc>
          <w:tcPr>
            <w:tcW w:type="dxa" w:w="2160"/>
          </w:tcPr>
          <w:p>
            <w:r>
              <w:t>Total Borrowings</w:t>
            </w:r>
          </w:p>
        </w:tc>
        <w:tc>
          <w:tcPr>
            <w:tcW w:type="dxa" w:w="2160"/>
          </w:tcPr>
          <w:p>
            <w:r>
              <w:t>4,583.67</w:t>
            </w:r>
          </w:p>
        </w:tc>
        <w:tc>
          <w:tcPr>
            <w:tcW w:type="dxa" w:w="2160"/>
          </w:tcPr>
          <w:p>
            <w:r>
              <w:t>6,070.71</w:t>
            </w:r>
          </w:p>
        </w:tc>
        <w:tc>
          <w:tcPr>
            <w:tcW w:type="dxa" w:w="2160"/>
          </w:tcPr>
          <w:p>
            <w:r>
              <w:t>-24.49%</w:t>
            </w:r>
          </w:p>
        </w:tc>
      </w:tr>
      <w:tr>
        <w:tc>
          <w:tcPr>
            <w:tcW w:type="dxa" w:w="2160"/>
          </w:tcPr>
          <w:p>
            <w:r>
              <w:t>Cash and Bank Balance</w:t>
            </w:r>
          </w:p>
        </w:tc>
        <w:tc>
          <w:tcPr>
            <w:tcW w:type="dxa" w:w="2160"/>
          </w:tcPr>
          <w:p>
            <w:r>
              <w:t>115.38</w:t>
            </w:r>
          </w:p>
        </w:tc>
        <w:tc>
          <w:tcPr>
            <w:tcW w:type="dxa" w:w="2160"/>
          </w:tcPr>
          <w:p>
            <w:r>
              <w:t>122.60</w:t>
            </w:r>
          </w:p>
        </w:tc>
        <w:tc>
          <w:tcPr>
            <w:tcW w:type="dxa" w:w="2160"/>
          </w:tcPr>
          <w:p>
            <w:r>
              <w:t>-5.89%</w:t>
            </w:r>
          </w:p>
        </w:tc>
      </w:tr>
      <w:tr>
        <w:tc>
          <w:tcPr>
            <w:tcW w:type="dxa" w:w="2160"/>
          </w:tcPr>
          <w:p>
            <w:r>
              <w:t>Inventories</w:t>
            </w:r>
          </w:p>
        </w:tc>
        <w:tc>
          <w:tcPr>
            <w:tcW w:type="dxa" w:w="2160"/>
          </w:tcPr>
          <w:p>
            <w:r>
              <w:t>4,993.90</w:t>
            </w:r>
          </w:p>
        </w:tc>
        <w:tc>
          <w:tcPr>
            <w:tcW w:type="dxa" w:w="2160"/>
          </w:tcPr>
          <w:p>
            <w:r>
              <w:t>4,930.31</w:t>
            </w:r>
          </w:p>
        </w:tc>
        <w:tc>
          <w:tcPr>
            <w:tcW w:type="dxa" w:w="2160"/>
          </w:tcPr>
          <w:p>
            <w:r>
              <w:t>+1.29%</w:t>
            </w:r>
          </w:p>
        </w:tc>
      </w:tr>
      <w:tr>
        <w:tc>
          <w:tcPr>
            <w:tcW w:type="dxa" w:w="2160"/>
          </w:tcPr>
          <w:p>
            <w:r>
              <w:t>Trade Receivables</w:t>
            </w:r>
          </w:p>
        </w:tc>
        <w:tc>
          <w:tcPr>
            <w:tcW w:type="dxa" w:w="2160"/>
          </w:tcPr>
          <w:p>
            <w:r>
              <w:t>3,503.40</w:t>
            </w:r>
          </w:p>
        </w:tc>
        <w:tc>
          <w:tcPr>
            <w:tcW w:type="dxa" w:w="2160"/>
          </w:tcPr>
          <w:p>
            <w:r>
              <w:t>3,008.77</w:t>
            </w:r>
          </w:p>
        </w:tc>
        <w:tc>
          <w:tcPr>
            <w:tcW w:type="dxa" w:w="2160"/>
          </w:tcPr>
          <w:p>
            <w:r>
              <w:t>+16.44%</w:t>
            </w:r>
          </w:p>
        </w:tc>
      </w:tr>
      <w:tr>
        <w:tc>
          <w:tcPr>
            <w:tcW w:type="dxa" w:w="2160"/>
          </w:tcPr>
          <w:p>
            <w:r>
              <w:t>Net Cash Flow from Operating Activities (CFO)</w:t>
            </w:r>
          </w:p>
        </w:tc>
        <w:tc>
          <w:tcPr>
            <w:tcW w:type="dxa" w:w="2160"/>
          </w:tcPr>
          <w:p>
            <w:r>
              <w:t>-678.25</w:t>
            </w:r>
          </w:p>
        </w:tc>
        <w:tc>
          <w:tcPr>
            <w:tcW w:type="dxa" w:w="2160"/>
          </w:tcPr>
          <w:p>
            <w:r>
              <w:t>-1,660.47</w:t>
            </w:r>
          </w:p>
        </w:tc>
        <w:tc>
          <w:tcPr>
            <w:tcW w:type="dxa" w:w="2160"/>
          </w:tcPr>
          <w:p>
            <w:r>
              <w:t>+59.15%</w:t>
            </w:r>
          </w:p>
        </w:tc>
      </w:tr>
      <w:tr>
        <w:tc>
          <w:tcPr>
            <w:tcW w:type="dxa" w:w="2160"/>
          </w:tcPr>
          <w:p>
            <w:r>
              <w:t>Net Increase / (Decrease) in Cash &amp; Cash Equivalents</w:t>
            </w:r>
          </w:p>
        </w:tc>
        <w:tc>
          <w:tcPr>
            <w:tcW w:type="dxa" w:w="2160"/>
          </w:tcPr>
          <w:p>
            <w:r>
              <w:t>2.10</w:t>
            </w:r>
          </w:p>
        </w:tc>
        <w:tc>
          <w:tcPr>
            <w:tcW w:type="dxa" w:w="2160"/>
          </w:tcPr>
          <w:p>
            <w:r>
              <w:t>8.23</w:t>
            </w:r>
          </w:p>
        </w:tc>
        <w:tc>
          <w:tcPr>
            <w:tcW w:type="dxa" w:w="2160"/>
          </w:tcPr>
          <w:p>
            <w:r>
              <w:t>-74.48%</w:t>
            </w:r>
          </w:p>
        </w:tc>
      </w:tr>
    </w:tbl>
    <w:p/>
    <w:p>
      <w:pPr>
        <w:pStyle w:val="Heading1"/>
        <w:jc w:val="left"/>
      </w:pPr>
      <w:r>
        <w:rPr>
          <w:b/>
          <w:sz w:val="28"/>
        </w:rPr>
        <w:t>Banking Conduct</w:t>
      </w:r>
    </w:p>
    <w:p>
      <w:pPr>
        <w:jc w:val="both"/>
      </w:pPr>
      <w:r>
        <w:rPr>
          <w:b w:val="0"/>
          <w:sz w:val="22"/>
        </w:rPr>
        <w:t>Durlax Top Surface Limited maintains active banking relationships and facilities to support its operations and growth.</w:t>
      </w:r>
    </w:p>
    <w:p>
      <w:pPr>
        <w:jc w:val="both"/>
      </w:pPr>
      <w:r>
        <w:rPr>
          <w:b/>
          <w:sz w:val="22"/>
        </w:rPr>
        <w:t>Cash and Bank Balances:</w:t>
      </w:r>
    </w:p>
    <w:p>
      <w:pPr>
        <w:jc w:val="both"/>
      </w:pPr>
      <w:r>
        <w:rPr>
          <w:b w:val="0"/>
          <w:sz w:val="22"/>
        </w:rPr>
        <w:t>As of March 31, 2025, Durlax Top Surface Limited's total Cash and Bank Balance stood at INR 3,503.40 Lakhs, reflecting an increase from INR 3,008.77 Lakhs as of March 31, 2024. The majority of these balances, INR 3,187.85 Lakhs in FY25 and INR 2,905.64 Lakhs in FY24, are classified as having maturities of less than 6 months. Cash on hand amounted to INR 12.95 Lakhs (FY25) and INR 11.54 Lakhs (FY24).</w:t>
      </w:r>
    </w:p>
    <w:p>
      <w:pPr>
        <w:jc w:val="both"/>
      </w:pPr>
      <w:r>
        <w:rPr>
          <w:b w:val="0"/>
          <w:sz w:val="22"/>
        </w:rPr>
        <w:t>The company also holds restricted cash in the form of a collateral security deposit of INR 10.33 Lakhs against a Bank Guarantee issued for an EPCG scheme. Furthermore, INR 730.00 Lakhs in the form of a Cash Margin Fixed Deposit Receipt (FDR) is held as security, implying a portion of the company's deposits is not freely available. The Cash Flow Statement indicates an increase in Fixed Deposits by INR 301.60 Lakhs in FY25 and INR 24.30 Lakhs in FY24.</w:t>
      </w:r>
    </w:p>
    <w:p>
      <w:pPr>
        <w:jc w:val="both"/>
      </w:pPr>
      <w:r>
        <w:rPr>
          <w:b/>
          <w:sz w:val="22"/>
        </w:rPr>
        <w:t>Existing Banking Facilities and Conduct:</w:t>
      </w:r>
    </w:p>
    <w:p>
      <w:pPr>
        <w:jc w:val="both"/>
      </w:pPr>
      <w:r>
        <w:rPr>
          <w:b w:val="0"/>
          <w:sz w:val="22"/>
        </w:rPr>
        <w:t>The company operates a Cash Credit (Working Capital) account (No. XXXX XXXX 4471) with SAMPLE BANK OF INDIA (SYNTHETIC), Goregaon East branch, which has a sanctioned limit of INR 3,500.00 Lakhs. Analysis of the bank statement for October 01, 2025, to December 31, 2025, indicates active utilization of this facility, with regular credits from invoice payments and debits for operational expenses, supplier payments, salary disbursements (e.g., INR 10,82,006.64 on 30-11-2025), tax payments (TDS of INR 1,13,155.28 on 15-12-2025, GST of INR 3,80,575.03 on 07-12-2025), and term loan EMI repayments (e.g., INR 4,12,640.00 on 05-12-2025). The account balance shows fluctuations, including occasional debit balances, consistent with active working capital management.</w:t>
      </w:r>
    </w:p>
    <w:p>
      <w:pPr>
        <w:jc w:val="both"/>
      </w:pPr>
      <w:r>
        <w:rPr>
          <w:b w:val="0"/>
          <w:sz w:val="22"/>
        </w:rPr>
        <w:t>Durlax Top Surface Limited also has several term loan facilities, including:</w:t>
      </w:r>
    </w:p>
    <w:p>
      <w:pPr>
        <w:pStyle w:val="ListBullet"/>
        <w:jc w:val="both"/>
      </w:pPr>
      <w:r>
        <w:rPr>
          <w:b w:val="0"/>
          <w:sz w:val="22"/>
        </w:rPr>
        <w:t>An INR 300.00 Lakhs loan at 11.75% ROI for 3 years from "Tata [Limited]", secured by a personal guarantee from Mr. Shravan Suthar.</w:t>
      </w:r>
    </w:p>
    <w:p>
      <w:pPr>
        <w:pStyle w:val="ListBullet"/>
        <w:jc w:val="both"/>
      </w:pPr>
      <w:r>
        <w:rPr>
          <w:b w:val="0"/>
          <w:sz w:val="22"/>
        </w:rPr>
        <w:t>An INR 206.00 Lakhs loan at 11.00% ROI for 5 years, secured by a charge on Plant &amp; Machinery, a Security Deposit, and personal guarantees from Mr. Shravan Suthar and Mr. Lalit Suthar.</w:t>
      </w:r>
    </w:p>
    <w:p>
      <w:pPr>
        <w:pStyle w:val="ListBullet"/>
        <w:jc w:val="both"/>
      </w:pPr>
      <w:r>
        <w:rPr>
          <w:b w:val="0"/>
          <w:sz w:val="22"/>
        </w:rPr>
        <w:t>Other term loans include INR 50.00 Lakhs at 16.00% ROI for 3 years, INR 35.15 Lakhs at 15.00% ROI for 3 years, INR 30.15 Lakhs at 17.00% ROI for 3 years, and INR 39.7 Lakhs at 17.00% ROI for 5 years.</w:t>
      </w:r>
    </w:p>
    <w:p>
      <w:pPr>
        <w:pStyle w:val="ListBullet"/>
        <w:jc w:val="both"/>
      </w:pPr>
      <w:r>
        <w:rPr>
          <w:b w:val="0"/>
          <w:sz w:val="22"/>
        </w:rPr>
        <w:t>The outstanding balance for unsecured loans and interest as of March 31, 2025, was INR 814.32 Lakhs, a decrease from INR 2,097.19 Lakhs as of March 31, 2024.</w:t>
      </w:r>
    </w:p>
    <w:p>
      <w:pPr>
        <w:jc w:val="both"/>
      </w:pPr>
      <w:r>
        <w:rPr>
          <w:b w:val="0"/>
          <w:sz w:val="22"/>
        </w:rPr>
        <w:t>In addition to fund-based facilities, the company has a Bank Guarantee for INR 32.72 Lakhs under the EPCG Scheme, supported by a collateral security deposit of INR 10.33 Lakhs.</w:t>
      </w:r>
    </w:p>
    <w:p>
      <w:pPr>
        <w:jc w:val="both"/>
      </w:pPr>
      <w:r>
        <w:rPr>
          <w:b/>
          <w:sz w:val="22"/>
        </w:rPr>
        <w:t>Security and Guarantees:</w:t>
      </w:r>
    </w:p>
    <w:p>
      <w:pPr>
        <w:jc w:val="both"/>
      </w:pPr>
      <w:r>
        <w:rPr>
          <w:b w:val="0"/>
          <w:sz w:val="22"/>
        </w:rPr>
        <w:t>Existing facilities are primarily secured by current assets and on a pari passu basis on Land, Building, Plant &amp; Machinery. Personal Guarantees have been provided by Mr. Shravan Suthar, Mr. Lalit Suthar, and Mr. Laxmichand for certain facilities, including the INR 730.00 Lakhs Cash Margin FDR. The Board of Directors has broad authorization to borrow and provide guarantees or security up to an aggregate amount not exceeding INR 200 Crores (INR 20,000 Lakhs).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Lender</w:t>
            </w:r>
          </w:p>
        </w:tc>
        <w:tc>
          <w:tcPr>
            <w:tcW w:type="dxa" w:w="1728"/>
          </w:tcPr>
          <w:p>
            <w:r>
              <w:rPr>
                <w:b/>
              </w:rPr>
              <w:t>Facility Type</w:t>
            </w:r>
          </w:p>
        </w:tc>
        <w:tc>
          <w:tcPr>
            <w:tcW w:type="dxa" w:w="1728"/>
          </w:tcPr>
          <w:p>
            <w:r>
              <w:rPr>
                <w:b/>
              </w:rPr>
              <w:t>Amount Lakhs</w:t>
            </w:r>
          </w:p>
        </w:tc>
        <w:tc>
          <w:tcPr>
            <w:tcW w:type="dxa" w:w="1728"/>
          </w:tcPr>
          <w:p>
            <w:r>
              <w:rPr>
                <w:b/>
              </w:rPr>
              <w:t>Roi</w:t>
            </w:r>
          </w:p>
        </w:tc>
        <w:tc>
          <w:tcPr>
            <w:tcW w:type="dxa" w:w="1728"/>
          </w:tcPr>
          <w:p>
            <w:r>
              <w:rPr>
                <w:b/>
              </w:rPr>
              <w:t>Security</w:t>
            </w:r>
          </w:p>
        </w:tc>
      </w:tr>
      <w:tr>
        <w:tc>
          <w:tcPr>
            <w:tcW w:type="dxa" w:w="1728"/>
          </w:tcPr>
          <w:p>
            <w:r>
              <w:t>SAMPLE BANK OF INDIA (SYNTHETIC)</w:t>
            </w:r>
          </w:p>
        </w:tc>
        <w:tc>
          <w:tcPr>
            <w:tcW w:type="dxa" w:w="1728"/>
          </w:tcPr>
          <w:p>
            <w:r>
              <w:t>Cash Credit (Working Capital)</w:t>
            </w:r>
          </w:p>
        </w:tc>
        <w:tc>
          <w:tcPr>
            <w:tcW w:type="dxa" w:w="1728"/>
          </w:tcPr>
          <w:p>
            <w:r>
              <w:t>3500.0</w:t>
            </w:r>
          </w:p>
        </w:tc>
        <w:tc>
          <w:tcPr>
            <w:tcW w:type="dxa" w:w="1728"/>
          </w:tcPr>
          <w:p>
            <w:r>
              <w:t>—</w:t>
            </w:r>
          </w:p>
        </w:tc>
        <w:tc>
          <w:tcPr>
            <w:tcW w:type="dxa" w:w="1728"/>
          </w:tcPr>
          <w:p>
            <w:r>
              <w:t>Current assets &amp; pari passu charge on Land, Building, Plant &amp; Machinery</w:t>
            </w:r>
          </w:p>
        </w:tc>
      </w:tr>
      <w:tr>
        <w:tc>
          <w:tcPr>
            <w:tcW w:type="dxa" w:w="1728"/>
          </w:tcPr>
          <w:p>
            <w:r>
              <w:t>Tata [Limited]</w:t>
            </w:r>
          </w:p>
        </w:tc>
        <w:tc>
          <w:tcPr>
            <w:tcW w:type="dxa" w:w="1728"/>
          </w:tcPr>
          <w:p>
            <w:r>
              <w:t>Term Loan</w:t>
            </w:r>
          </w:p>
        </w:tc>
        <w:tc>
          <w:tcPr>
            <w:tcW w:type="dxa" w:w="1728"/>
          </w:tcPr>
          <w:p>
            <w:r>
              <w:t>300.0</w:t>
            </w:r>
          </w:p>
        </w:tc>
        <w:tc>
          <w:tcPr>
            <w:tcW w:type="dxa" w:w="1728"/>
          </w:tcPr>
          <w:p>
            <w:r>
              <w:t>11.75%</w:t>
            </w:r>
          </w:p>
        </w:tc>
        <w:tc>
          <w:tcPr>
            <w:tcW w:type="dxa" w:w="1728"/>
          </w:tcPr>
          <w:p>
            <w:r>
              <w:t>Personal Guarantee by Mr. Shravan Suthar</w:t>
            </w:r>
          </w:p>
        </w:tc>
      </w:tr>
      <w:tr>
        <w:tc>
          <w:tcPr>
            <w:tcW w:type="dxa" w:w="1728"/>
          </w:tcPr>
          <w:p>
            <w:r>
              <w:t>—</w:t>
            </w:r>
          </w:p>
        </w:tc>
        <w:tc>
          <w:tcPr>
            <w:tcW w:type="dxa" w:w="1728"/>
          </w:tcPr>
          <w:p>
            <w:r>
              <w:t>Term Loan</w:t>
            </w:r>
          </w:p>
        </w:tc>
        <w:tc>
          <w:tcPr>
            <w:tcW w:type="dxa" w:w="1728"/>
          </w:tcPr>
          <w:p>
            <w:r>
              <w:t>206.0</w:t>
            </w:r>
          </w:p>
        </w:tc>
        <w:tc>
          <w:tcPr>
            <w:tcW w:type="dxa" w:w="1728"/>
          </w:tcPr>
          <w:p>
            <w:r>
              <w:t>11.00%</w:t>
            </w:r>
          </w:p>
        </w:tc>
        <w:tc>
          <w:tcPr>
            <w:tcW w:type="dxa" w:w="1728"/>
          </w:tcPr>
          <w:p>
            <w:r>
              <w:t>Charge on Plant &amp; Machinery, Security Deposit, Personal Guarantees by Mr. Shravan Suthar and Mr. Lalit Suthar</w:t>
            </w:r>
          </w:p>
        </w:tc>
      </w:tr>
      <w:tr>
        <w:tc>
          <w:tcPr>
            <w:tcW w:type="dxa" w:w="1728"/>
          </w:tcPr>
          <w:p>
            <w:r>
              <w:t>—</w:t>
            </w:r>
          </w:p>
        </w:tc>
        <w:tc>
          <w:tcPr>
            <w:tcW w:type="dxa" w:w="1728"/>
          </w:tcPr>
          <w:p>
            <w:r>
              <w:t>Term Loan</w:t>
            </w:r>
          </w:p>
        </w:tc>
        <w:tc>
          <w:tcPr>
            <w:tcW w:type="dxa" w:w="1728"/>
          </w:tcPr>
          <w:p>
            <w:r>
              <w:t>50.0</w:t>
            </w:r>
          </w:p>
        </w:tc>
        <w:tc>
          <w:tcPr>
            <w:tcW w:type="dxa" w:w="1728"/>
          </w:tcPr>
          <w:p>
            <w:r>
              <w:t>16.00%</w:t>
            </w:r>
          </w:p>
        </w:tc>
        <w:tc>
          <w:tcPr>
            <w:tcW w:type="dxa" w:w="1728"/>
          </w:tcPr>
          <w:p>
            <w:r>
              <w:t>—</w:t>
            </w:r>
          </w:p>
        </w:tc>
      </w:tr>
      <w:tr>
        <w:tc>
          <w:tcPr>
            <w:tcW w:type="dxa" w:w="1728"/>
          </w:tcPr>
          <w:p>
            <w:r>
              <w:t>—</w:t>
            </w:r>
          </w:p>
        </w:tc>
        <w:tc>
          <w:tcPr>
            <w:tcW w:type="dxa" w:w="1728"/>
          </w:tcPr>
          <w:p>
            <w:r>
              <w:t>Term Loan</w:t>
            </w:r>
          </w:p>
        </w:tc>
        <w:tc>
          <w:tcPr>
            <w:tcW w:type="dxa" w:w="1728"/>
          </w:tcPr>
          <w:p>
            <w:r>
              <w:t>35.15</w:t>
            </w:r>
          </w:p>
        </w:tc>
        <w:tc>
          <w:tcPr>
            <w:tcW w:type="dxa" w:w="1728"/>
          </w:tcPr>
          <w:p>
            <w:r>
              <w:t>15.00%</w:t>
            </w:r>
          </w:p>
        </w:tc>
        <w:tc>
          <w:tcPr>
            <w:tcW w:type="dxa" w:w="1728"/>
          </w:tcPr>
          <w:p>
            <w:r>
              <w:t>—</w:t>
            </w:r>
          </w:p>
        </w:tc>
      </w:tr>
      <w:tr>
        <w:tc>
          <w:tcPr>
            <w:tcW w:type="dxa" w:w="1728"/>
          </w:tcPr>
          <w:p>
            <w:r>
              <w:t>—</w:t>
            </w:r>
          </w:p>
        </w:tc>
        <w:tc>
          <w:tcPr>
            <w:tcW w:type="dxa" w:w="1728"/>
          </w:tcPr>
          <w:p>
            <w:r>
              <w:t>Term Loan</w:t>
            </w:r>
          </w:p>
        </w:tc>
        <w:tc>
          <w:tcPr>
            <w:tcW w:type="dxa" w:w="1728"/>
          </w:tcPr>
          <w:p>
            <w:r>
              <w:t>30.15</w:t>
            </w:r>
          </w:p>
        </w:tc>
        <w:tc>
          <w:tcPr>
            <w:tcW w:type="dxa" w:w="1728"/>
          </w:tcPr>
          <w:p>
            <w:r>
              <w:t>17.00%</w:t>
            </w:r>
          </w:p>
        </w:tc>
        <w:tc>
          <w:tcPr>
            <w:tcW w:type="dxa" w:w="1728"/>
          </w:tcPr>
          <w:p>
            <w:r>
              <w:t>—</w:t>
            </w:r>
          </w:p>
        </w:tc>
      </w:tr>
      <w:tr>
        <w:tc>
          <w:tcPr>
            <w:tcW w:type="dxa" w:w="1728"/>
          </w:tcPr>
          <w:p>
            <w:r>
              <w:t>—</w:t>
            </w:r>
          </w:p>
        </w:tc>
        <w:tc>
          <w:tcPr>
            <w:tcW w:type="dxa" w:w="1728"/>
          </w:tcPr>
          <w:p>
            <w:r>
              <w:t>Term Loan</w:t>
            </w:r>
          </w:p>
        </w:tc>
        <w:tc>
          <w:tcPr>
            <w:tcW w:type="dxa" w:w="1728"/>
          </w:tcPr>
          <w:p>
            <w:r>
              <w:t>39.7</w:t>
            </w:r>
          </w:p>
        </w:tc>
        <w:tc>
          <w:tcPr>
            <w:tcW w:type="dxa" w:w="1728"/>
          </w:tcPr>
          <w:p>
            <w:r>
              <w:t>17.00%</w:t>
            </w:r>
          </w:p>
        </w:tc>
        <w:tc>
          <w:tcPr>
            <w:tcW w:type="dxa" w:w="1728"/>
          </w:tcPr>
          <w:p>
            <w:r>
              <w:t>—</w:t>
            </w:r>
          </w:p>
        </w:tc>
      </w:tr>
      <w:tr>
        <w:tc>
          <w:tcPr>
            <w:tcW w:type="dxa" w:w="1728"/>
          </w:tcPr>
          <w:p>
            <w:r>
              <w:t>—</w:t>
            </w:r>
          </w:p>
        </w:tc>
        <w:tc>
          <w:tcPr>
            <w:tcW w:type="dxa" w:w="1728"/>
          </w:tcPr>
          <w:p>
            <w:r>
              <w:t>Bank Guarantee (for EPCG Scheme)</w:t>
            </w:r>
          </w:p>
        </w:tc>
        <w:tc>
          <w:tcPr>
            <w:tcW w:type="dxa" w:w="1728"/>
          </w:tcPr>
          <w:p>
            <w:r>
              <w:t>32.72</w:t>
            </w:r>
          </w:p>
        </w:tc>
        <w:tc>
          <w:tcPr>
            <w:tcW w:type="dxa" w:w="1728"/>
          </w:tcPr>
          <w:p>
            <w:r>
              <w:t>—</w:t>
            </w:r>
          </w:p>
        </w:tc>
        <w:tc>
          <w:tcPr>
            <w:tcW w:type="dxa" w:w="1728"/>
          </w:tcPr>
          <w:p>
            <w:r>
              <w:t>Collateral security deposit of INR 10.33 Lakhs</w:t>
            </w:r>
          </w:p>
        </w:tc>
      </w:tr>
      <w:tr>
        <w:tc>
          <w:tcPr>
            <w:tcW w:type="dxa" w:w="1728"/>
          </w:tcPr>
          <w:p>
            <w:r>
              <w:t>—</w:t>
            </w:r>
          </w:p>
        </w:tc>
        <w:tc>
          <w:tcPr>
            <w:tcW w:type="dxa" w:w="1728"/>
          </w:tcPr>
          <w:p>
            <w:r>
              <w:t>Unsecured Loans (Outstanding as at FY25)</w:t>
            </w:r>
          </w:p>
        </w:tc>
        <w:tc>
          <w:tcPr>
            <w:tcW w:type="dxa" w:w="1728"/>
          </w:tcPr>
          <w:p>
            <w:r>
              <w:t>814.32</w:t>
            </w:r>
          </w:p>
        </w:tc>
        <w:tc>
          <w:tcPr>
            <w:tcW w:type="dxa" w:w="1728"/>
          </w:tcPr>
          <w:p>
            <w:r>
              <w:t>—</w:t>
            </w:r>
          </w:p>
        </w:tc>
        <w:tc>
          <w:tcPr>
            <w:tcW w:type="dxa" w:w="1728"/>
          </w:tcPr>
          <w:p>
            <w:r>
              <w:t>Unsecured</w:t>
            </w:r>
          </w:p>
        </w:tc>
      </w:tr>
    </w:tbl>
    <w:p/>
    <w:p>
      <w:pPr>
        <w:pStyle w:val="Heading1"/>
        <w:jc w:val="left"/>
      </w:pPr>
      <w:r>
        <w:rPr>
          <w:b/>
          <w:sz w:val="28"/>
        </w:rPr>
        <w:t>Tax and Statutory Compliance</w:t>
      </w:r>
    </w:p>
    <w:p>
      <w:pPr>
        <w:jc w:val="both"/>
      </w:pPr>
      <w:r>
        <w:rPr>
          <w:b w:val="0"/>
          <w:sz w:val="22"/>
        </w:rPr>
        <w:t>Durlax Top Surface Limited reported total net tax expenses of INR 116.88 Lakhs for the year ended March 31, 2025, a significant increase from INR 11.18 Lakhs for the year ended March 31, 2024. This comprises a provision for current tax of INR 119.20 Lakhs (FY2025) versus INR 13.00 Lakhs (FY2024), and a deferred tax benefit of INR (2.32) Lakhs (FY2025) versus INR (1.82) Lakhs (FY2024).</w:t>
      </w:r>
    </w:p>
    <w:p>
      <w:pPr>
        <w:jc w:val="both"/>
      </w:pPr>
      <w:r>
        <w:rPr>
          <w:b w:val="0"/>
          <w:sz w:val="22"/>
        </w:rPr>
        <w:t>The company's "Balance with Revenue Authorities," categorized under short-term loans and advances, stood at INR 111.88 Lakhs as of March 31, 2025, up from INR 16.48 Lakhs as of March 31, 2024.</w:t>
      </w:r>
    </w:p>
    <w:p>
      <w:pPr>
        <w:jc w:val="both"/>
      </w:pPr>
      <w:r>
        <w:rPr>
          <w:b w:val="0"/>
          <w:sz w:val="22"/>
        </w:rPr>
        <w:t>An observed bank transaction indicates a GST payment of INR 3,80,575.03 made on December 7, 2025, suggesting ongoing compliance with Goods and Services Tax obligations. Furthermore, as per the Annual Report 2024-25, the company confirmed it did not have any outstanding dues on account of Provident Duty.</w:t>
      </w:r>
    </w:p>
    <w:p>
      <w:pPr>
        <w:jc w:val="both"/>
      </w:pPr>
      <w:r>
        <w:rPr>
          <w:b w:val="0"/>
          <w:sz w:val="22"/>
        </w:rPr>
        <w:t>Durlax Top Surface Limited has certain disputed statutory dues for which amounts have been paid under protest. These include:</w:t>
      </w:r>
    </w:p>
    <w:p>
      <w:pPr>
        <w:pStyle w:val="ListBullet"/>
        <w:jc w:val="both"/>
      </w:pPr>
      <w:r>
        <w:rPr>
          <w:b w:val="0"/>
          <w:sz w:val="22"/>
        </w:rPr>
        <w:t>Income Tax: INR 55.00 Lakhs, pending before CIT (A).</w:t>
      </w:r>
    </w:p>
    <w:p>
      <w:pPr>
        <w:pStyle w:val="ListBullet"/>
        <w:jc w:val="both"/>
      </w:pPr>
      <w:r>
        <w:rPr>
          <w:b w:val="0"/>
          <w:sz w:val="22"/>
        </w:rPr>
        <w:t>GST: INR 36.29 Lakhs, pending before Comm. (A).</w:t>
      </w:r>
    </w:p>
    <w:p>
      <w:pPr>
        <w:pStyle w:val="ListBullet"/>
        <w:jc w:val="both"/>
      </w:pPr>
      <w:r>
        <w:rPr>
          <w:b w:val="0"/>
          <w:sz w:val="22"/>
        </w:rPr>
        <w:t>GST: INR 5.59 Lakhs, pending before Comm. (A).</w:t>
      </w:r>
    </w:p>
    <w:p>
      <w:pPr>
        <w:jc w:val="both"/>
      </w:pPr>
      <w:r>
        <w:rPr>
          <w:b w:val="0"/>
          <w:sz w:val="22"/>
        </w:rPr>
        <w:t>These disputed amounts, totaling INR 96.88 Lakhs, have been accounted for as "Other current assets" in the financial statements. The management intends to contest these demands and is hopeful of a favorable resolution, thus no provision has been made in the books of account for these disputed amounts. Contingent liabilities relating to these matters are noted in the financial statements.</w:t>
      </w:r>
    </w:p>
    <w:p>
      <w:pPr>
        <w:jc w:val="both"/>
      </w:pPr>
      <w:r>
        <w:rPr>
          <w:b w:val="0"/>
          <w:sz w:val="22"/>
        </w:rPr>
        <w:t>Additionally, the company's other statutory information indicates that it has not traded or invested in cryptocurrencies.</w:t>
      </w:r>
    </w:p>
    <w:p>
      <w:pPr>
        <w:pStyle w:val="Heading1"/>
        <w:jc w:val="left"/>
      </w:pPr>
      <w:r>
        <w:rPr>
          <w:b/>
          <w:sz w:val="28"/>
        </w:rPr>
        <w:t>Audit and Compliance</w:t>
      </w:r>
    </w:p>
    <w:p>
      <w:pPr>
        <w:jc w:val="left"/>
      </w:pPr>
      <w:r>
        <w:rPr>
          <w:b/>
          <w:sz w:val="22"/>
        </w:rPr>
        <w:t>Credit Assessment Memo: Durlax Top Surface Limited</w:t>
      </w:r>
    </w:p>
    <w:p>
      <w:pPr>
        <w:jc w:val="left"/>
      </w:pPr>
      <w:r>
        <w:rPr>
          <w:b/>
          <w:sz w:val="22"/>
        </w:rPr>
        <w:t>Section: Audit and Compliance</w:t>
      </w:r>
    </w:p>
    <w:p>
      <w:pPr>
        <w:jc w:val="both"/>
      </w:pPr>
      <w:r>
        <w:rPr>
          <w:b w:val="0"/>
          <w:sz w:val="22"/>
        </w:rPr>
        <w:t>The audit of Durlax Top Surface Limited's financial statements for the current period indicates a robust compliance framework and financial reporting.</w:t>
      </w:r>
    </w:p>
    <w:p>
      <w:pPr>
        <w:jc w:val="both"/>
      </w:pPr>
      <w:r>
        <w:rPr>
          <w:b w:val="0"/>
          <w:sz w:val="22"/>
        </w:rPr>
        <w:t xml:space="preserve">The auditor has confirmed compliance with the relevant ethical requirements, the Companies Act, 2013 and its Rules, and the Code of Ethics. Based on their professional judgment, the auditor has determined that </w:t>
      </w:r>
      <w:r>
        <w:rPr>
          <w:b/>
          <w:sz w:val="22"/>
        </w:rPr>
        <w:t>there are no Key Audit Matters</w:t>
      </w:r>
      <w:r>
        <w:rPr>
          <w:b w:val="0"/>
          <w:sz w:val="22"/>
        </w:rPr>
        <w:t xml:space="preserve"> for the current period. This suggests a relatively straightforward audit without significant complex or high-risk areas requiring specific disclosure as Key Audit Matters.</w:t>
      </w:r>
    </w:p>
    <w:p>
      <w:pPr>
        <w:jc w:val="both"/>
      </w:pPr>
      <w:r>
        <w:rPr>
          <w:b w:val="0"/>
          <w:sz w:val="22"/>
        </w:rPr>
        <w:t>In their report on Other Legal and Regulatory Requirements, the auditor states the following:</w:t>
      </w:r>
    </w:p>
    <w:p>
      <w:pPr>
        <w:pStyle w:val="ListBullet"/>
        <w:jc w:val="both"/>
      </w:pPr>
      <w:r>
        <w:rPr>
          <w:b w:val="0"/>
          <w:sz w:val="22"/>
        </w:rPr>
        <w:t>They sought and obtained all information and explanations deemed necessary for the audit.</w:t>
      </w:r>
    </w:p>
    <w:p>
      <w:pPr>
        <w:pStyle w:val="ListBullet"/>
        <w:jc w:val="both"/>
      </w:pPr>
      <w:r>
        <w:rPr>
          <w:b w:val="0"/>
          <w:sz w:val="22"/>
        </w:rPr>
        <w:t>In their opinion, proper books of account have been maintained, as apparent from their examination.</w:t>
      </w:r>
    </w:p>
    <w:p>
      <w:pPr>
        <w:pStyle w:val="ListBullet"/>
        <w:jc w:val="both"/>
      </w:pPr>
      <w:r>
        <w:rPr>
          <w:b w:val="0"/>
          <w:sz w:val="22"/>
        </w:rPr>
        <w:t>The Balance Sheet, Statement of Profit and Loss, and other financial statements are in agreement with the books of account.</w:t>
      </w:r>
    </w:p>
    <w:p>
      <w:pPr>
        <w:pStyle w:val="ListBullet"/>
        <w:jc w:val="both"/>
      </w:pPr>
      <w:r>
        <w:rPr>
          <w:b w:val="0"/>
          <w:sz w:val="22"/>
        </w:rPr>
        <w:t>The financial statements comply with the accounting standards specified under Section 133 of the Act, read with Rule 7 of the Companies (Accounts) Rules, 2014.</w:t>
      </w:r>
    </w:p>
    <w:p>
      <w:pPr>
        <w:jc w:val="both"/>
      </w:pPr>
      <w:r>
        <w:rPr>
          <w:b w:val="0"/>
          <w:sz w:val="22"/>
        </w:rPr>
        <w:t>The Board of Directors is responsible for the preparation and fair presentation of the financial statements, including the design, implementation, and maintenance of adequate internal financial controls that are operating effectively to ensure accuracy and safeguard company assets. The auditor considers any significant deficiencies in internal control that are identified during the audit. The evidence provided does not indicate any material misstatement or significant deficiencies in internal control identified by the auditor specifically for Durlax Top Surface Limited. The Board is also responsible for assessing the Company’s ability to continue as a going concern, and the audit evidence does not highlight specific concerns regarding this for the applicant company.</w:t>
      </w:r>
    </w:p>
    <w:p>
      <w:pPr>
        <w:pStyle w:val="Heading1"/>
        <w:jc w:val="left"/>
      </w:pPr>
      <w:r>
        <w:rPr>
          <w:b/>
          <w:sz w:val="28"/>
        </w:rPr>
        <w:t>Risk Assessment</w:t>
      </w:r>
    </w:p>
    <w:p>
      <w:pPr>
        <w:jc w:val="both"/>
      </w:pPr>
      <w:r>
        <w:rPr>
          <w:b w:val="0"/>
          <w:sz w:val="22"/>
        </w:rPr>
        <w:t>The risk profile of Durlax Top Surface Limited (the "Company") reflects a significant improvement in its financial structure and liquidity position, primarily driven by a successful Initial Public Offer (IPO) during the fiscal year ended March 31, 2025. However, certain operational and contingent liabilities warrant close monitoring.</w:t>
      </w:r>
    </w:p>
    <w:p>
      <w:pPr>
        <w:jc w:val="both"/>
      </w:pPr>
      <w:r>
        <w:rPr>
          <w:b/>
          <w:sz w:val="22"/>
        </w:rPr>
        <w:t>Financial Performance and Position:</w:t>
      </w:r>
    </w:p>
    <w:p>
      <w:pPr>
        <w:jc w:val="both"/>
      </w:pPr>
      <w:r>
        <w:rPr>
          <w:b w:val="0"/>
          <w:sz w:val="22"/>
        </w:rPr>
        <w:t>The Company demonstrated a notable improvement in profitability, with Profit Before Tax increasing significantly from 412.28 Lakhs as of March 31, 2024, to 996.72 Lakhs as of March 31, 2025 (Evidence 8, 10). The equity base strengthened considerably, with Share Capital rising from 1,242.77 Lakhs to 1,662.77 Lakhs and Reserves and Surplus increasing from 919.99 Lakhs to 4,105.65 Lakhs over the same period (Evidence 2). This substantial increase in equity is attributed to the IPO of 60,00,000 equity shares (including a fresh issue of 42,00,000 shares) at a price of `68/- per share, which was listed on NSE Emerge platform on June 26, 2024 (Evidence 14, 15, 16).</w:t>
      </w:r>
    </w:p>
    <w:p>
      <w:pPr>
        <w:jc w:val="both"/>
      </w:pPr>
      <w:r>
        <w:rPr>
          <w:b/>
          <w:sz w:val="22"/>
        </w:rPr>
        <w:t>Capital Structure and Leverage:</w:t>
      </w:r>
    </w:p>
    <w:p>
      <w:pPr>
        <w:jc w:val="both"/>
      </w:pPr>
      <w:r>
        <w:rPr>
          <w:b w:val="0"/>
          <w:sz w:val="22"/>
        </w:rPr>
        <w:t>The Company's capital structure has improved substantially. The Debt-Equity Ratio saw a significant reduction of 71.69%, decreasing from 2.81 as of March 31, 2024, to 0.79 as of March 31, 2025 (Evidence 12). This improvement is directly attributed to the reduction in debt and the increase in equity capital from the IPO proceeds (Evidence 12). Long-term borrowings decreased from 2,070.88 Lakhs to 667.11 Lakhs, while short-term borrowings remained relatively stable at 3,916.56 Lakhs (from 3,999.83 Lakhs) (Evidence 2).</w:t>
      </w:r>
    </w:p>
    <w:p>
      <w:pPr>
        <w:jc w:val="both"/>
      </w:pPr>
      <w:r>
        <w:rPr>
          <w:b/>
          <w:sz w:val="22"/>
        </w:rPr>
        <w:t>Liquidity:</w:t>
      </w:r>
    </w:p>
    <w:p>
      <w:pPr>
        <w:jc w:val="both"/>
      </w:pPr>
      <w:r>
        <w:rPr>
          <w:b w:val="0"/>
          <w:sz w:val="22"/>
        </w:rPr>
        <w:t>Liquidity metrics show improvement. The Current Ratio increased by 38.06% from 1.34 as of March 31, 2024, to 1.85 as of March 31, 2025, primarily due to a significant rise in current assets (Evidence 12). However, Cash and Bank Balance decreased slightly from 122.60 Lakhs to 115.38 Lakhs (Evidence 17). A notable portion of this balance, 101.09 Lakhs (FY25) and 110.41 Lakhs (FY24), is held as Margin Money against Bank Guarantees, serving as restricted cash against Letters of Credit (Evidence 17). Freely available cash and cash equivalents were 14.29 Lakhs as of March 31, 2025, compared to 12.20 Lakhs as of March 31, 2024 (Evidence 10, 17). Despite the improved balance sheet liquidity, Net Cash Flow from Operating Activities remained negative, albeit improving from (1,660.47) Lakhs in FY24 to (678.25) Lakhs in FY25 (Evidence 9, 10), indicating ongoing reliance on financing or investing activities to support operations.</w:t>
      </w:r>
    </w:p>
    <w:p>
      <w:pPr>
        <w:jc w:val="both"/>
      </w:pPr>
      <w:r>
        <w:rPr>
          <w:b/>
          <w:sz w:val="22"/>
        </w:rPr>
        <w:t>Debt Servicing Capability:</w:t>
      </w:r>
    </w:p>
    <w:p>
      <w:pPr>
        <w:jc w:val="both"/>
      </w:pPr>
      <w:r>
        <w:rPr>
          <w:b w:val="0"/>
          <w:sz w:val="22"/>
        </w:rPr>
        <w:t>The Debt Service Coverage Ratio (DSCR) improved from 0.27 as of March 31, 2024, to 0.34 as of March 31, 2025, an increase of 27.91% (Evidence 11, 12). This improvement is attributed to higher EBIT and a reduction in debt servicing costs (Evidence 11). However, a DSCR below 1.0x indicates that the Company's operating cash flow is currently insufficient to cover its debt service obligations.</w:t>
      </w:r>
    </w:p>
    <w:p>
      <w:pPr>
        <w:jc w:val="both"/>
      </w:pPr>
      <w:r>
        <w:rPr>
          <w:b/>
          <w:sz w:val="22"/>
        </w:rPr>
        <w:t>Contingent Liabilities:</w:t>
      </w:r>
    </w:p>
    <w:p>
      <w:pPr>
        <w:jc w:val="both"/>
      </w:pPr>
      <w:r>
        <w:rPr>
          <w:b w:val="0"/>
          <w:sz w:val="22"/>
        </w:rPr>
        <w:t>The Company faces significant contingent liabilities related to unfulfilled export obligations under the Export Promotion Capital Goods (EPCG) Scheme. If these obligations are not met, the Company may be liable for custom duties totaling 301.69 Lakhs (184.53 Lakhs for Plant &amp; Machinery and 117.16 Lakhs for Raw Materials) (Evidence 3, 4). While Bank Guarantees have been taken, the total collateral provided (28.76 Lakhs) covers only a partial amount of this potential liability (Evidence 3, 4). An application for extension of the export period for certain raw material licenses is pending, adding to the uncertainty (Evidence 4).</w:t>
      </w:r>
    </w:p>
    <w:p>
      <w:pPr>
        <w:jc w:val="both"/>
      </w:pPr>
      <w:r>
        <w:rPr>
          <w:b/>
          <w:sz w:val="22"/>
        </w:rPr>
        <w:t>Corporate Governance and Related Party Transactions:</w:t>
      </w:r>
    </w:p>
    <w:p>
      <w:pPr>
        <w:jc w:val="both"/>
      </w:pPr>
      <w:r>
        <w:rPr>
          <w:b w:val="0"/>
          <w:sz w:val="22"/>
        </w:rPr>
        <w:t>The Company has significant transactions with Key Managerial Personnel (KMP) such as Shravan Suthar and Lalit Suthar, totaling 649.68 Lakhs and 298.57 Lakhs respectively in FY25 (Evidence 6). While these are stated to be on an arm's length basis, their magnitude warrants close monitoring for potential conflicts of interest or concentration risks (Evidence 5).</w:t>
      </w:r>
    </w:p>
    <w:p>
      <w:pPr>
        <w:jc w:val="both"/>
      </w:pPr>
      <w:r>
        <w:rPr>
          <w:b/>
          <w:sz w:val="22"/>
        </w:rPr>
        <w:t>Borrowing Authority and Security:</w:t>
      </w:r>
    </w:p>
    <w:p>
      <w:pPr>
        <w:jc w:val="both"/>
      </w:pPr>
      <w:r>
        <w:rPr>
          <w:b w:val="0"/>
          <w:sz w:val="22"/>
        </w:rPr>
        <w:t>The Board of Directors has authorized the Company to borrow from banks and other creditors (Evidence 1). However, the evidence is truncated regarding the specific aggregate borrowing limit, preventing a complete assessment of the Company's headroom for future borrowing (Evidence 1). Existing bank facilities are secured by a first pari passu charge on current assets and a pari passu charge on Land, Building, Plant &amp; Machinery (for Facility 02). Additionally, personal guarantees have been provided by Mr. Shravan Suthar, Mr. Lalit Suthar, and Mr. Laxmichand Suthar, alongside a cash margin Fixed Deposit Receipt (FDR) of `730.00 Lakhs from Axis Bank for specific facilities (Evidence 18).</w:t>
      </w:r>
    </w:p>
    <w:p>
      <w:pPr>
        <w:jc w:val="both"/>
      </w:pPr>
      <w:r>
        <w:rPr>
          <w:b/>
          <w:sz w:val="22"/>
        </w:rPr>
        <w:t>Summary of Financial Ratios: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Ratio</w:t>
            </w:r>
          </w:p>
        </w:tc>
        <w:tc>
          <w:tcPr>
            <w:tcW w:type="dxa" w:w="2160"/>
          </w:tcPr>
          <w:p>
            <w:r>
              <w:rPr>
                <w:b/>
              </w:rPr>
              <w:t>Fy25</w:t>
            </w:r>
          </w:p>
        </w:tc>
        <w:tc>
          <w:tcPr>
            <w:tcW w:type="dxa" w:w="2160"/>
          </w:tcPr>
          <w:p>
            <w:r>
              <w:rPr>
                <w:b/>
              </w:rPr>
              <w:t>Fy24</w:t>
            </w:r>
          </w:p>
        </w:tc>
        <w:tc>
          <w:tcPr>
            <w:tcW w:type="dxa" w:w="2160"/>
          </w:tcPr>
          <w:p>
            <w:r>
              <w:rPr>
                <w:b/>
              </w:rPr>
              <w:t>Trend</w:t>
            </w:r>
          </w:p>
        </w:tc>
      </w:tr>
      <w:tr>
        <w:tc>
          <w:tcPr>
            <w:tcW w:type="dxa" w:w="2160"/>
          </w:tcPr>
          <w:p>
            <w:r>
              <w:t>Current Ratio</w:t>
            </w:r>
          </w:p>
        </w:tc>
        <w:tc>
          <w:tcPr>
            <w:tcW w:type="dxa" w:w="2160"/>
          </w:tcPr>
          <w:p>
            <w:r>
              <w:t>1.85</w:t>
            </w:r>
          </w:p>
        </w:tc>
        <w:tc>
          <w:tcPr>
            <w:tcW w:type="dxa" w:w="2160"/>
          </w:tcPr>
          <w:p>
            <w:r>
              <w:t>1.34</w:t>
            </w:r>
          </w:p>
        </w:tc>
        <w:tc>
          <w:tcPr>
            <w:tcW w:type="dxa" w:w="2160"/>
          </w:tcPr>
          <w:p>
            <w:r>
              <w:t>38.06%</w:t>
            </w:r>
          </w:p>
        </w:tc>
      </w:tr>
      <w:tr>
        <w:tc>
          <w:tcPr>
            <w:tcW w:type="dxa" w:w="2160"/>
          </w:tcPr>
          <w:p>
            <w:r>
              <w:t>Debt-Equity Ratio</w:t>
            </w:r>
          </w:p>
        </w:tc>
        <w:tc>
          <w:tcPr>
            <w:tcW w:type="dxa" w:w="2160"/>
          </w:tcPr>
          <w:p>
            <w:r>
              <w:t>0.79</w:t>
            </w:r>
          </w:p>
        </w:tc>
        <w:tc>
          <w:tcPr>
            <w:tcW w:type="dxa" w:w="2160"/>
          </w:tcPr>
          <w:p>
            <w:r>
              <w:t>2.81</w:t>
            </w:r>
          </w:p>
        </w:tc>
        <w:tc>
          <w:tcPr>
            <w:tcW w:type="dxa" w:w="2160"/>
          </w:tcPr>
          <w:p>
            <w:r>
              <w:t>-71.69%</w:t>
            </w:r>
          </w:p>
        </w:tc>
      </w:tr>
      <w:tr>
        <w:tc>
          <w:tcPr>
            <w:tcW w:type="dxa" w:w="2160"/>
          </w:tcPr>
          <w:p>
            <w:r>
              <w:t>Debt Service Coverage Ratio</w:t>
            </w:r>
          </w:p>
        </w:tc>
        <w:tc>
          <w:tcPr>
            <w:tcW w:type="dxa" w:w="2160"/>
          </w:tcPr>
          <w:p>
            <w:r>
              <w:t>0.34</w:t>
            </w:r>
          </w:p>
        </w:tc>
        <w:tc>
          <w:tcPr>
            <w:tcW w:type="dxa" w:w="2160"/>
          </w:tcPr>
          <w:p>
            <w:r>
              <w:t>0.27</w:t>
            </w:r>
          </w:p>
        </w:tc>
        <w:tc>
          <w:tcPr>
            <w:tcW w:type="dxa" w:w="2160"/>
          </w:tcPr>
          <w:p>
            <w:r>
              <w:t>27.91%</w:t>
            </w:r>
          </w:p>
        </w:tc>
      </w:tr>
      <w:tr>
        <w:tc>
          <w:tcPr>
            <w:tcW w:type="dxa" w:w="2160"/>
          </w:tcPr>
          <w:p>
            <w:r>
              <w:t>Return on Equity Ratio</w:t>
            </w:r>
          </w:p>
        </w:tc>
        <w:tc>
          <w:tcPr>
            <w:tcW w:type="dxa" w:w="2160"/>
          </w:tcPr>
          <w:p>
            <w:r>
              <w:t>0.19</w:t>
            </w:r>
          </w:p>
        </w:tc>
        <w:tc>
          <w:tcPr>
            <w:tcW w:type="dxa" w:w="2160"/>
          </w:tcPr>
          <w:p>
            <w:r>
              <w:t>0.20</w:t>
            </w:r>
          </w:p>
        </w:tc>
        <w:tc>
          <w:tcPr>
            <w:tcW w:type="dxa" w:w="2160"/>
          </w:tcPr>
          <w:p>
            <w:r>
              <w:t>-7.26%</w:t>
            </w:r>
          </w:p>
        </w:tc>
      </w:tr>
      <w:tr>
        <w:tc>
          <w:tcPr>
            <w:tcW w:type="dxa" w:w="2160"/>
          </w:tcPr>
          <w:p>
            <w:r>
              <w:t>Inventory turnover ratio</w:t>
            </w:r>
          </w:p>
        </w:tc>
        <w:tc>
          <w:tcPr>
            <w:tcW w:type="dxa" w:w="2160"/>
          </w:tcPr>
          <w:p>
            <w:r>
              <w:t>1.98</w:t>
            </w:r>
          </w:p>
        </w:tc>
        <w:tc>
          <w:tcPr>
            <w:tcW w:type="dxa" w:w="2160"/>
          </w:tcPr>
          <w:p>
            <w:r>
              <w:t>1.70</w:t>
            </w:r>
          </w:p>
        </w:tc>
        <w:tc>
          <w:tcPr>
            <w:tcW w:type="dxa" w:w="2160"/>
          </w:tcPr>
          <w:p>
            <w:r>
              <w:t>16.43%</w:t>
            </w:r>
          </w:p>
        </w:tc>
      </w:tr>
      <w:tr>
        <w:tc>
          <w:tcPr>
            <w:tcW w:type="dxa" w:w="2160"/>
          </w:tcPr>
          <w:p>
            <w:r>
              <w:t>Trade Receivables turnover ratio</w:t>
            </w:r>
          </w:p>
        </w:tc>
        <w:tc>
          <w:tcPr>
            <w:tcW w:type="dxa" w:w="2160"/>
          </w:tcPr>
          <w:p>
            <w:r>
              <w:t>3.77</w:t>
            </w:r>
          </w:p>
        </w:tc>
        <w:tc>
          <w:tcPr>
            <w:tcW w:type="dxa" w:w="2160"/>
          </w:tcPr>
          <w:p>
            <w:r>
              <w:t>3.95</w:t>
            </w:r>
          </w:p>
        </w:tc>
        <w:tc>
          <w:tcPr>
            <w:tcW w:type="dxa" w:w="2160"/>
          </w:tcPr>
          <w:p>
            <w:r>
              <w:t>-4.63%</w:t>
            </w:r>
          </w:p>
        </w:tc>
      </w:tr>
      <w:tr>
        <w:tc>
          <w:tcPr>
            <w:tcW w:type="dxa" w:w="2160"/>
          </w:tcPr>
          <w:p>
            <w:r>
              <w:t>Trade payables turnover ratio</w:t>
            </w:r>
          </w:p>
        </w:tc>
        <w:tc>
          <w:tcPr>
            <w:tcW w:type="dxa" w:w="2160"/>
          </w:tcPr>
          <w:p>
            <w:r>
              <w:t>—</w:t>
            </w:r>
          </w:p>
        </w:tc>
        <w:tc>
          <w:tcPr>
            <w:tcW w:type="dxa" w:w="2160"/>
          </w:tcPr>
          <w:p>
            <w:r>
              <w:t>—</w:t>
            </w:r>
          </w:p>
        </w:tc>
        <w:tc>
          <w:tcPr>
            <w:tcW w:type="dxa" w:w="2160"/>
          </w:tcPr>
          <w:p>
            <w:r>
              <w:t>—</w:t>
            </w:r>
          </w:p>
        </w:tc>
      </w:tr>
    </w:tbl>
    <w:p/>
    <w:p>
      <w:pPr>
        <w:pStyle w:val="Heading1"/>
        <w:jc w:val="left"/>
      </w:pPr>
      <w:r>
        <w:rPr>
          <w:b/>
          <w:sz w:val="28"/>
        </w:rPr>
        <w:t>Collateral</w:t>
      </w:r>
    </w:p>
    <w:p>
      <w:pPr>
        <w:jc w:val="both"/>
      </w:pPr>
      <w:r>
        <w:rPr>
          <w:b/>
          <w:sz w:val="22"/>
        </w:rPr>
        <w:t>Collateral</w:t>
      </w:r>
    </w:p>
    <w:p>
      <w:pPr>
        <w:jc w:val="both"/>
      </w:pPr>
      <w:r>
        <w:rPr>
          <w:b w:val="0"/>
          <w:sz w:val="22"/>
        </w:rPr>
        <w:t>Durlax Top Surface Limited has an enabling resolution passed by shareholders (Item No. 9) to provide security or acquire securities up to a sum not exceeding Rs 200 Crores. This resolution empowers the Board of Directors to mortgage and/or charge all or any of the movable and/or immovable properties of the Company, wheresoever situate, or the whole of the undertaking(s) of the Company. Such charge would secure borrowings extended to the Company or any other body corporate.</w:t>
      </w:r>
    </w:p>
    <w:p>
      <w:pPr>
        <w:jc w:val="both"/>
      </w:pPr>
      <w:r>
        <w:rPr>
          <w:b w:val="0"/>
          <w:sz w:val="22"/>
        </w:rPr>
        <w:t>Specific collateral proposed includes:</w:t>
      </w:r>
    </w:p>
    <w:p>
      <w:pPr>
        <w:pStyle w:val="ListBullet"/>
        <w:jc w:val="both"/>
      </w:pPr>
      <w:r>
        <w:rPr>
          <w:b w:val="0"/>
          <w:sz w:val="22"/>
        </w:rPr>
        <w:t>First Pari Passu charge on Current Assets of Durlax Top Surface Limited.</w:t>
      </w:r>
    </w:p>
    <w:p>
      <w:pPr>
        <w:pStyle w:val="ListBullet"/>
        <w:jc w:val="both"/>
      </w:pPr>
      <w:r>
        <w:rPr>
          <w:b w:val="0"/>
          <w:sz w:val="22"/>
        </w:rPr>
        <w:t>Pari Passu charge on Land, Building, Plant &amp; Machinery of Durlax Top Surface Limited.</w:t>
      </w:r>
    </w:p>
    <w:p>
      <w:pPr>
        <w:pStyle w:val="ListBullet"/>
        <w:jc w:val="both"/>
      </w:pPr>
      <w:r>
        <w:rPr>
          <w:b w:val="0"/>
          <w:sz w:val="22"/>
        </w:rPr>
        <w:t>Personal Guarantees provided by Mr. Shravan Suthar, Mr. Lalit Suthar, and Mr. Laxmichand Suthar.</w:t>
      </w:r>
    </w:p>
    <w:p>
      <w:pPr>
        <w:pStyle w:val="ListBullet"/>
        <w:jc w:val="both"/>
      </w:pPr>
      <w:r>
        <w:rPr>
          <w:b w:val="0"/>
          <w:sz w:val="22"/>
        </w:rPr>
        <w:t>A Cash Margin Fixed Deposit Receipt (FDR) of Rs 730.00 lakhs (Rs 7.30 Crores) at 15%, provided by the promoters Mr. Shravan Suthar, Mr. Lalit Suthar, and Mr. Laxmichand Suthar.</w:t>
      </w:r>
    </w:p>
    <w:p>
      <w:pPr>
        <w:pStyle w:val="Heading1"/>
      </w:pPr>
      <w:r>
        <w:rPr>
          <w:b/>
          <w:sz w:val="28"/>
        </w:rPr>
        <w:t>Data Consistency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Database Value (Cr)</w:t>
            </w:r>
          </w:p>
        </w:tc>
        <w:tc>
          <w:tcPr>
            <w:tcW w:type="dxa" w:w="1728"/>
          </w:tcPr>
          <w:p>
            <w:r>
              <w:rPr>
                <w:b/>
              </w:rPr>
              <w:t>Evidence Found</w:t>
            </w:r>
          </w:p>
        </w:tc>
        <w:tc>
          <w:tcPr>
            <w:tcW w:type="dxa" w:w="1728"/>
          </w:tcPr>
          <w:p>
            <w:r>
              <w:rPr>
                <w:b/>
              </w:rPr>
              <w:t>Status</w:t>
            </w:r>
          </w:p>
        </w:tc>
        <w:tc>
          <w:tcPr>
            <w:tcW w:type="dxa" w:w="1728"/>
          </w:tcPr>
          <w:p>
            <w:r>
              <w:rPr>
                <w:b/>
              </w:rPr>
              <w:t>Remarks</w:t>
            </w:r>
          </w:p>
        </w:tc>
      </w:tr>
      <w:tr>
        <w:tc>
          <w:tcPr>
            <w:tcW w:type="dxa" w:w="1728"/>
          </w:tcPr>
          <w:p>
            <w:r>
              <w:t>Revenue</w:t>
            </w:r>
          </w:p>
        </w:tc>
        <w:tc>
          <w:tcPr>
            <w:tcW w:type="dxa" w:w="1728"/>
          </w:tcPr>
          <w:p>
            <w:r>
              <w:t>122.56</w:t>
            </w:r>
          </w:p>
        </w:tc>
        <w:tc>
          <w:tcPr>
            <w:tcW w:type="dxa" w:w="1728"/>
          </w:tcPr>
          <w:p>
            <w:r>
              <w:t>FOUND</w:t>
            </w:r>
          </w:p>
        </w:tc>
        <w:tc>
          <w:tcPr>
            <w:tcW w:type="dxa" w:w="1728"/>
          </w:tcPr>
          <w:p>
            <w:r>
              <w:t>MATCH</w:t>
            </w:r>
          </w:p>
        </w:tc>
        <w:tc>
          <w:tcPr>
            <w:tcW w:type="dxa" w:w="1728"/>
          </w:tcPr>
          <w:p>
            <w:r>
              <w:t>—</w:t>
            </w:r>
          </w:p>
        </w:tc>
      </w:tr>
      <w:tr>
        <w:tc>
          <w:tcPr>
            <w:tcW w:type="dxa" w:w="1728"/>
          </w:tcPr>
          <w:p>
            <w:r>
              <w:t>Net Profit</w:t>
            </w:r>
          </w:p>
        </w:tc>
        <w:tc>
          <w:tcPr>
            <w:tcW w:type="dxa" w:w="1728"/>
          </w:tcPr>
          <w:p>
            <w:r>
              <w:t>7.50</w:t>
            </w:r>
          </w:p>
        </w:tc>
        <w:tc>
          <w:tcPr>
            <w:tcW w:type="dxa" w:w="1728"/>
          </w:tcPr>
          <w:p>
            <w:r>
              <w:t>FOUND</w:t>
            </w:r>
          </w:p>
        </w:tc>
        <w:tc>
          <w:tcPr>
            <w:tcW w:type="dxa" w:w="1728"/>
          </w:tcPr>
          <w:p>
            <w:r>
              <w:t>MATCH</w:t>
            </w:r>
          </w:p>
        </w:tc>
        <w:tc>
          <w:tcPr>
            <w:tcW w:type="dxa" w:w="1728"/>
          </w:tcPr>
          <w:p>
            <w:r>
              <w:t>—</w:t>
            </w:r>
          </w:p>
        </w:tc>
      </w:tr>
      <w:tr>
        <w:tc>
          <w:tcPr>
            <w:tcW w:type="dxa" w:w="1728"/>
          </w:tcPr>
          <w:p>
            <w:r>
              <w:t>Borrowings</w:t>
            </w:r>
          </w:p>
        </w:tc>
        <w:tc>
          <w:tcPr>
            <w:tcW w:type="dxa" w:w="1728"/>
          </w:tcPr>
          <w:p>
            <w:r>
              <w:t>45.84</w:t>
            </w:r>
          </w:p>
        </w:tc>
        <w:tc>
          <w:tcPr>
            <w:tcW w:type="dxa" w:w="1728"/>
          </w:tcPr>
          <w:p>
            <w:r>
              <w:t>FOUND</w:t>
            </w:r>
          </w:p>
        </w:tc>
        <w:tc>
          <w:tcPr>
            <w:tcW w:type="dxa" w:w="1728"/>
          </w:tcPr>
          <w:p>
            <w:r>
              <w:t>MATCH</w:t>
            </w:r>
          </w:p>
        </w:tc>
        <w:tc>
          <w:tcPr>
            <w:tcW w:type="dxa" w:w="1728"/>
          </w:tcPr>
          <w:p>
            <w:r>
              <w:t>—</w:t>
            </w:r>
          </w:p>
        </w:tc>
      </w:tr>
      <w:tr>
        <w:tc>
          <w:tcPr>
            <w:tcW w:type="dxa" w:w="1728"/>
          </w:tcPr>
          <w:p>
            <w:r>
              <w:t>Cash And Bank</w:t>
            </w:r>
          </w:p>
        </w:tc>
        <w:tc>
          <w:tcPr>
            <w:tcW w:type="dxa" w:w="1728"/>
          </w:tcPr>
          <w:p>
            <w:r>
              <w:t>1.15</w:t>
            </w:r>
          </w:p>
        </w:tc>
        <w:tc>
          <w:tcPr>
            <w:tcW w:type="dxa" w:w="1728"/>
          </w:tcPr>
          <w:p>
            <w:r>
              <w:t>FOUND</w:t>
            </w:r>
          </w:p>
        </w:tc>
        <w:tc>
          <w:tcPr>
            <w:tcW w:type="dxa" w:w="1728"/>
          </w:tcPr>
          <w:p>
            <w:r>
              <w:t>MATCH</w:t>
            </w:r>
          </w:p>
        </w:tc>
        <w:tc>
          <w:tcPr>
            <w:tcW w:type="dxa" w:w="1728"/>
          </w:tcPr>
          <w:p>
            <w:r>
              <w:t>—</w:t>
            </w:r>
          </w:p>
        </w:tc>
      </w:tr>
      <w:tr>
        <w:tc>
          <w:tcPr>
            <w:tcW w:type="dxa" w:w="1728"/>
          </w:tcPr>
          <w:p>
            <w:r>
              <w:t>Inventory</w:t>
            </w:r>
          </w:p>
        </w:tc>
        <w:tc>
          <w:tcPr>
            <w:tcW w:type="dxa" w:w="1728"/>
          </w:tcPr>
          <w:p>
            <w:r>
              <w:t>49.94</w:t>
            </w:r>
          </w:p>
        </w:tc>
        <w:tc>
          <w:tcPr>
            <w:tcW w:type="dxa" w:w="1728"/>
          </w:tcPr>
          <w:p>
            <w:r>
              <w:t>FOUND</w:t>
            </w:r>
          </w:p>
        </w:tc>
        <w:tc>
          <w:tcPr>
            <w:tcW w:type="dxa" w:w="1728"/>
          </w:tcPr>
          <w:p>
            <w:r>
              <w:t>MATCH</w:t>
            </w:r>
          </w:p>
        </w:tc>
        <w:tc>
          <w:tcPr>
            <w:tcW w:type="dxa" w:w="1728"/>
          </w:tcPr>
          <w:p>
            <w:r>
              <w:t>—</w:t>
            </w:r>
          </w:p>
        </w:tc>
      </w:tr>
      <w:tr>
        <w:tc>
          <w:tcPr>
            <w:tcW w:type="dxa" w:w="1728"/>
          </w:tcPr>
          <w:p>
            <w:r>
              <w:t>Trade Receivables</w:t>
            </w:r>
          </w:p>
        </w:tc>
        <w:tc>
          <w:tcPr>
            <w:tcW w:type="dxa" w:w="1728"/>
          </w:tcPr>
          <w:p>
            <w:r>
              <w:t>35.03</w:t>
            </w:r>
          </w:p>
        </w:tc>
        <w:tc>
          <w:tcPr>
            <w:tcW w:type="dxa" w:w="1728"/>
          </w:tcPr>
          <w:p>
            <w:r>
              <w:t>FOUND</w:t>
            </w:r>
          </w:p>
        </w:tc>
        <w:tc>
          <w:tcPr>
            <w:tcW w:type="dxa" w:w="1728"/>
          </w:tcPr>
          <w:p>
            <w:r>
              <w:t>MATCH</w:t>
            </w:r>
          </w:p>
        </w:tc>
        <w:tc>
          <w:tcPr>
            <w:tcW w:type="dxa" w:w="1728"/>
          </w:tcPr>
          <w:p>
            <w:r>
              <w:t>—</w:t>
            </w:r>
          </w:p>
        </w:tc>
      </w:tr>
      <w:tr>
        <w:tc>
          <w:tcPr>
            <w:tcW w:type="dxa" w:w="1728"/>
          </w:tcPr>
          <w:p>
            <w:r>
              <w:t>Cfo</w:t>
            </w:r>
          </w:p>
        </w:tc>
        <w:tc>
          <w:tcPr>
            <w:tcW w:type="dxa" w:w="1728"/>
          </w:tcPr>
          <w:p>
            <w:r>
              <w:t>-6.78</w:t>
            </w:r>
          </w:p>
        </w:tc>
        <w:tc>
          <w:tcPr>
            <w:tcW w:type="dxa" w:w="1728"/>
          </w:tcPr>
          <w:p>
            <w:r>
              <w:t>FOUND</w:t>
            </w:r>
          </w:p>
        </w:tc>
        <w:tc>
          <w:tcPr>
            <w:tcW w:type="dxa" w:w="1728"/>
          </w:tcPr>
          <w:p>
            <w:r>
              <w:t>MATCH</w:t>
            </w:r>
          </w:p>
        </w:tc>
        <w:tc>
          <w:tcPr>
            <w:tcW w:type="dxa" w:w="1728"/>
          </w:tcPr>
          <w:p>
            <w:r>
              <w:t>—</w:t>
            </w:r>
          </w:p>
        </w:tc>
      </w:tr>
      <w:tr>
        <w:tc>
          <w:tcPr>
            <w:tcW w:type="dxa" w:w="1728"/>
          </w:tcPr>
          <w:p>
            <w:r>
              <w:t>Net Cash Flow</w:t>
            </w:r>
          </w:p>
        </w:tc>
        <w:tc>
          <w:tcPr>
            <w:tcW w:type="dxa" w:w="1728"/>
          </w:tcPr>
          <w:p>
            <w:r>
              <w:t>0.02</w:t>
            </w:r>
          </w:p>
        </w:tc>
        <w:tc>
          <w:tcPr>
            <w:tcW w:type="dxa" w:w="1728"/>
          </w:tcPr>
          <w:p>
            <w:r>
              <w:t>FOUND</w:t>
            </w:r>
          </w:p>
        </w:tc>
        <w:tc>
          <w:tcPr>
            <w:tcW w:type="dxa" w:w="1728"/>
          </w:tcPr>
          <w:p>
            <w:r>
              <w:t>MATCH</w:t>
            </w:r>
          </w:p>
        </w:tc>
        <w:tc>
          <w:tcPr>
            <w:tcW w:type="dxa" w:w="1728"/>
          </w:tcPr>
          <w:p>
            <w:r>
              <w:t>—</w:t>
            </w:r>
          </w:p>
        </w:tc>
      </w:tr>
    </w:tbl>
    <w:p/>
    <w:p>
      <w:pPr>
        <w:pStyle w:val="Heading1"/>
        <w:jc w:val="left"/>
      </w:pPr>
      <w:r>
        <w:rPr>
          <w:b/>
          <w:sz w:val="28"/>
        </w:rPr>
        <w:t>Recommendation</w:t>
      </w:r>
    </w:p>
    <w:p>
      <w:pPr>
        <w:jc w:val="both"/>
      </w:pPr>
      <w:r>
        <w:rPr>
          <w:b w:val="0"/>
          <w:sz w:val="22"/>
        </w:rPr>
        <w:t>Based on the available evidence for Durlax Top Surface Limited, the company's debt serviceability metrics indicate significant challenges.</w:t>
      </w:r>
    </w:p>
    <w:p>
      <w:pPr>
        <w:jc w:val="both"/>
      </w:pPr>
      <w:r>
        <w:rPr>
          <w:b w:val="0"/>
          <w:sz w:val="22"/>
        </w:rPr>
        <w:t xml:space="preserve">For the financial year ended 31st March 2025, Durlax Top Surface Limited reported Net Cash Flow from Operating Activities of </w:t>
      </w:r>
      <w:r>
        <w:rPr>
          <w:b/>
          <w:sz w:val="22"/>
        </w:rPr>
        <w:t>-678.25 Lakhs</w:t>
      </w:r>
      <w:r>
        <w:rPr>
          <w:b w:val="0"/>
          <w:sz w:val="22"/>
        </w:rPr>
        <w:t xml:space="preserve">. This represents a negative cash generation from core operations, although an improvement from the </w:t>
      </w:r>
      <w:r>
        <w:rPr>
          <w:b/>
          <w:sz w:val="22"/>
        </w:rPr>
        <w:t>-1,660.47 Lakhs</w:t>
      </w:r>
      <w:r>
        <w:rPr>
          <w:b w:val="0"/>
          <w:sz w:val="22"/>
        </w:rPr>
        <w:t xml:space="preserve"> recorded in the previous financial year ended 31st March 2024.</w:t>
      </w:r>
    </w:p>
    <w:p>
      <w:pPr>
        <w:jc w:val="both"/>
      </w:pPr>
      <w:r>
        <w:rPr>
          <w:b w:val="0"/>
          <w:sz w:val="22"/>
        </w:rPr>
        <w:t xml:space="preserve">The Debt Service Coverage Ratio (DSCR) for Durlax Top Surface Limited stood at </w:t>
      </w:r>
      <w:r>
        <w:rPr>
          <w:b/>
          <w:sz w:val="22"/>
        </w:rPr>
        <w:t>0.34</w:t>
      </w:r>
      <w:r>
        <w:rPr>
          <w:b w:val="0"/>
          <w:sz w:val="22"/>
        </w:rPr>
        <w:t xml:space="preserve"> as at 31st March 2025, an increase from </w:t>
      </w:r>
      <w:r>
        <w:rPr>
          <w:b/>
          <w:sz w:val="22"/>
        </w:rPr>
        <w:t>0.27</w:t>
      </w:r>
      <w:r>
        <w:rPr>
          <w:b w:val="0"/>
          <w:sz w:val="22"/>
        </w:rPr>
        <w:t xml:space="preserve"> as at 31st March 2024. While there is an upward trend, a DSCR significantly below 1.0 indicates that the company's operating earnings are insufficient to cover its debt service obligations. The evidence notes this improvement is "Due to higher EBIT and reduction in debt servicing costs," but the ratio remains below the threshold for comfortable debt servicing from operations.</w:t>
      </w:r>
    </w:p>
    <w:p>
      <w:pPr>
        <w:jc w:val="both"/>
      </w:pPr>
      <w:r>
        <w:rPr>
          <w:b w:val="0"/>
          <w:sz w:val="22"/>
        </w:rPr>
        <w:t>Despite reported improvements in the Current Ratio (from 1.34 to 1.85) and a substantial reduction in the Debt-Equity Ratio (from 2.81 to 0.79) attributed to "Reduction in debt and increase in equity capital by infusion of capital during the year," these balance sheet improvements do not offset the fundamental issues of negative operating cash flow and a sub-1.0 DSCR.</w:t>
      </w:r>
    </w:p>
    <w:p>
      <w:pPr>
        <w:jc w:val="both"/>
      </w:pPr>
      <w:r>
        <w:rPr>
          <w:b w:val="0"/>
          <w:sz w:val="22"/>
        </w:rPr>
        <w:t xml:space="preserve">Furthermore, the company faces contingent liabilities totalling approximately </w:t>
      </w:r>
      <w:r>
        <w:rPr>
          <w:b/>
          <w:sz w:val="22"/>
        </w:rPr>
        <w:t>Rs. 3 Crores</w:t>
      </w:r>
      <w:r>
        <w:rPr>
          <w:b w:val="0"/>
          <w:sz w:val="22"/>
        </w:rPr>
        <w:t xml:space="preserve"> related to unfulfilled export obligations under EPCG and raw material import schemes, which could crystallize into significant cash outflows if not resolved.</w:t>
      </w:r>
    </w:p>
    <w:p>
      <w:pPr>
        <w:jc w:val="both"/>
      </w:pPr>
      <w:r>
        <w:rPr>
          <w:b w:val="0"/>
          <w:sz w:val="22"/>
        </w:rPr>
        <w:t>Given the persistent negative Net Cash Flow from Operating Activities and a Debt Service Coverage Ratio significantly below 1.0 for both the current and previous financial years, Durlax Top Surface Limited currently demonstrates an inability to service its debt obligations from its core operations. Therefore, the initiation of new credit facilities is not recommended at this time, absent a clear and sustainable path to positive operating cash flow and improved debt service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