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Assessment Memo</w:t>
      </w:r>
    </w:p>
    <w:p>
      <w:pPr>
        <w:jc w:val="center"/>
      </w:pPr>
      <w:r>
        <w:rPr>
          <w:b/>
          <w:sz w:val="24"/>
        </w:rPr>
        <w:t xml:space="preserve">Company: </w:t>
      </w:r>
      <w:r>
        <w:rPr>
          <w:sz w:val="24"/>
        </w:rPr>
        <w:t>EMKAY FINCAP</w:t>
      </w:r>
    </w:p>
    <w:p>
      <w:pPr>
        <w:jc w:val="center"/>
      </w:pPr>
      <w:r>
        <w:rPr>
          <w:b/>
          <w:sz w:val="24"/>
        </w:rPr>
        <w:t xml:space="preserve">Financial Year: </w:t>
      </w:r>
      <w:r>
        <w:rPr>
          <w:sz w:val="24"/>
        </w:rPr>
        <w:t>2025</w:t>
      </w:r>
    </w:p>
    <w:p>
      <w:r>
        <w:br w:type="page"/>
      </w:r>
    </w:p>
    <w:p>
      <w:pPr>
        <w:pStyle w:val="Heading1"/>
        <w:jc w:val="left"/>
      </w:pPr>
      <w:r>
        <w:rPr>
          <w:b/>
          <w:sz w:val="28"/>
        </w:rPr>
        <w:t>Applicant Overview</w:t>
      </w:r>
    </w:p>
    <w:p>
      <w:pPr>
        <w:jc w:val="both"/>
      </w:pPr>
      <w:r>
        <w:rPr>
          <w:b w:val="0"/>
          <w:sz w:val="22"/>
        </w:rPr>
        <w:t>Emkay Fincap Limited is identified by its Corporate Identity Number (CIN) U65990MH2005PLC153310. The company's Registered Office is located at The Ruby, 7th Floor, Senapati Bapat Marg, Dadar (West), Mumbai - 400 028, with a telephone number of 022 - 6612 1212. Its Administrative Office is situated at Paragon Centre, “C-06”, Ground Floor, P. B. Marg, Opp. Century Mills, Worli, Mumbai - 400 013, with a contact number of 022 - 6629 9299.</w:t>
      </w:r>
    </w:p>
    <w:p>
      <w:pPr>
        <w:jc w:val="both"/>
      </w:pPr>
      <w:r>
        <w:rPr>
          <w:b/>
          <w:sz w:val="22"/>
        </w:rPr>
        <w:t>Corporate Structure:</w:t>
      </w:r>
    </w:p>
    <w:p>
      <w:pPr>
        <w:jc w:val="both"/>
      </w:pPr>
      <w:r>
        <w:rPr>
          <w:b w:val="0"/>
          <w:sz w:val="22"/>
        </w:rPr>
        <w:t>Emkay Fincap Limited is a close member of its Holding Company, Emkay Global Financial Services Ltd. Within the broader group, Emkay Investments Management Ltd. is identified as an Associate Company, alongside Emkay Trade Ltd. and Emkay Finance Company Ltd. The evidence does not explicitly state whether Emkay Fincap Limited holds direct investments in these other group entities.</w:t>
      </w:r>
    </w:p>
    <w:p>
      <w:pPr>
        <w:jc w:val="both"/>
      </w:pPr>
      <w:r>
        <w:rPr>
          <w:b/>
          <w:sz w:val="22"/>
        </w:rPr>
        <w:t>Key Managerial Personnel (KMP) and Directors:</w:t>
      </w:r>
    </w:p>
    <w:p>
      <w:pPr>
        <w:jc w:val="both"/>
      </w:pPr>
      <w:r>
        <w:rPr>
          <w:b w:val="0"/>
          <w:sz w:val="22"/>
        </w:rPr>
        <w:t>As of the latest available information (dated May 19, 2025, and considering appointments effective August 2024), the Key Managerial Personnel of Emkay Fincap Limited include:</w:t>
      </w:r>
    </w:p>
    <w:p>
      <w:pPr>
        <w:pStyle w:val="ListBullet"/>
        <w:jc w:val="both"/>
      </w:pPr>
      <w:r>
        <w:rPr>
          <w:b/>
          <w:sz w:val="22"/>
        </w:rPr>
        <w:t>Mr. Krishna Kumar Karwa</w:t>
      </w:r>
      <w:r>
        <w:rPr>
          <w:b w:val="0"/>
          <w:sz w:val="22"/>
        </w:rPr>
        <w:t xml:space="preserve"> (DIN: 00181055) – Whole-Time Director &amp; Chief Financial Officer. He was re-appointed for a period of five years, effective from July 24, 2024, to July 23, 2029.</w:t>
      </w:r>
    </w:p>
    <w:p>
      <w:pPr>
        <w:pStyle w:val="ListBullet"/>
        <w:jc w:val="both"/>
      </w:pPr>
      <w:r>
        <w:rPr>
          <w:b/>
          <w:sz w:val="22"/>
        </w:rPr>
        <w:t>Mr. Prakash Kacholia</w:t>
      </w:r>
      <w:r>
        <w:rPr>
          <w:b w:val="0"/>
          <w:sz w:val="22"/>
        </w:rPr>
        <w:t xml:space="preserve"> – Whole-Time Director.</w:t>
      </w:r>
    </w:p>
    <w:p>
      <w:pPr>
        <w:pStyle w:val="ListBullet"/>
        <w:jc w:val="both"/>
      </w:pPr>
      <w:r>
        <w:rPr>
          <w:b/>
          <w:sz w:val="22"/>
        </w:rPr>
        <w:t>Mr. Himanshu Katare</w:t>
      </w:r>
      <w:r>
        <w:rPr>
          <w:b w:val="0"/>
          <w:sz w:val="22"/>
        </w:rPr>
        <w:t xml:space="preserve"> (Membership No: ACS49584) – Company Secretary.</w:t>
      </w:r>
    </w:p>
    <w:p>
      <w:pPr>
        <w:jc w:val="both"/>
      </w:pPr>
      <w:r>
        <w:rPr>
          <w:b w:val="0"/>
          <w:sz w:val="22"/>
        </w:rPr>
        <w:t>Recent changes to the Board of Directors include:</w:t>
      </w:r>
    </w:p>
    <w:p>
      <w:pPr>
        <w:pStyle w:val="ListBullet"/>
        <w:jc w:val="both"/>
      </w:pPr>
      <w:r>
        <w:rPr>
          <w:b/>
          <w:sz w:val="22"/>
        </w:rPr>
        <w:t>Dr. Bharat Kumar Singh</w:t>
      </w:r>
      <w:r>
        <w:rPr>
          <w:b w:val="0"/>
          <w:sz w:val="22"/>
        </w:rPr>
        <w:t xml:space="preserve"> was appointed as an Additional Director in the capacity of an Independent Director for a period of five years, from August 12, 2024, to August 11, 2029, subject to shareholder approval at the Annual General Meeting.</w:t>
      </w:r>
    </w:p>
    <w:p>
      <w:pPr>
        <w:pStyle w:val="ListBullet"/>
        <w:jc w:val="both"/>
      </w:pPr>
      <w:r>
        <w:rPr>
          <w:b/>
          <w:sz w:val="22"/>
        </w:rPr>
        <w:t>Mrs. Hutokshi Rohinton Wadia</w:t>
      </w:r>
      <w:r>
        <w:rPr>
          <w:b w:val="0"/>
          <w:sz w:val="22"/>
        </w:rPr>
        <w:t xml:space="preserve"> (DIN: 00103357) was appointed as an Additional Director in the capacity of an Independent Director for a period of five years, from August 12, 2024, to August 11, 2029, subject to shareholder approval at the Annual General Meeting.</w:t>
      </w:r>
    </w:p>
    <w:p>
      <w:pPr>
        <w:pStyle w:val="ListBullet"/>
        <w:jc w:val="both"/>
      </w:pPr>
      <w:r>
        <w:rPr>
          <w:b w:val="0"/>
          <w:sz w:val="22"/>
        </w:rPr>
        <w:t>Mr. R. K. Krishnamurthi (DIN-00464622) and Mr. G. C. Vasudeo (DIN-00021772) ceased to be Independent Directors.</w:t>
      </w:r>
    </w:p>
    <w:p>
      <w:pPr>
        <w:jc w:val="both"/>
      </w:pPr>
      <w:r>
        <w:rPr>
          <w:b/>
          <w:sz w:val="22"/>
        </w:rPr>
        <w:t>Annual General Meeting:</w:t>
      </w:r>
    </w:p>
    <w:p>
      <w:pPr>
        <w:jc w:val="both"/>
      </w:pPr>
      <w:r>
        <w:rPr>
          <w:b w:val="0"/>
          <w:sz w:val="22"/>
        </w:rPr>
        <w:t>The Twentieth Annual General Meeting of the Members of Emkay Fincap Limited is scheduled to be held on Friday, August 08, 2025, at 11:00 a.m. at the company’s Registered Office. The agenda for this meeting includes, among other items, receiving and adopting the Audited Financial Statements, including Audited Consolidated financial statements for the financial year ended March 31, 2025, and confirming an interim dividend of ₹2/- per share for FY 2024-25.</w:t>
      </w:r>
    </w:p>
    <w:p>
      <w:pPr>
        <w:pStyle w:val="Heading1"/>
        <w:jc w:val="left"/>
      </w:pPr>
      <w:r>
        <w:rPr>
          <w:b/>
          <w:sz w:val="28"/>
        </w:rPr>
        <w:t>Company Background</w:t>
      </w:r>
    </w:p>
    <w:p>
      <w:pPr>
        <w:jc w:val="both"/>
      </w:pPr>
      <w:r>
        <w:rPr>
          <w:b/>
          <w:sz w:val="22"/>
        </w:rPr>
        <w:t>Company Background: EMKAY FINCAP</w:t>
      </w:r>
    </w:p>
    <w:p>
      <w:pPr>
        <w:jc w:val="both"/>
      </w:pPr>
      <w:r>
        <w:rPr>
          <w:b w:val="0"/>
          <w:sz w:val="22"/>
        </w:rPr>
        <w:t>EMKAY FINCAP (the "Company") is a close member of its Holding Company, Emkay Global Financial Services Ltd. Other entities identified as related parties include Emkay Management Ltd., Emkay Trading Ltd., and Finlearn EduTech Pvt Ltd.</w:t>
      </w:r>
    </w:p>
    <w:p>
      <w:pPr>
        <w:jc w:val="both"/>
      </w:pPr>
      <w:r>
        <w:rPr>
          <w:b w:val="0"/>
          <w:sz w:val="22"/>
        </w:rPr>
        <w:t>The Company's Registered Office is situated at The Ruby. Specific incorporation details and Corporate Identification Number (CIN) are not available in the provided evidence.</w:t>
      </w:r>
    </w:p>
    <w:p>
      <w:pPr>
        <w:jc w:val="both"/>
      </w:pPr>
      <w:r>
        <w:rPr>
          <w:b w:val="0"/>
          <w:sz w:val="22"/>
        </w:rPr>
        <w:t>Historically, EMKAY FINCAP's principal business involved financial activities, meeting the Reserve Bank of India's (RBI) criteria for Non-Banking Financial Companies (NBFCs), where financial assets and income from financial assets each constituted more than 50% of total assets and gross income, respectively. However, during the most recent financial year, the Company did not fulfill these principal business criteria. This was attributed to financial assets comprising less than 50% of total assets, primarily due to the sale of investments and the parking of funds in bank fixed deposits.</w:t>
      </w:r>
    </w:p>
    <w:p>
      <w:pPr>
        <w:jc w:val="both"/>
      </w:pPr>
      <w:r>
        <w:rPr>
          <w:b w:val="0"/>
          <w:sz w:val="22"/>
        </w:rPr>
        <w:t>The Company’s Key Managerial Personnel (KMP) include:</w:t>
      </w:r>
    </w:p>
    <w:p>
      <w:pPr>
        <w:pStyle w:val="ListBullet"/>
        <w:jc w:val="both"/>
      </w:pPr>
      <w:r>
        <w:rPr>
          <w:b/>
          <w:sz w:val="22"/>
        </w:rPr>
        <w:t>Mr. Krishna Kumar Karwa:</w:t>
      </w:r>
      <w:r>
        <w:rPr>
          <w:b w:val="0"/>
          <w:sz w:val="22"/>
        </w:rPr>
        <w:t xml:space="preserve"> Whole-Time Director &amp; Chief Financial Officer (CFO). Mr. Karwa was re-appointed for a five-year term from July 24, 2024, to July 23, 2029.</w:t>
      </w:r>
    </w:p>
    <w:p>
      <w:pPr>
        <w:pStyle w:val="ListBullet"/>
        <w:jc w:val="both"/>
      </w:pPr>
      <w:r>
        <w:rPr>
          <w:b/>
          <w:sz w:val="22"/>
        </w:rPr>
        <w:t>Mr. Prakash Kacholia:</w:t>
      </w:r>
      <w:r>
        <w:rPr>
          <w:b w:val="0"/>
          <w:sz w:val="22"/>
        </w:rPr>
        <w:t xml:space="preserve"> Whole-Time Director. The Board approved his re-appointment for a five-year period from November 02, 2025, to November 01, 2030, subject to shareholder approval. Mr. Kacholia attended all Board and CSR Committee meetings during the financial year 2024-25.</w:t>
      </w:r>
    </w:p>
    <w:p>
      <w:pPr>
        <w:pStyle w:val="ListBullet"/>
        <w:jc w:val="both"/>
      </w:pPr>
      <w:r>
        <w:rPr>
          <w:b/>
          <w:sz w:val="22"/>
        </w:rPr>
        <w:t>Mr. Himanshu Katare:</w:t>
      </w:r>
      <w:r>
        <w:rPr>
          <w:b w:val="0"/>
          <w:sz w:val="22"/>
        </w:rPr>
        <w:t xml:space="preserve"> Company Secretary.</w:t>
      </w:r>
    </w:p>
    <w:p>
      <w:pPr>
        <w:jc w:val="both"/>
      </w:pPr>
      <w:r>
        <w:rPr>
          <w:b w:val="0"/>
          <w:sz w:val="22"/>
        </w:rPr>
        <w:t>Recent changes to the Board of Directors include:</w:t>
      </w:r>
    </w:p>
    <w:p>
      <w:pPr>
        <w:pStyle w:val="ListBullet"/>
        <w:jc w:val="both"/>
      </w:pPr>
      <w:r>
        <w:rPr>
          <w:b/>
          <w:sz w:val="22"/>
        </w:rPr>
        <w:t>Mr. Raunak Karwa (DIN: 08632290)</w:t>
      </w:r>
      <w:r>
        <w:rPr>
          <w:b w:val="0"/>
          <w:sz w:val="22"/>
        </w:rPr>
        <w:t xml:space="preserve"> was appointed as a Whole-Time Director, designated as an Executive Director, for a three-year period. This appointment was approved by the Company's members via a special resolution, with voting results declared on March 23, 2026.</w:t>
      </w:r>
    </w:p>
    <w:p>
      <w:pPr>
        <w:pStyle w:val="ListBullet"/>
        <w:jc w:val="both"/>
      </w:pPr>
      <w:r>
        <w:rPr>
          <w:b/>
          <w:sz w:val="22"/>
        </w:rPr>
        <w:t>Dr. Bharat Kumar Singh (DIN: 00274435)</w:t>
      </w:r>
      <w:r>
        <w:rPr>
          <w:b w:val="0"/>
          <w:sz w:val="22"/>
        </w:rPr>
        <w:t xml:space="preserve"> and </w:t>
      </w:r>
      <w:r>
        <w:rPr>
          <w:b/>
          <w:sz w:val="22"/>
        </w:rPr>
        <w:t>Mrs. Hutokshi Rohinton Wadia</w:t>
      </w:r>
      <w:r>
        <w:rPr>
          <w:b w:val="0"/>
          <w:sz w:val="22"/>
        </w:rPr>
        <w:t xml:space="preserve"> were appointed as Additional Directors in the capacity of Independent Directors for a five-year term, effective from August 12, 2024, to August 11, 2029. Their appointments are subject to the approval of shareholders in a General Meeting. Dr. Bharat Kumar Singh has submitted a declaration of independence.</w:t>
      </w:r>
    </w:p>
    <w:p>
      <w:pPr>
        <w:pStyle w:val="ListBullet"/>
        <w:jc w:val="both"/>
      </w:pPr>
      <w:r>
        <w:rPr>
          <w:b/>
          <w:sz w:val="22"/>
        </w:rPr>
        <w:t>Mr. R. K. Krishnamurthi (DIN-00464622)</w:t>
      </w:r>
      <w:r>
        <w:rPr>
          <w:b w:val="0"/>
          <w:sz w:val="22"/>
        </w:rPr>
        <w:t xml:space="preserve"> and </w:t>
      </w:r>
      <w:r>
        <w:rPr>
          <w:b/>
          <w:sz w:val="22"/>
        </w:rPr>
        <w:t>Mr. G. C. Vasudeo (DIN-00021772)</w:t>
      </w:r>
      <w:r>
        <w:rPr>
          <w:b w:val="0"/>
          <w:sz w:val="22"/>
        </w:rPr>
        <w:t xml:space="preserve"> ceased to be Independent Directors.</w:t>
      </w:r>
    </w:p>
    <w:p>
      <w:pPr>
        <w:jc w:val="both"/>
      </w:pPr>
      <w:r>
        <w:rPr>
          <w:b w:val="0"/>
          <w:sz w:val="22"/>
        </w:rPr>
        <w:t>Notably, the Company did not pay or provide any remuneration to its directors during the most recent financial year.</w:t>
      </w:r>
    </w:p>
    <w:p>
      <w:pPr>
        <w:jc w:val="both"/>
      </w:pPr>
      <w:r>
        <w:rPr>
          <w:b w:val="0"/>
          <w:sz w:val="22"/>
        </w:rPr>
        <w:t>The Company has no pending litigations that would materially impact its financial position. Furthermore, it did not have any long-term contracts, including derivative contracts, for which material foreseeable losses were anticipated, and no amounts were required to be transferred to the Investor Education and Protection Fund.</w:t>
      </w:r>
    </w:p>
    <w:p>
      <w:pPr>
        <w:pStyle w:val="Heading1"/>
        <w:jc w:val="left"/>
      </w:pPr>
      <w:r>
        <w:rPr>
          <w:b/>
          <w:sz w:val="28"/>
        </w:rPr>
        <w:t>Financial Analysis</w:t>
      </w:r>
    </w:p>
    <w:p>
      <w:pPr>
        <w:jc w:val="both"/>
      </w:pPr>
      <w:r>
        <w:rPr>
          <w:b/>
          <w:sz w:val="22"/>
        </w:rPr>
        <w:t>Financial Analysis</w:t>
      </w:r>
    </w:p>
    <w:p>
      <w:pPr>
        <w:jc w:val="both"/>
      </w:pPr>
      <w:r>
        <w:rPr>
          <w:b w:val="0"/>
          <w:sz w:val="22"/>
        </w:rPr>
        <w:t>This financial analysis pertains specifically to EMKAY FINCAP (the "Applicant") on a standalone basis, based on the provided evidence. It is important to note that certain financial figures in the evidence, and by extension the reconciliation results, appear to represent consolidated data or data pertaining to a broader group, which will be distinguished from the Applicant's standalone performance.</w:t>
      </w:r>
    </w:p>
    <w:p>
      <w:pPr>
        <w:jc w:val="both"/>
      </w:pPr>
      <w:r>
        <w:rPr>
          <w:b/>
          <w:sz w:val="22"/>
        </w:rPr>
        <w:t>Income Statement (Profitability)</w:t>
      </w:r>
    </w:p>
    <w:p>
      <w:pPr>
        <w:jc w:val="both"/>
      </w:pPr>
      <w:r>
        <w:rPr>
          <w:b w:val="0"/>
          <w:sz w:val="22"/>
        </w:rPr>
        <w:t>For the financial year ended 31st March, 2025 (FY25), EMKAY FINCAP reported standalone Total Income of 846,780.38 Lakhs. This comprises:</w:t>
      </w:r>
    </w:p>
    <w:p>
      <w:pPr>
        <w:pStyle w:val="ListBullet"/>
        <w:jc w:val="both"/>
      </w:pPr>
      <w:r>
        <w:rPr>
          <w:b w:val="0"/>
          <w:sz w:val="22"/>
        </w:rPr>
        <w:t>Interest income: 402,011.96 Lakhs</w:t>
      </w:r>
    </w:p>
    <w:p>
      <w:pPr>
        <w:pStyle w:val="ListBullet"/>
        <w:jc w:val="both"/>
      </w:pPr>
      <w:r>
        <w:rPr>
          <w:b w:val="0"/>
          <w:sz w:val="22"/>
        </w:rPr>
        <w:t>Dividend income: 5,400.00 Lakhs</w:t>
      </w:r>
    </w:p>
    <w:p>
      <w:pPr>
        <w:pStyle w:val="ListBullet"/>
        <w:jc w:val="both"/>
      </w:pPr>
      <w:r>
        <w:rPr>
          <w:b w:val="0"/>
          <w:sz w:val="22"/>
        </w:rPr>
        <w:t>Fee and commission income: 2,617.00 Lakhs</w:t>
      </w:r>
    </w:p>
    <w:p>
      <w:pPr>
        <w:pStyle w:val="ListBullet"/>
        <w:jc w:val="both"/>
      </w:pPr>
      <w:r>
        <w:rPr>
          <w:b w:val="0"/>
          <w:sz w:val="22"/>
        </w:rPr>
        <w:t>Net gain on fair value changes: 421,917.89 Lakhs</w:t>
      </w:r>
    </w:p>
    <w:p>
      <w:pPr>
        <w:pStyle w:val="ListBullet"/>
        <w:jc w:val="both"/>
      </w:pPr>
      <w:r>
        <w:rPr>
          <w:b w:val="0"/>
          <w:sz w:val="22"/>
        </w:rPr>
        <w:t>Reversal of impairment on financial instruments: 14,418.98 Lakhs</w:t>
      </w:r>
    </w:p>
    <w:p>
      <w:pPr>
        <w:pStyle w:val="ListBullet"/>
        <w:jc w:val="both"/>
      </w:pPr>
      <w:r>
        <w:rPr>
          <w:b w:val="0"/>
          <w:sz w:val="22"/>
        </w:rPr>
        <w:t>Other Operating Income (under Total Revenue from operations): 89.65 (from Evidence 1) - Note: This value is from a larger table whose origin is unclear but matches the structure. However, Evidence 7 provides a comprehensive breakdown for "Total Revenue from operations" which sums up to 846,365.83.</w:t>
      </w:r>
    </w:p>
    <w:p>
      <w:pPr>
        <w:pStyle w:val="ListBullet"/>
        <w:jc w:val="both"/>
      </w:pPr>
      <w:r>
        <w:rPr>
          <w:b w:val="0"/>
          <w:sz w:val="22"/>
        </w:rPr>
        <w:t>Other Income: 414.55 Lakhs.</w:t>
      </w:r>
    </w:p>
    <w:p>
      <w:pPr>
        <w:jc w:val="both"/>
      </w:pPr>
      <w:r>
        <w:rPr>
          <w:b w:val="0"/>
          <w:sz w:val="22"/>
        </w:rPr>
        <w:t>A direct year-on-year comparison for all revenue components for EMKAY FINCAP standalone is limited due to insufficient data for the prior year. However, standalone Interest income declined to 402,011.96 Lakhs in FY25 from 503,362.49 Lakhs in the financial year ended 31st March, 2024 (FY24). A clear standalone net profit figure for EMKAY FINCAP for either FY25 or FY24 is not explicitly available in the provided standalone financial statements.</w:t>
      </w:r>
    </w:p>
    <w:p>
      <w:pPr>
        <w:jc w:val="both"/>
      </w:pPr>
      <w:r>
        <w:rPr>
          <w:b w:val="0"/>
          <w:sz w:val="22"/>
        </w:rPr>
        <w:t>It is observed that the database figures for total revenue (360.43 Crores, equivalent to 36,043 Lakhs) and net profit (56.83 Crores, equivalent to 5,683 Lakhs) are significantly different from the Applicant's standalone total income (846,780.38 Lakhs or 8,467.80 Crores) presented in Evidence 7. These database figures appear to correlate with larger financial statement aggregates found in the evidence (e.g., Evidence 1 and 3), which are likely from consolidated financial statements and therefore not directly attributable to EMKAY FINCAP on a standalone basis.</w:t>
      </w:r>
    </w:p>
    <w:p>
      <w:pPr>
        <w:jc w:val="both"/>
      </w:pPr>
      <w:r>
        <w:rPr>
          <w:b/>
          <w:sz w:val="22"/>
        </w:rPr>
        <w:t>Financial Position (Balance Sheet)</w:t>
      </w:r>
    </w:p>
    <w:p>
      <w:pPr>
        <w:jc w:val="both"/>
      </w:pPr>
      <w:r>
        <w:rPr>
          <w:b w:val="0"/>
          <w:sz w:val="22"/>
        </w:rPr>
        <w:t>As at 31st March, 2025, EMKAY FINCAP reported total assets of 5,450,732.37 Lakhs. The asset composition includes:</w:t>
      </w:r>
    </w:p>
    <w:p>
      <w:pPr>
        <w:pStyle w:val="ListBullet"/>
        <w:jc w:val="both"/>
      </w:pPr>
      <w:r>
        <w:rPr>
          <w:b w:val="0"/>
          <w:sz w:val="22"/>
        </w:rPr>
        <w:t>Total Financial Assets: 5,439,484.48 Lakhs, with key components being:</w:t>
      </w:r>
    </w:p>
    <w:p>
      <w:pPr>
        <w:pStyle w:val="ListBullet"/>
        <w:jc w:val="both"/>
      </w:pPr>
      <w:r>
        <w:rPr>
          <w:b w:val="0"/>
          <w:sz w:val="22"/>
        </w:rPr>
        <w:t>Loans: 2,201,522.33 Lakhs</w:t>
      </w:r>
    </w:p>
    <w:p>
      <w:pPr>
        <w:pStyle w:val="ListBullet"/>
        <w:jc w:val="both"/>
      </w:pPr>
      <w:r>
        <w:rPr>
          <w:b w:val="0"/>
          <w:sz w:val="22"/>
        </w:rPr>
        <w:t>Cash and cash equivalents: 754,880.61 Lakhs</w:t>
      </w:r>
    </w:p>
    <w:p>
      <w:pPr>
        <w:pStyle w:val="ListBullet"/>
        <w:jc w:val="both"/>
      </w:pPr>
      <w:r>
        <w:rPr>
          <w:b w:val="0"/>
          <w:sz w:val="22"/>
        </w:rPr>
        <w:t>Bank Balance other than Cash and cash equivalents: 2,207,161.29 Lakhs</w:t>
      </w:r>
    </w:p>
    <w:p>
      <w:pPr>
        <w:pStyle w:val="ListBullet"/>
        <w:jc w:val="both"/>
      </w:pPr>
      <w:r>
        <w:rPr>
          <w:b w:val="0"/>
          <w:sz w:val="22"/>
        </w:rPr>
        <w:t>Securities held for trading: 36,345.80 Lakhs</w:t>
      </w:r>
    </w:p>
    <w:p>
      <w:pPr>
        <w:pStyle w:val="ListBullet"/>
        <w:jc w:val="both"/>
      </w:pPr>
      <w:r>
        <w:rPr>
          <w:b w:val="0"/>
          <w:sz w:val="22"/>
        </w:rPr>
        <w:t>Investments: 236,250.00 Lakhs</w:t>
      </w:r>
    </w:p>
    <w:p>
      <w:pPr>
        <w:pStyle w:val="ListBullet"/>
        <w:jc w:val="both"/>
      </w:pPr>
      <w:r>
        <w:rPr>
          <w:b w:val="0"/>
          <w:sz w:val="22"/>
        </w:rPr>
        <w:t>Total Non-financial Assets: 11,247.89 Lakhs.</w:t>
      </w:r>
    </w:p>
    <w:p>
      <w:pPr>
        <w:jc w:val="both"/>
      </w:pPr>
      <w:r>
        <w:rPr>
          <w:b w:val="0"/>
          <w:sz w:val="22"/>
        </w:rPr>
        <w:t>The Applicant maintains a strong liquidity position. Total cash and bank balances (Cash and cash equivalents plus Bank Balance other than Cash and cash equivalents) amounted to 2,962,041.90 Lakhs as at 31st March, 2025, a substantial increase from 1,997,268.13 Lakhs as at 31st March, 2024, representing a year-on-year growth of approximately 48.30%. However, a significant portion of these balances, specifically 1,700,000.00 Lakhs (consistent in both FY25 and FY24), is held under lien as security against a bank overdraft facility. This implies that only 1,262,041.90 Lakhs of cash and bank balances were freely available as at 31st March, 2025, compared to 297,268.13 Lakhs in FY24.</w:t>
      </w:r>
    </w:p>
    <w:p>
      <w:pPr>
        <w:jc w:val="both"/>
      </w:pPr>
      <w:r>
        <w:rPr>
          <w:b w:val="0"/>
          <w:sz w:val="22"/>
        </w:rPr>
        <w:t>EMKAY FINCAP's balance sheet indicates no Trade Receivables as at 31st March, 2025. Similarly, the Applicant has no reported Borrowings (Other than Debt Securities) as at 31st March, 2025. This contrasts significantly with the database value for borrowings (68.23 Crores), suggesting the database figure pertains to another entity or is an aggregation. Total liabilities were 21,565.13 Lakhs, resulting in a robust total equity of 5,429,167.24 Lakhs as at 31st March, 2025.</w:t>
      </w:r>
    </w:p>
    <w:p>
      <w:pPr>
        <w:jc w:val="both"/>
      </w:pPr>
      <w:r>
        <w:rPr>
          <w:b/>
          <w:sz w:val="22"/>
        </w:rPr>
        <w:t>Cash Flow Analysis</w:t>
      </w:r>
    </w:p>
    <w:p>
      <w:pPr>
        <w:jc w:val="both"/>
      </w:pPr>
      <w:r>
        <w:rPr>
          <w:b w:val="0"/>
          <w:sz w:val="22"/>
        </w:rPr>
        <w:t>While a comprehensive standalone cash flow statement is not fully available, certain cash flow components for EMKAY FINCAP are reported for the year ended 31st March, 2025. The Applicant generated a Net Profit before tax of 753,946.91 Lakhs (as a starting point for cash flow calculation). Operating profit before working capital changes was 438,619.84 Lakhs. Notably, the Net cash generated from operating activities amounted to 2,052,716.06 Lakhs, and Net cash generated from investing activities was 264,007.95 Lakhs. The full net cash flow for the period is not discernible from the provided evidence.</w:t>
      </w:r>
    </w:p>
    <w:p>
      <w:pPr>
        <w:jc w:val="both"/>
      </w:pPr>
      <w:r>
        <w:rPr>
          <w:b w:val="0"/>
          <w:sz w:val="22"/>
        </w:rPr>
        <w:t>The database figure for cash flow from operations (CFO) of -2.09 Crores (-209 Lakhs) shows a significant disparity with the reported net cash generated from operating activities (2,052,716.06 Lakhs) for FY25, further supporting the observation that the database values may not reflect the Applicant's standalone financial performance. No inventory figures are explicitly stated for the Applicant, which is consistent with the nature of a financial services company.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Fy25</w:t>
            </w:r>
          </w:p>
        </w:tc>
        <w:tc>
          <w:tcPr>
            <w:tcW w:type="dxa" w:w="2160"/>
          </w:tcPr>
          <w:p>
            <w:r>
              <w:rPr>
                <w:b/>
              </w:rPr>
              <w:t>Fy24</w:t>
            </w:r>
          </w:p>
        </w:tc>
        <w:tc>
          <w:tcPr>
            <w:tcW w:type="dxa" w:w="2160"/>
          </w:tcPr>
          <w:p>
            <w:r>
              <w:rPr>
                <w:b/>
              </w:rPr>
              <w:t>Change</w:t>
            </w:r>
          </w:p>
        </w:tc>
      </w:tr>
      <w:tr>
        <w:tc>
          <w:tcPr>
            <w:tcW w:type="dxa" w:w="2160"/>
          </w:tcPr>
          <w:p>
            <w:r>
              <w:t>Total Income</w:t>
            </w:r>
          </w:p>
        </w:tc>
        <w:tc>
          <w:tcPr>
            <w:tcW w:type="dxa" w:w="2160"/>
          </w:tcPr>
          <w:p>
            <w:r>
              <w:t>846,780.38</w:t>
            </w:r>
          </w:p>
        </w:tc>
        <w:tc>
          <w:tcPr>
            <w:tcW w:type="dxa" w:w="2160"/>
          </w:tcPr>
          <w:p>
            <w:r>
              <w:t>—</w:t>
            </w:r>
          </w:p>
        </w:tc>
        <w:tc>
          <w:tcPr>
            <w:tcW w:type="dxa" w:w="2160"/>
          </w:tcPr>
          <w:p>
            <w:r>
              <w:t>—</w:t>
            </w:r>
          </w:p>
        </w:tc>
      </w:tr>
      <w:tr>
        <w:tc>
          <w:tcPr>
            <w:tcW w:type="dxa" w:w="2160"/>
          </w:tcPr>
          <w:p>
            <w:r>
              <w:t>Net Profit</w:t>
            </w:r>
          </w:p>
        </w:tc>
        <w:tc>
          <w:tcPr>
            <w:tcW w:type="dxa" w:w="2160"/>
          </w:tcPr>
          <w:p>
            <w:r>
              <w:t>—</w:t>
            </w:r>
          </w:p>
        </w:tc>
        <w:tc>
          <w:tcPr>
            <w:tcW w:type="dxa" w:w="2160"/>
          </w:tcPr>
          <w:p>
            <w:r>
              <w:t>—</w:t>
            </w:r>
          </w:p>
        </w:tc>
        <w:tc>
          <w:tcPr>
            <w:tcW w:type="dxa" w:w="2160"/>
          </w:tcPr>
          <w:p>
            <w:r>
              <w:t>—</w:t>
            </w:r>
          </w:p>
        </w:tc>
      </w:tr>
      <w:tr>
        <w:tc>
          <w:tcPr>
            <w:tcW w:type="dxa" w:w="2160"/>
          </w:tcPr>
          <w:p>
            <w:r>
              <w:t>Borrowings</w:t>
            </w:r>
          </w:p>
        </w:tc>
        <w:tc>
          <w:tcPr>
            <w:tcW w:type="dxa" w:w="2160"/>
          </w:tcPr>
          <w:p>
            <w:r>
              <w:t>0.00</w:t>
            </w:r>
          </w:p>
        </w:tc>
        <w:tc>
          <w:tcPr>
            <w:tcW w:type="dxa" w:w="2160"/>
          </w:tcPr>
          <w:p>
            <w:r>
              <w:t>—</w:t>
            </w:r>
          </w:p>
        </w:tc>
        <w:tc>
          <w:tcPr>
            <w:tcW w:type="dxa" w:w="2160"/>
          </w:tcPr>
          <w:p>
            <w:r>
              <w:t>—</w:t>
            </w:r>
          </w:p>
        </w:tc>
      </w:tr>
      <w:tr>
        <w:tc>
          <w:tcPr>
            <w:tcW w:type="dxa" w:w="2160"/>
          </w:tcPr>
          <w:p>
            <w:r>
              <w:t>Cash and Bank Balances</w:t>
            </w:r>
          </w:p>
        </w:tc>
        <w:tc>
          <w:tcPr>
            <w:tcW w:type="dxa" w:w="2160"/>
          </w:tcPr>
          <w:p>
            <w:r>
              <w:t>2,962,041.90</w:t>
            </w:r>
          </w:p>
        </w:tc>
        <w:tc>
          <w:tcPr>
            <w:tcW w:type="dxa" w:w="2160"/>
          </w:tcPr>
          <w:p>
            <w:r>
              <w:t>1,997,268.13</w:t>
            </w:r>
          </w:p>
        </w:tc>
        <w:tc>
          <w:tcPr>
            <w:tcW w:type="dxa" w:w="2160"/>
          </w:tcPr>
          <w:p>
            <w:r>
              <w:t>+48.30%</w:t>
            </w:r>
          </w:p>
        </w:tc>
      </w:tr>
      <w:tr>
        <w:tc>
          <w:tcPr>
            <w:tcW w:type="dxa" w:w="2160"/>
          </w:tcPr>
          <w:p>
            <w:r>
              <w:t>Inventory</w:t>
            </w:r>
          </w:p>
        </w:tc>
        <w:tc>
          <w:tcPr>
            <w:tcW w:type="dxa" w:w="2160"/>
          </w:tcPr>
          <w:p>
            <w:r>
              <w:t>—</w:t>
            </w:r>
          </w:p>
        </w:tc>
        <w:tc>
          <w:tcPr>
            <w:tcW w:type="dxa" w:w="2160"/>
          </w:tcPr>
          <w:p>
            <w:r>
              <w:t>—</w:t>
            </w:r>
          </w:p>
        </w:tc>
        <w:tc>
          <w:tcPr>
            <w:tcW w:type="dxa" w:w="2160"/>
          </w:tcPr>
          <w:p>
            <w:r>
              <w:t>—</w:t>
            </w:r>
          </w:p>
        </w:tc>
      </w:tr>
      <w:tr>
        <w:tc>
          <w:tcPr>
            <w:tcW w:type="dxa" w:w="2160"/>
          </w:tcPr>
          <w:p>
            <w:r>
              <w:t>Trade Receivables</w:t>
            </w:r>
          </w:p>
        </w:tc>
        <w:tc>
          <w:tcPr>
            <w:tcW w:type="dxa" w:w="2160"/>
          </w:tcPr>
          <w:p>
            <w:r>
              <w:t>0.00</w:t>
            </w:r>
          </w:p>
        </w:tc>
        <w:tc>
          <w:tcPr>
            <w:tcW w:type="dxa" w:w="2160"/>
          </w:tcPr>
          <w:p>
            <w:r>
              <w:t>—</w:t>
            </w:r>
          </w:p>
        </w:tc>
        <w:tc>
          <w:tcPr>
            <w:tcW w:type="dxa" w:w="2160"/>
          </w:tcPr>
          <w:p>
            <w:r>
              <w:t>—</w:t>
            </w:r>
          </w:p>
        </w:tc>
      </w:tr>
      <w:tr>
        <w:tc>
          <w:tcPr>
            <w:tcW w:type="dxa" w:w="2160"/>
          </w:tcPr>
          <w:p>
            <w:r>
              <w:t>Net Cash Generated from Operating Activities</w:t>
            </w:r>
          </w:p>
        </w:tc>
        <w:tc>
          <w:tcPr>
            <w:tcW w:type="dxa" w:w="2160"/>
          </w:tcPr>
          <w:p>
            <w:r>
              <w:t>2,052,716.06</w:t>
            </w:r>
          </w:p>
        </w:tc>
        <w:tc>
          <w:tcPr>
            <w:tcW w:type="dxa" w:w="2160"/>
          </w:tcPr>
          <w:p>
            <w:r>
              <w:t>—</w:t>
            </w:r>
          </w:p>
        </w:tc>
        <w:tc>
          <w:tcPr>
            <w:tcW w:type="dxa" w:w="2160"/>
          </w:tcPr>
          <w:p>
            <w:r>
              <w:t>—</w:t>
            </w:r>
          </w:p>
        </w:tc>
      </w:tr>
    </w:tbl>
    <w:p/>
    <w:p>
      <w:pPr>
        <w:pStyle w:val="Heading1"/>
        <w:jc w:val="left"/>
      </w:pPr>
      <w:r>
        <w:rPr>
          <w:b/>
          <w:sz w:val="28"/>
        </w:rPr>
        <w:t>Banking Conduct</w:t>
      </w:r>
    </w:p>
    <w:p>
      <w:pPr>
        <w:jc w:val="both"/>
      </w:pPr>
      <w:r>
        <w:rPr>
          <w:b/>
          <w:sz w:val="22"/>
        </w:rPr>
        <w:t>Banking Conduct</w:t>
      </w:r>
    </w:p>
    <w:p>
      <w:pPr>
        <w:jc w:val="both"/>
      </w:pPr>
      <w:r>
        <w:rPr>
          <w:b w:val="0"/>
          <w:sz w:val="22"/>
        </w:rPr>
        <w:t>EMKAY FINCAP demonstrates sound banking conduct, characterized by a clean payment record and prudent management of its financial facilities. As evidenced by reports as of March 31, 2025, the company has no undisputed dues outstanding towards MSME entities or other parties, indicating timely fulfillment of obligations.</w:t>
      </w:r>
    </w:p>
    <w:p>
      <w:pPr>
        <w:jc w:val="both"/>
      </w:pPr>
      <w:r>
        <w:rPr>
          <w:b w:val="0"/>
          <w:sz w:val="22"/>
        </w:rPr>
        <w:t>The company maintains an adequate liquidity profile, supported by significant banking facilities and healthy cash balances. As of March 31, 2025, EMKAY FINCAP reported unencumbered cash and bank balances of approximately Rs. 61 crore. It also had unutilised but drawable fund-based limits of approximately Rs. 32 crore against an outstanding debt of approximately Rs. 46 crore, which is due in March 2027.</w:t>
      </w:r>
    </w:p>
    <w:p>
      <w:pPr>
        <w:jc w:val="both"/>
      </w:pPr>
      <w:r>
        <w:rPr>
          <w:b w:val="0"/>
          <w:sz w:val="22"/>
        </w:rPr>
        <w:t>EMKAY FINCAP avails an intraday loan facility amounting to approximately Rs. 339 crore, which is instrumental in supporting the working capital requirements of its broking operations. These intraday lines are secured by fixed deposits and fixed assets. Additionally, the company has been sanctioned working capital limits exceeding Rs. 5 crore in aggregate from a bank, secured by fixed deposits with the same bank. Notably, due to the nature of the security provided for these working capital loans, the company is not required to file quarterly returns or statements with the bank.</w:t>
      </w:r>
    </w:p>
    <w:p>
      <w:pPr>
        <w:jc w:val="both"/>
      </w:pPr>
      <w:r>
        <w:rPr>
          <w:b w:val="0"/>
          <w:sz w:val="22"/>
        </w:rPr>
        <w:t>In terms of operational banking, recent transaction data from February 2026 illustrates active engagement in various financial activities, including NCD subscription proceeds, NCD interest payouts, salary disbursements, utility payments, TDS payments, and significant exchange margin placements with NSE and broking settlements with NSE Clearing. This reflects normal course of business operations and effective cash management. Furthermore, as of April 2025, the average cash and equivalent margin placed at the exchanges (including client margin) stood at Rs. 944 crore, with an average utilisation of 20%, highlighting its robust position in managing market-related liquidity.</w:t>
      </w:r>
    </w:p>
    <w:p>
      <w:pPr>
        <w:jc w:val="both"/>
      </w:pPr>
      <w:r>
        <w:rPr>
          <w:b w:val="0"/>
          <w:sz w:val="22"/>
        </w:rPr>
        <w:t>The company has confirmed that it has not received funds from any parties with the understanding to directly or indirectly lend or invest in ultimate beneficiaries or provide guarantees on their behalf, underscoring its commitment to transparent and ethical financial practices.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Lender</w:t>
            </w:r>
          </w:p>
        </w:tc>
        <w:tc>
          <w:tcPr>
            <w:tcW w:type="dxa" w:w="1728"/>
          </w:tcPr>
          <w:p>
            <w:r>
              <w:rPr>
                <w:b/>
              </w:rPr>
              <w:t>Facility Type</w:t>
            </w:r>
          </w:p>
        </w:tc>
        <w:tc>
          <w:tcPr>
            <w:tcW w:type="dxa" w:w="1728"/>
          </w:tcPr>
          <w:p>
            <w:r>
              <w:rPr>
                <w:b/>
              </w:rPr>
              <w:t>Amount Lakhs</w:t>
            </w:r>
          </w:p>
        </w:tc>
        <w:tc>
          <w:tcPr>
            <w:tcW w:type="dxa" w:w="1728"/>
          </w:tcPr>
          <w:p>
            <w:r>
              <w:rPr>
                <w:b/>
              </w:rPr>
              <w:t>Roi</w:t>
            </w:r>
          </w:p>
        </w:tc>
        <w:tc>
          <w:tcPr>
            <w:tcW w:type="dxa" w:w="1728"/>
          </w:tcPr>
          <w:p>
            <w:r>
              <w:rPr>
                <w:b/>
              </w:rPr>
              <w:t>Security</w:t>
            </w:r>
          </w:p>
        </w:tc>
      </w:tr>
      <w:tr>
        <w:tc>
          <w:tcPr>
            <w:tcW w:type="dxa" w:w="1728"/>
          </w:tcPr>
          <w:p>
            <w:r>
              <w:t>A bank</w:t>
            </w:r>
          </w:p>
        </w:tc>
        <w:tc>
          <w:tcPr>
            <w:tcW w:type="dxa" w:w="1728"/>
          </w:tcPr>
          <w:p>
            <w:r>
              <w:t>Working Capital Limits</w:t>
            </w:r>
          </w:p>
        </w:tc>
        <w:tc>
          <w:tcPr>
            <w:tcW w:type="dxa" w:w="1728"/>
          </w:tcPr>
          <w:p>
            <w:r>
              <w:t>—</w:t>
            </w:r>
          </w:p>
        </w:tc>
        <w:tc>
          <w:tcPr>
            <w:tcW w:type="dxa" w:w="1728"/>
          </w:tcPr>
          <w:p>
            <w:r>
              <w:t>—</w:t>
            </w:r>
          </w:p>
        </w:tc>
        <w:tc>
          <w:tcPr>
            <w:tcW w:type="dxa" w:w="1728"/>
          </w:tcPr>
          <w:p>
            <w:r>
              <w:t>Fixed deposits</w:t>
            </w:r>
          </w:p>
        </w:tc>
      </w:tr>
      <w:tr>
        <w:tc>
          <w:tcPr>
            <w:tcW w:type="dxa" w:w="1728"/>
          </w:tcPr>
          <w:p>
            <w:r>
              <w:t>Not specified</w:t>
            </w:r>
          </w:p>
        </w:tc>
        <w:tc>
          <w:tcPr>
            <w:tcW w:type="dxa" w:w="1728"/>
          </w:tcPr>
          <w:p>
            <w:r>
              <w:t>Intraday Loan Facility</w:t>
            </w:r>
          </w:p>
        </w:tc>
        <w:tc>
          <w:tcPr>
            <w:tcW w:type="dxa" w:w="1728"/>
          </w:tcPr>
          <w:p>
            <w:r>
              <w:t>33900</w:t>
            </w:r>
          </w:p>
        </w:tc>
        <w:tc>
          <w:tcPr>
            <w:tcW w:type="dxa" w:w="1728"/>
          </w:tcPr>
          <w:p>
            <w:r>
              <w:t>—</w:t>
            </w:r>
          </w:p>
        </w:tc>
        <w:tc>
          <w:tcPr>
            <w:tcW w:type="dxa" w:w="1728"/>
          </w:tcPr>
          <w:p>
            <w:r>
              <w:t>Fixed deposits and fixed assets</w:t>
            </w:r>
          </w:p>
        </w:tc>
      </w:tr>
      <w:tr>
        <w:tc>
          <w:tcPr>
            <w:tcW w:type="dxa" w:w="1728"/>
          </w:tcPr>
          <w:p>
            <w:r>
              <w:t>Not specified</w:t>
            </w:r>
          </w:p>
        </w:tc>
        <w:tc>
          <w:tcPr>
            <w:tcW w:type="dxa" w:w="1728"/>
          </w:tcPr>
          <w:p>
            <w:r>
              <w:t>Debt Outstanding</w:t>
            </w:r>
          </w:p>
        </w:tc>
        <w:tc>
          <w:tcPr>
            <w:tcW w:type="dxa" w:w="1728"/>
          </w:tcPr>
          <w:p>
            <w:r>
              <w:t>4600</w:t>
            </w:r>
          </w:p>
        </w:tc>
        <w:tc>
          <w:tcPr>
            <w:tcW w:type="dxa" w:w="1728"/>
          </w:tcPr>
          <w:p>
            <w:r>
              <w:t>—</w:t>
            </w:r>
          </w:p>
        </w:tc>
        <w:tc>
          <w:tcPr>
            <w:tcW w:type="dxa" w:w="1728"/>
          </w:tcPr>
          <w:p>
            <w:r>
              <w:t>—</w:t>
            </w:r>
          </w:p>
        </w:tc>
      </w:tr>
    </w:tbl>
    <w:p/>
    <w:p>
      <w:pPr>
        <w:pStyle w:val="Heading1"/>
        <w:jc w:val="left"/>
      </w:pPr>
      <w:r>
        <w:rPr>
          <w:b/>
          <w:sz w:val="28"/>
        </w:rPr>
        <w:t>Tax and Statutory Compliance</w:t>
      </w:r>
    </w:p>
    <w:p>
      <w:pPr>
        <w:jc w:val="both"/>
      </w:pPr>
      <w:r>
        <w:rPr>
          <w:b/>
          <w:sz w:val="22"/>
        </w:rPr>
        <w:t>Tax and Statutory Compliance</w:t>
      </w:r>
    </w:p>
    <w:p>
      <w:pPr>
        <w:jc w:val="both"/>
      </w:pPr>
      <w:r>
        <w:rPr>
          <w:b w:val="0"/>
          <w:sz w:val="22"/>
        </w:rPr>
        <w:t>For the financial year ended March 31, 2025, EMKAY FINCAP reported a Profit Before Tax of 753,946.91. The total tax expense for the year amounted to 239,182.00, which includes a current tax expense of 155,128.00 and a deferred tax expense of 84,054.00. No current tax expense was reported for earlier years during this period. Additionally, income tax relating to items not reclassified to profit or loss within Other Comprehensive Income was 128.00.</w:t>
      </w:r>
    </w:p>
    <w:p>
      <w:pPr>
        <w:jc w:val="both"/>
      </w:pPr>
      <w:r>
        <w:rPr>
          <w:b w:val="0"/>
          <w:sz w:val="22"/>
        </w:rPr>
        <w:t>As of March 31, 2025, EMKAY FINCAP's balance sheet shows Current Tax Assets of 1,707.63 and Net Deferred Tax Assets of 788.00. Conversely, Current Tax Liabilities (net) stood at 8,767.43. Statutory dues payable were 1,431.96 as of March 31, 2025, marking a decrease from 3,388.24 reported as of March 31, 2024.</w:t>
      </w:r>
    </w:p>
    <w:p>
      <w:pPr>
        <w:jc w:val="both"/>
      </w:pPr>
      <w:r>
        <w:rPr>
          <w:b w:val="0"/>
          <w:sz w:val="22"/>
        </w:rPr>
        <w:t>According to the independent auditor's assessment, EMKAY FINCAP is generally regular in depositing undisputed statutory dues, including Goods and Services Tax, income tax, cess, and other applicable statutory dues, with the relevant authorities. As of March 31, 2025, there were no undisputed amounts payable in respect of these statutory dues that were in arrears for a period exceeding six months from their due date. Furthermore, the Company confirmed having no outstanding dues related to provident fund, employees’ state insurance, sales-tax, service tax, duty of customs, duty of excise, or value-added tax.</w:t>
      </w:r>
    </w:p>
    <w:p>
      <w:pPr>
        <w:jc w:val="both"/>
      </w:pPr>
      <w:r>
        <w:rPr>
          <w:b w:val="0"/>
          <w:sz w:val="22"/>
        </w:rPr>
        <w:t>The company's accounting policy for deferred tax assets stipulates their recognition when it is probable that future taxable profits will enable their recovery. Goods and Services Tax paid on the acquisition of assets or on incurring expenses is recognized net, except when the tax is not recoverable from the taxation authority, in which case it is included as part of the asset cost or expense. The net amount of tax recoverable from, or payable to, the taxation authority is presented as part of receivables or payables in the balance sheet.</w:t>
      </w:r>
    </w:p>
    <w:p>
      <w:pPr>
        <w:pStyle w:val="Heading1"/>
        <w:jc w:val="left"/>
      </w:pPr>
      <w:r>
        <w:rPr>
          <w:b/>
          <w:sz w:val="28"/>
        </w:rPr>
        <w:t>Audit and Compliance</w:t>
      </w:r>
    </w:p>
    <w:p>
      <w:pPr>
        <w:jc w:val="both"/>
      </w:pPr>
      <w:r>
        <w:rPr>
          <w:b w:val="0"/>
          <w:sz w:val="22"/>
        </w:rPr>
        <w:t>The provided evidence describes an audit of the consolidated financial statements of "the Company and its associate." The auditor's report for these consolidated financial statements, along with other legal and regulatory requirements, is stated as not modified in respect of a specific matter, suggesting an unmodified opinion concerning that aspect.</w:t>
      </w:r>
    </w:p>
    <w:p>
      <w:pPr>
        <w:jc w:val="both"/>
      </w:pPr>
      <w:r>
        <w:rPr>
          <w:b w:val="0"/>
          <w:sz w:val="22"/>
        </w:rPr>
        <w:t>Auditors obtained sufficient and appropriate evidence regarding the financial information of both "the Company" and its associate to express an opinion on the consolidated financial statements. Their responsibilities included identifying and assessing the risks of material misstatement, whether due to fraud or error, and evaluating the overall presentation and content of the consolidated financial statements to ensure fair presentation. Furthermore, auditors assessed whether future events or conditions might cause "the Company and its associate" to cease to continue as a going concern. Significant deficiencies in internal control identified during the audit were communicated to those charged with governance.</w:t>
      </w:r>
    </w:p>
    <w:p>
      <w:pPr>
        <w:jc w:val="both"/>
      </w:pPr>
      <w:r>
        <w:rPr>
          <w:b w:val="0"/>
          <w:sz w:val="22"/>
        </w:rPr>
        <w:t>It is important to note that the audit details provided pertain to consolidated financial statements of "the Company and its associate." The evidence does not explicitly confirm whether EMKAY FINCAP, the applicant, is "the Company" referred to, nor does it provide specific details regarding EMKAY FINCAP's standalone audit status.</w:t>
      </w:r>
    </w:p>
    <w:p>
      <w:pPr>
        <w:pStyle w:val="Heading1"/>
        <w:jc w:val="left"/>
      </w:pPr>
      <w:r>
        <w:rPr>
          <w:b/>
          <w:sz w:val="28"/>
        </w:rPr>
        <w:t>Risk Assessment</w:t>
      </w:r>
    </w:p>
    <w:p>
      <w:pPr>
        <w:jc w:val="both"/>
      </w:pPr>
      <w:r>
        <w:rPr>
          <w:b/>
          <w:sz w:val="22"/>
        </w:rPr>
        <w:t>Risk Assessment</w:t>
      </w:r>
    </w:p>
    <w:p>
      <w:pPr>
        <w:jc w:val="both"/>
      </w:pPr>
      <w:r>
        <w:rPr>
          <w:b/>
          <w:sz w:val="22"/>
        </w:rPr>
        <w:t>Financial Risk</w:t>
      </w:r>
    </w:p>
    <w:p>
      <w:pPr>
        <w:jc w:val="both"/>
      </w:pPr>
      <w:r>
        <w:rPr>
          <w:b w:val="0"/>
          <w:sz w:val="22"/>
        </w:rPr>
        <w:t>EMKAY FINCAP's financial position for the year ended March 31, 2025, reflects a significant reduction in certain short-term borrowings, alongside an increase in an unsecured loan extended to its Holding Company.</w:t>
      </w:r>
    </w:p>
    <w:p>
      <w:pPr>
        <w:pStyle w:val="ListBullet"/>
        <w:jc w:val="both"/>
      </w:pPr>
      <w:r>
        <w:rPr>
          <w:b/>
          <w:sz w:val="22"/>
        </w:rPr>
        <w:t>Debt Profile and Liquidity:</w:t>
      </w:r>
      <w:r>
        <w:rPr>
          <w:b w:val="0"/>
          <w:sz w:val="22"/>
        </w:rPr>
        <w:t xml:space="preserve"> As of March 31, 2025, EMKAY FINCAP had no outstanding 'Loan Repayable on Demand - Overdraft from Bank' which was secured by a lien on a deposit with a bank. This represents a substantial repayment or reduction from the 1,255,403.30 (in hundreds) outstanding as of March 31, 2024. The absence of outstanding trade payables for both MSME and other undisputed categories as of March 31, 2024, suggests efficient working capital management or a business model with limited payables. The increase/(decrease) in trade payables for March 31, 2025, is reported as zero, further supporting this.</w:t>
      </w:r>
    </w:p>
    <w:p>
      <w:pPr>
        <w:pStyle w:val="ListBullet"/>
        <w:jc w:val="both"/>
      </w:pPr>
      <w:r>
        <w:rPr>
          <w:b/>
          <w:sz w:val="22"/>
        </w:rPr>
        <w:t>Profitability and Cash Flow:</w:t>
      </w:r>
      <w:r>
        <w:rPr>
          <w:b w:val="0"/>
          <w:sz w:val="22"/>
        </w:rPr>
        <w:t xml:space="preserve"> For the financial year ended March 31, 2025, the company reported a Profit before tax of 5,977.73 (in hundreds) and Profit after tax of 4,849.59 (in hundreds). This represents a decline from the prior year's Profit before tax of 6,073.07 (in hundreds) and Profit after tax of 5,691.46 (in hundreds) as of March 31, 2024. A notable inconsistency is observed between the Profit and Loss statement (Evidence 8) and the cash flow statement notes (Evidence 9) regarding "Net Profit before tax" for March 31, 2025; the former indicates 5,977.73 (in hundreds) while the latter indicates 753,946.91 (in hundreds). Cash Generated from operations for March 31, 2025, was 2,189,238.77 (in hundreds), leading to Net cash generated from operating activities of 2,052,716.06 (in hundreds). Net cash generated from investing activities stood at 264,007.95 (in hundreds) for the same period.</w:t>
      </w:r>
    </w:p>
    <w:p>
      <w:pPr>
        <w:pStyle w:val="ListBullet"/>
        <w:jc w:val="both"/>
      </w:pPr>
      <w:r>
        <w:rPr>
          <w:b/>
          <w:sz w:val="22"/>
        </w:rPr>
        <w:t>Asset Quality and Credit Exposure:</w:t>
      </w:r>
      <w:r>
        <w:rPr>
          <w:b w:val="0"/>
          <w:sz w:val="22"/>
        </w:rPr>
        <w:t xml:space="preserve"> EMKAY FINCAP has significant exposure to its Holding Company in the form of unsecured loans. As of March 31, 2025, the unsecured loan to the Holding Company amounted to 2,000,000.00 (in hundreds), an increase from 1,500,000.00 (in hundreds) as of March 31, 2024. This represents a concentration of credit risk within the group structure. Total loans (net of impairment allowance) as an asset decreased from 4,011,786.34 (in hundreds) in FY24 to 2,201,522.33 (in hundreds) in FY25, partially due to a decrease in secured loans.</w:t>
      </w:r>
    </w:p>
    <w:p>
      <w:pPr>
        <w:pStyle w:val="ListBullet"/>
        <w:jc w:val="both"/>
      </w:pPr>
      <w:r>
        <w:rPr>
          <w:b/>
          <w:sz w:val="22"/>
        </w:rPr>
        <w:t>Financial Ratios:</w:t>
      </w:r>
      <w:r>
        <w:rPr>
          <w:b w:val="0"/>
          <w:sz w:val="22"/>
        </w:rPr>
        <w:t xml:space="preserve"> Definitions for key financial ratios such as Debt Service Coverage Ratio, Interest Service Coverage Ratio, Net Worth, and Current Ratio are provided in the evidence. However, the calculated values for these ratios for EMKAY FINCAP are not explicitly stated within the provided information, thus limiting a comprehensive quantitative assessment of its solvency and liquidity through these metrics.</w:t>
      </w:r>
    </w:p>
    <w:p>
      <w:pPr>
        <w:jc w:val="both"/>
      </w:pPr>
      <w:r>
        <w:rPr>
          <w:b/>
          <w:sz w:val="22"/>
        </w:rPr>
        <w:t>Other Risks</w:t>
      </w:r>
    </w:p>
    <w:p>
      <w:pPr>
        <w:pStyle w:val="ListBullet"/>
        <w:jc w:val="both"/>
      </w:pPr>
      <w:r>
        <w:rPr>
          <w:b/>
          <w:sz w:val="22"/>
        </w:rPr>
        <w:t>Related Party Transactions:</w:t>
      </w:r>
      <w:r>
        <w:rPr>
          <w:b w:val="0"/>
          <w:sz w:val="22"/>
        </w:rPr>
        <w:t xml:space="preserve"> The company engages in related party transactions, including the significant unsecured loan extended to its Holding Company. While the Board of Directors report states that "None of the transactions with any of the related parties was in conflict with the interest of the Company" and that there are "no materially significant related party transactions which are in conflict with the interests of the Company at large," the presence of a substantial unsecured loan to a parent entity inherently presents a potential for conflict of interest and recovery risk, especially during periods of financial stress for the group.</w:t>
      </w:r>
    </w:p>
    <w:p>
      <w:pPr>
        <w:pStyle w:val="ListBullet"/>
        <w:jc w:val="both"/>
      </w:pPr>
      <w:r>
        <w:rPr>
          <w:b/>
          <w:sz w:val="22"/>
        </w:rPr>
        <w:t>Contingent Liabilities:</w:t>
      </w:r>
      <w:r>
        <w:rPr>
          <w:b w:val="0"/>
          <w:sz w:val="22"/>
        </w:rPr>
        <w:t xml:space="preserve"> The evidence provides definitions for provisions and contingent liabilities, noting that contingent liabilities are disclosed unless the possibility of outflow of resources is remote. However, no specific contingent liabilities or significant provisions are quantified or disclosed for EMKAY FINCAP in the provided statements, beyond an increase/(decrease) in provisions of (766.06) (in hundreds) for FY25.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Ratio</w:t>
            </w:r>
          </w:p>
        </w:tc>
        <w:tc>
          <w:tcPr>
            <w:tcW w:type="dxa" w:w="2160"/>
          </w:tcPr>
          <w:p>
            <w:r>
              <w:rPr>
                <w:b/>
              </w:rPr>
              <w:t>Fy25</w:t>
            </w:r>
          </w:p>
        </w:tc>
        <w:tc>
          <w:tcPr>
            <w:tcW w:type="dxa" w:w="2160"/>
          </w:tcPr>
          <w:p>
            <w:r>
              <w:rPr>
                <w:b/>
              </w:rPr>
              <w:t>Fy24</w:t>
            </w:r>
          </w:p>
        </w:tc>
        <w:tc>
          <w:tcPr>
            <w:tcW w:type="dxa" w:w="2160"/>
          </w:tcPr>
          <w:p>
            <w:r>
              <w:rPr>
                <w:b/>
              </w:rPr>
              <w:t>Trend</w:t>
            </w:r>
          </w:p>
        </w:tc>
      </w:tr>
      <w:tr>
        <w:tc>
          <w:tcPr>
            <w:tcW w:type="dxa" w:w="2160"/>
          </w:tcPr>
          <w:p>
            <w:r>
              <w:t>Borrowings (Other than Debt Securities) - Overdraft from Bank</w:t>
            </w:r>
          </w:p>
        </w:tc>
        <w:tc>
          <w:tcPr>
            <w:tcW w:type="dxa" w:w="2160"/>
          </w:tcPr>
          <w:p>
            <w:r>
              <w:t>0.00</w:t>
            </w:r>
          </w:p>
        </w:tc>
        <w:tc>
          <w:tcPr>
            <w:tcW w:type="dxa" w:w="2160"/>
          </w:tcPr>
          <w:p>
            <w:r>
              <w:t>1,255,403.30</w:t>
            </w:r>
          </w:p>
        </w:tc>
        <w:tc>
          <w:tcPr>
            <w:tcW w:type="dxa" w:w="2160"/>
          </w:tcPr>
          <w:p>
            <w:r>
              <w:t>Decreased significantly</w:t>
            </w:r>
          </w:p>
        </w:tc>
      </w:tr>
      <w:tr>
        <w:tc>
          <w:tcPr>
            <w:tcW w:type="dxa" w:w="2160"/>
          </w:tcPr>
          <w:p>
            <w:r>
              <w:t>Profit before tax (in hundreds)</w:t>
            </w:r>
          </w:p>
        </w:tc>
        <w:tc>
          <w:tcPr>
            <w:tcW w:type="dxa" w:w="2160"/>
          </w:tcPr>
          <w:p>
            <w:r>
              <w:t>5,977.73</w:t>
            </w:r>
          </w:p>
        </w:tc>
        <w:tc>
          <w:tcPr>
            <w:tcW w:type="dxa" w:w="2160"/>
          </w:tcPr>
          <w:p>
            <w:r>
              <w:t>6,073.07</w:t>
            </w:r>
          </w:p>
        </w:tc>
        <w:tc>
          <w:tcPr>
            <w:tcW w:type="dxa" w:w="2160"/>
          </w:tcPr>
          <w:p>
            <w:r>
              <w:t>-1.57%</w:t>
            </w:r>
          </w:p>
        </w:tc>
      </w:tr>
      <w:tr>
        <w:tc>
          <w:tcPr>
            <w:tcW w:type="dxa" w:w="2160"/>
          </w:tcPr>
          <w:p>
            <w:r>
              <w:t>Profit after tax (in hundreds)</w:t>
            </w:r>
          </w:p>
        </w:tc>
        <w:tc>
          <w:tcPr>
            <w:tcW w:type="dxa" w:w="2160"/>
          </w:tcPr>
          <w:p>
            <w:r>
              <w:t>4,849.59</w:t>
            </w:r>
          </w:p>
        </w:tc>
        <w:tc>
          <w:tcPr>
            <w:tcW w:type="dxa" w:w="2160"/>
          </w:tcPr>
          <w:p>
            <w:r>
              <w:t>5,691.46</w:t>
            </w:r>
          </w:p>
        </w:tc>
        <w:tc>
          <w:tcPr>
            <w:tcW w:type="dxa" w:w="2160"/>
          </w:tcPr>
          <w:p>
            <w:r>
              <w:t>-14.79%</w:t>
            </w:r>
          </w:p>
        </w:tc>
      </w:tr>
      <w:tr>
        <w:tc>
          <w:tcPr>
            <w:tcW w:type="dxa" w:w="2160"/>
          </w:tcPr>
          <w:p>
            <w:r>
              <w:t>Net cash generated from operating activities (in hundreds)</w:t>
            </w:r>
          </w:p>
        </w:tc>
        <w:tc>
          <w:tcPr>
            <w:tcW w:type="dxa" w:w="2160"/>
          </w:tcPr>
          <w:p>
            <w:r>
              <w:t>2,052,716.06</w:t>
            </w:r>
          </w:p>
        </w:tc>
        <w:tc>
          <w:tcPr>
            <w:tcW w:type="dxa" w:w="2160"/>
          </w:tcPr>
          <w:p>
            <w:r>
              <w:t>null</w:t>
            </w:r>
          </w:p>
        </w:tc>
        <w:tc>
          <w:tcPr>
            <w:tcW w:type="dxa" w:w="2160"/>
          </w:tcPr>
          <w:p>
            <w:r>
              <w:t>null</w:t>
            </w:r>
          </w:p>
        </w:tc>
      </w:tr>
      <w:tr>
        <w:tc>
          <w:tcPr>
            <w:tcW w:type="dxa" w:w="2160"/>
          </w:tcPr>
          <w:p>
            <w:r>
              <w:t>Unsecured Loan to Holding Company (Asset, in hundreds)</w:t>
            </w:r>
          </w:p>
        </w:tc>
        <w:tc>
          <w:tcPr>
            <w:tcW w:type="dxa" w:w="2160"/>
          </w:tcPr>
          <w:p>
            <w:r>
              <w:t>2,000,000.00</w:t>
            </w:r>
          </w:p>
        </w:tc>
        <w:tc>
          <w:tcPr>
            <w:tcW w:type="dxa" w:w="2160"/>
          </w:tcPr>
          <w:p>
            <w:r>
              <w:t>1,500,000.00</w:t>
            </w:r>
          </w:p>
        </w:tc>
        <w:tc>
          <w:tcPr>
            <w:tcW w:type="dxa" w:w="2160"/>
          </w:tcPr>
          <w:p>
            <w:r>
              <w:t>+33.33%</w:t>
            </w:r>
          </w:p>
        </w:tc>
      </w:tr>
    </w:tbl>
    <w:p/>
    <w:p>
      <w:pPr>
        <w:pStyle w:val="Heading1"/>
        <w:jc w:val="left"/>
      </w:pPr>
      <w:r>
        <w:rPr>
          <w:b/>
          <w:sz w:val="28"/>
        </w:rPr>
        <w:t>Collateral</w:t>
      </w:r>
    </w:p>
    <w:p>
      <w:pPr>
        <w:jc w:val="both"/>
      </w:pPr>
      <w:r>
        <w:rPr>
          <w:b w:val="0"/>
          <w:sz w:val="22"/>
        </w:rPr>
        <w:t>The applicant, EMKAY FINCAP, holds a portfolio of loans and advances, a portion of which is secured. As of March 31, 2025, EMKAY FINCAP's outstanding secured loans amount to INR 202,027.40 Lakhs (INR 2.02 Crores). These loans are stated to be secured by tangible assets. This represents a significant decrease from the previous year (March 31, 2024), when secured loans totaled INR 2,518,081.54 Lakhs (INR 25.18 Crores). The specific nature of these tangible assets is not detailed in the provided evidence. An impairment loss allowance has been recognized against these secured loans. The applicant also holds a substantial amount of unsecured loans, including INR 2,000,000.00 Lakhs (INR 20.00 Crores) as of March 31, 2025, a portion of which is extended to its Holding Company.</w:t>
      </w:r>
    </w:p>
    <w:p>
      <w:pPr>
        <w:jc w:val="both"/>
      </w:pPr>
      <w:r>
        <w:rPr>
          <w:b w:val="0"/>
          <w:sz w:val="22"/>
        </w:rPr>
        <w:t>Regarding collateral pledged by EMKAY FINCAP for its own borrowings, the evidence indicates that as of March 31, 2025, the company has zero outstanding balances for Term Loans, Intercorporate Loans and Borrowings, Commercial Paper, Public Deposits, and Other Loans. Therefore, specific information detailing collateral pledged by EMKAY FINCAP for any of its own existing liabilities or facilities is not explicitly available. A brief mention of "unds are taken as primary security" is present, but the specific context and application to the applicant's own borrowings are unclear and insufficient for a conclusive assessment.</w:t>
      </w:r>
    </w:p>
    <w:p>
      <w:pPr>
        <w:jc w:val="both"/>
      </w:pPr>
      <w:r>
        <w:rPr>
          <w:b w:val="0"/>
          <w:sz w:val="22"/>
        </w:rPr>
        <w:t>The company employs valuation techniques to measure and disclose the fair value of its assets and liabilities, categorizing them within a fair value hierarchy. This approach considers a market participant’s ability to generate economic benefits by using the asset in its highest and best use.</w:t>
      </w:r>
    </w:p>
    <w:p>
      <w:pPr>
        <w:pStyle w:val="Heading1"/>
      </w:pPr>
      <w:r>
        <w:rPr>
          <w:b/>
          <w:sz w:val="28"/>
        </w:rPr>
        <w:t>Data Consistency Review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Field</w:t>
            </w:r>
          </w:p>
        </w:tc>
        <w:tc>
          <w:tcPr>
            <w:tcW w:type="dxa" w:w="1728"/>
          </w:tcPr>
          <w:p>
            <w:r>
              <w:rPr>
                <w:b/>
              </w:rPr>
              <w:t>Database Value (Cr)</w:t>
            </w:r>
          </w:p>
        </w:tc>
        <w:tc>
          <w:tcPr>
            <w:tcW w:type="dxa" w:w="1728"/>
          </w:tcPr>
          <w:p>
            <w:r>
              <w:rPr>
                <w:b/>
              </w:rPr>
              <w:t>Evidence Found</w:t>
            </w:r>
          </w:p>
        </w:tc>
        <w:tc>
          <w:tcPr>
            <w:tcW w:type="dxa" w:w="1728"/>
          </w:tcPr>
          <w:p>
            <w:r>
              <w:rPr>
                <w:b/>
              </w:rPr>
              <w:t>Status</w:t>
            </w:r>
          </w:p>
        </w:tc>
        <w:tc>
          <w:tcPr>
            <w:tcW w:type="dxa" w:w="1728"/>
          </w:tcPr>
          <w:p>
            <w:r>
              <w:rPr>
                <w:b/>
              </w:rPr>
              <w:t>Remarks</w:t>
            </w:r>
          </w:p>
        </w:tc>
      </w:tr>
      <w:tr>
        <w:tc>
          <w:tcPr>
            <w:tcW w:type="dxa" w:w="1728"/>
          </w:tcPr>
          <w:p>
            <w:r>
              <w:t>Revenue</w:t>
            </w:r>
          </w:p>
        </w:tc>
        <w:tc>
          <w:tcPr>
            <w:tcW w:type="dxa" w:w="1728"/>
          </w:tcPr>
          <w:p>
            <w:r>
              <w:t>360.43</w:t>
            </w:r>
          </w:p>
        </w:tc>
        <w:tc>
          <w:tcPr>
            <w:tcW w:type="dxa" w:w="1728"/>
          </w:tcPr>
          <w:p>
            <w:r>
              <w:t>FOUND</w:t>
            </w:r>
          </w:p>
        </w:tc>
        <w:tc>
          <w:tcPr>
            <w:tcW w:type="dxa" w:w="1728"/>
          </w:tcPr>
          <w:p>
            <w:r>
              <w:t>MATCH</w:t>
            </w:r>
          </w:p>
        </w:tc>
        <w:tc>
          <w:tcPr>
            <w:tcW w:type="dxa" w:w="1728"/>
          </w:tcPr>
          <w:p>
            <w:r>
              <w:t>—</w:t>
            </w:r>
          </w:p>
        </w:tc>
      </w:tr>
      <w:tr>
        <w:tc>
          <w:tcPr>
            <w:tcW w:type="dxa" w:w="1728"/>
          </w:tcPr>
          <w:p>
            <w:r>
              <w:t>Net Profit</w:t>
            </w:r>
          </w:p>
        </w:tc>
        <w:tc>
          <w:tcPr>
            <w:tcW w:type="dxa" w:w="1728"/>
          </w:tcPr>
          <w:p>
            <w:r>
              <w:t>56.83</w:t>
            </w:r>
          </w:p>
        </w:tc>
        <w:tc>
          <w:tcPr>
            <w:tcW w:type="dxa" w:w="1728"/>
          </w:tcPr>
          <w:p>
            <w:r>
              <w:t>FOUND</w:t>
            </w:r>
          </w:p>
        </w:tc>
        <w:tc>
          <w:tcPr>
            <w:tcW w:type="dxa" w:w="1728"/>
          </w:tcPr>
          <w:p>
            <w:r>
              <w:t>MATCH</w:t>
            </w:r>
          </w:p>
        </w:tc>
        <w:tc>
          <w:tcPr>
            <w:tcW w:type="dxa" w:w="1728"/>
          </w:tcPr>
          <w:p>
            <w:r>
              <w:t>—</w:t>
            </w:r>
          </w:p>
        </w:tc>
      </w:tr>
      <w:tr>
        <w:tc>
          <w:tcPr>
            <w:tcW w:type="dxa" w:w="1728"/>
          </w:tcPr>
          <w:p>
            <w:r>
              <w:t>Borrowings</w:t>
            </w:r>
          </w:p>
        </w:tc>
        <w:tc>
          <w:tcPr>
            <w:tcW w:type="dxa" w:w="1728"/>
          </w:tcPr>
          <w:p>
            <w:r>
              <w:t>68.23</w:t>
            </w:r>
          </w:p>
        </w:tc>
        <w:tc>
          <w:tcPr>
            <w:tcW w:type="dxa" w:w="1728"/>
          </w:tcPr>
          <w:p>
            <w:r>
              <w:t>FOUND</w:t>
            </w:r>
          </w:p>
        </w:tc>
        <w:tc>
          <w:tcPr>
            <w:tcW w:type="dxa" w:w="1728"/>
          </w:tcPr>
          <w:p>
            <w:r>
              <w:t>MATCH</w:t>
            </w:r>
          </w:p>
        </w:tc>
        <w:tc>
          <w:tcPr>
            <w:tcW w:type="dxa" w:w="1728"/>
          </w:tcPr>
          <w:p>
            <w:r>
              <w:t>—</w:t>
            </w:r>
          </w:p>
        </w:tc>
      </w:tr>
      <w:tr>
        <w:tc>
          <w:tcPr>
            <w:tcW w:type="dxa" w:w="1728"/>
          </w:tcPr>
          <w:p>
            <w:r>
              <w:t>Cash And Bank</w:t>
            </w:r>
          </w:p>
        </w:tc>
        <w:tc>
          <w:tcPr>
            <w:tcW w:type="dxa" w:w="1728"/>
          </w:tcPr>
          <w:p>
            <w:r>
              <w:t>539.22</w:t>
            </w:r>
          </w:p>
        </w:tc>
        <w:tc>
          <w:tcPr>
            <w:tcW w:type="dxa" w:w="1728"/>
          </w:tcPr>
          <w:p>
            <w:r>
              <w:t>FOUND</w:t>
            </w:r>
          </w:p>
        </w:tc>
        <w:tc>
          <w:tcPr>
            <w:tcW w:type="dxa" w:w="1728"/>
          </w:tcPr>
          <w:p>
            <w:r>
              <w:t>MATCH</w:t>
            </w:r>
          </w:p>
        </w:tc>
        <w:tc>
          <w:tcPr>
            <w:tcW w:type="dxa" w:w="1728"/>
          </w:tcPr>
          <w:p>
            <w:r>
              <w:t>—</w:t>
            </w:r>
          </w:p>
        </w:tc>
      </w:tr>
      <w:tr>
        <w:tc>
          <w:tcPr>
            <w:tcW w:type="dxa" w:w="1728"/>
          </w:tcPr>
          <w:p>
            <w:r>
              <w:t>Inventory</w:t>
            </w:r>
          </w:p>
        </w:tc>
        <w:tc>
          <w:tcPr>
            <w:tcW w:type="dxa" w:w="1728"/>
          </w:tcPr>
          <w:p>
            <w:r>
              <w:t>0.36</w:t>
            </w:r>
          </w:p>
        </w:tc>
        <w:tc>
          <w:tcPr>
            <w:tcW w:type="dxa" w:w="1728"/>
          </w:tcPr>
          <w:p>
            <w:r>
              <w:t>Not found</w:t>
            </w:r>
          </w:p>
        </w:tc>
        <w:tc>
          <w:tcPr>
            <w:tcW w:type="dxa" w:w="1728"/>
          </w:tcPr>
          <w:p>
            <w:r>
              <w:t>MISMATCH</w:t>
            </w:r>
          </w:p>
        </w:tc>
        <w:tc>
          <w:tcPr>
            <w:tcW w:type="dxa" w:w="1728"/>
          </w:tcPr>
          <w:p>
            <w:r>
              <w:t>inventory differs between database and retrieved evidence.</w:t>
            </w:r>
          </w:p>
        </w:tc>
      </w:tr>
      <w:tr>
        <w:tc>
          <w:tcPr>
            <w:tcW w:type="dxa" w:w="1728"/>
          </w:tcPr>
          <w:p>
            <w:r>
              <w:t>Trade Receivables</w:t>
            </w:r>
          </w:p>
        </w:tc>
        <w:tc>
          <w:tcPr>
            <w:tcW w:type="dxa" w:w="1728"/>
          </w:tcPr>
          <w:p>
            <w:r>
              <w:t>94.13</w:t>
            </w:r>
          </w:p>
        </w:tc>
        <w:tc>
          <w:tcPr>
            <w:tcW w:type="dxa" w:w="1728"/>
          </w:tcPr>
          <w:p>
            <w:r>
              <w:t>FOUND</w:t>
            </w:r>
          </w:p>
        </w:tc>
        <w:tc>
          <w:tcPr>
            <w:tcW w:type="dxa" w:w="1728"/>
          </w:tcPr>
          <w:p>
            <w:r>
              <w:t>MATCH</w:t>
            </w:r>
          </w:p>
        </w:tc>
        <w:tc>
          <w:tcPr>
            <w:tcW w:type="dxa" w:w="1728"/>
          </w:tcPr>
          <w:p>
            <w:r>
              <w:t>—</w:t>
            </w:r>
          </w:p>
        </w:tc>
      </w:tr>
      <w:tr>
        <w:tc>
          <w:tcPr>
            <w:tcW w:type="dxa" w:w="1728"/>
          </w:tcPr>
          <w:p>
            <w:r>
              <w:t>Cfo</w:t>
            </w:r>
          </w:p>
        </w:tc>
        <w:tc>
          <w:tcPr>
            <w:tcW w:type="dxa" w:w="1728"/>
          </w:tcPr>
          <w:p>
            <w:r>
              <w:t>-2.09</w:t>
            </w:r>
          </w:p>
        </w:tc>
        <w:tc>
          <w:tcPr>
            <w:tcW w:type="dxa" w:w="1728"/>
          </w:tcPr>
          <w:p>
            <w:r>
              <w:t>FOUND</w:t>
            </w:r>
          </w:p>
        </w:tc>
        <w:tc>
          <w:tcPr>
            <w:tcW w:type="dxa" w:w="1728"/>
          </w:tcPr>
          <w:p>
            <w:r>
              <w:t>MATCH</w:t>
            </w:r>
          </w:p>
        </w:tc>
        <w:tc>
          <w:tcPr>
            <w:tcW w:type="dxa" w:w="1728"/>
          </w:tcPr>
          <w:p>
            <w:r>
              <w:t>—</w:t>
            </w:r>
          </w:p>
        </w:tc>
      </w:tr>
      <w:tr>
        <w:tc>
          <w:tcPr>
            <w:tcW w:type="dxa" w:w="1728"/>
          </w:tcPr>
          <w:p>
            <w:r>
              <w:t>Net Cash Flow</w:t>
            </w:r>
          </w:p>
        </w:tc>
        <w:tc>
          <w:tcPr>
            <w:tcW w:type="dxa" w:w="1728"/>
          </w:tcPr>
          <w:p>
            <w:r>
              <w:t>-1.36</w:t>
            </w:r>
          </w:p>
        </w:tc>
        <w:tc>
          <w:tcPr>
            <w:tcW w:type="dxa" w:w="1728"/>
          </w:tcPr>
          <w:p>
            <w:r>
              <w:t>Not found</w:t>
            </w:r>
          </w:p>
        </w:tc>
        <w:tc>
          <w:tcPr>
            <w:tcW w:type="dxa" w:w="1728"/>
          </w:tcPr>
          <w:p>
            <w:r>
              <w:t>MISMATCH</w:t>
            </w:r>
          </w:p>
        </w:tc>
        <w:tc>
          <w:tcPr>
            <w:tcW w:type="dxa" w:w="1728"/>
          </w:tcPr>
          <w:p>
            <w:r>
              <w:t>net_cash_flow differs between database and retrieved evidence.</w:t>
            </w:r>
          </w:p>
        </w:tc>
      </w:tr>
    </w:tbl>
    <w:p/>
    <w:p>
      <w:pPr>
        <w:pStyle w:val="Heading1"/>
        <w:jc w:val="left"/>
      </w:pPr>
      <w:r>
        <w:rPr>
          <w:b/>
          <w:sz w:val="28"/>
        </w:rPr>
        <w:t>Recommendation</w:t>
      </w:r>
    </w:p>
    <w:p>
      <w:pPr>
        <w:jc w:val="both"/>
      </w:pPr>
      <w:r>
        <w:rPr>
          <w:b/>
          <w:sz w:val="22"/>
        </w:rPr>
        <w:t>Recommendation for EMKAY FINCAP</w:t>
      </w:r>
    </w:p>
    <w:p>
      <w:pPr>
        <w:jc w:val="both"/>
      </w:pPr>
      <w:r>
        <w:rPr>
          <w:b w:val="0"/>
          <w:sz w:val="22"/>
        </w:rPr>
        <w:t>For the financial year ended 31st March, 2025, EMKAY FINCAP demonstrated robust cash flow generation from its core operations. The company reported a positive Net Cash Generated from Operating Activities (A) of 2,052,716.06 (Lakhs). Cash flow from investing activities (B) also contributed positively with 264,007.95 (Lakhs).</w:t>
      </w:r>
    </w:p>
    <w:p>
      <w:pPr>
        <w:jc w:val="both"/>
      </w:pPr>
      <w:r>
        <w:rPr>
          <w:b w:val="0"/>
          <w:sz w:val="22"/>
        </w:rPr>
        <w:t>Conversely, the company recorded a significant Net Cash Used in Financing Activities (C) of (1,585,447.30) (Lakhs). This outflow was primarily driven by substantial repayments of borrowings amounting to 1,255,403.30 (Lakhs) and interim dividend payments of 330,044.00 (Lakhs).</w:t>
      </w:r>
    </w:p>
    <w:p>
      <w:pPr>
        <w:jc w:val="both"/>
      </w:pPr>
      <w:r>
        <w:rPr>
          <w:b w:val="0"/>
          <w:sz w:val="22"/>
        </w:rPr>
        <w:t>The combined Net Cash Flow for the period (A + B + C) amounts to 731,276.71 (Lakhs), indicating an overall increase in cash and cash equivalents.</w:t>
      </w:r>
    </w:p>
    <w:p>
      <w:pPr>
        <w:jc w:val="both"/>
      </w:pPr>
      <w:r>
        <w:rPr>
          <w:b/>
          <w:sz w:val="22"/>
        </w:rPr>
        <w:t>Debt Serviceability Assessment:</w:t>
      </w:r>
    </w:p>
    <w:p>
      <w:pPr>
        <w:jc w:val="both"/>
      </w:pPr>
      <w:r>
        <w:rPr>
          <w:b w:val="0"/>
          <w:sz w:val="22"/>
        </w:rPr>
        <w:t>EMKAY FINCAP's strong positive operating cash flow of 2,052,716.06 (Lakhs) for the period significantly exceeds the debt repayments of 1,255,403.30 (Lakhs). This performance strongly indicates that the company possesses sufficient operational liquidity to meet its debt obligations, including scheduled principal repayments.</w:t>
      </w:r>
    </w:p>
    <w:p>
      <w:pPr>
        <w:jc w:val="both"/>
      </w:pPr>
      <w:r>
        <w:rPr>
          <w:b w:val="0"/>
          <w:sz w:val="22"/>
        </w:rPr>
        <w:t>While formulas for Debt Service Coverage Ratio (DSCR) and Interest Service Coverage Ratio (ISCR) are provided in the evidence, the granular data required to calculate these ratios (such as specific 'Interest expenses' or 'Current maturity of Long term loans' as distinct, aggregate figures) is not explicitly available in a format suitable for direct computation. However, the direct comparison of operating cash flow against debt repayments provides a clear qualitative assessment of debt serviceability.</w:t>
      </w:r>
    </w:p>
    <w:p>
      <w:pPr>
        <w:jc w:val="both"/>
      </w:pPr>
      <w:r>
        <w:rPr>
          <w:b/>
          <w:sz w:val="22"/>
        </w:rPr>
        <w:t>Inconsistencies Noted:</w:t>
      </w:r>
    </w:p>
    <w:p>
      <w:pPr>
        <w:jc w:val="both"/>
      </w:pPr>
      <w:r>
        <w:rPr>
          <w:b w:val="0"/>
          <w:sz w:val="22"/>
        </w:rPr>
        <w:t>It is noted that the supplied reconciliation results for 'cfo' (-2.09 Crores) and 'net_cash_flow' (-1.36 Crores) contradict the explicit figures detailed in the financial evidence, which report a positive Net Cash Generated from Operating Activities of 2,052,716.06 Lakhs (equivalent to 20,527.16 Crores) and a total net cash flow of 731,276.71 Lakhs (equivalent to 7,312.77 Crores). The recommendation is based strictly on the figures presented in the raw evidence.</w:t>
      </w:r>
    </w:p>
    <w:p>
      <w:pPr>
        <w:jc w:val="both"/>
      </w:pPr>
      <w:r>
        <w:rPr>
          <w:b/>
          <w:sz w:val="22"/>
        </w:rPr>
        <w:t>Overall Recommendation:</w:t>
      </w:r>
    </w:p>
    <w:p>
      <w:pPr>
        <w:jc w:val="both"/>
      </w:pPr>
      <w:r>
        <w:rPr>
          <w:b w:val="0"/>
          <w:sz w:val="22"/>
        </w:rPr>
        <w:t>Based on the robust operating cash flow which comfortably covers debt repayments for the financial year ended 31st March, 2025, EMKAY FINCAP demonstrates a strong capacity to service its debt obligations from its operational earnings. Therefore, a positive recommendation for the proposed facility is warranted.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