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Assessment Memo</w:t>
      </w:r>
    </w:p>
    <w:p>
      <w:pPr>
        <w:jc w:val="center"/>
      </w:pPr>
      <w:r>
        <w:rPr>
          <w:b/>
          <w:sz w:val="24"/>
        </w:rPr>
        <w:t xml:space="preserve">Company: </w:t>
      </w:r>
      <w:r>
        <w:rPr>
          <w:sz w:val="24"/>
        </w:rPr>
        <w:t>C.E. Info Systems Ltd</w:t>
      </w:r>
    </w:p>
    <w:p>
      <w:pPr>
        <w:jc w:val="center"/>
      </w:pPr>
      <w:r>
        <w:rPr>
          <w:b/>
          <w:sz w:val="24"/>
        </w:rPr>
        <w:t xml:space="preserve">Financial Year: </w:t>
      </w:r>
      <w:r>
        <w:rPr>
          <w:sz w:val="24"/>
        </w:rPr>
        <w:t>2025</w:t>
      </w:r>
    </w:p>
    <w:p>
      <w:r>
        <w:br w:type="page"/>
      </w:r>
    </w:p>
    <w:p>
      <w:pPr>
        <w:pStyle w:val="Heading1"/>
        <w:jc w:val="left"/>
      </w:pPr>
      <w:r>
        <w:rPr>
          <w:b/>
          <w:sz w:val="28"/>
        </w:rPr>
        <w:t>Applicant Overview</w:t>
      </w:r>
    </w:p>
    <w:p>
      <w:pPr>
        <w:jc w:val="both"/>
      </w:pPr>
      <w:r>
        <w:rPr>
          <w:b/>
          <w:sz w:val="22"/>
        </w:rPr>
        <w:t>Applicant Overview: C.E. Info Systems Ltd</w:t>
      </w:r>
    </w:p>
    <w:p>
      <w:pPr>
        <w:jc w:val="both"/>
      </w:pPr>
      <w:r>
        <w:rPr>
          <w:b w:val="0"/>
          <w:sz w:val="22"/>
        </w:rPr>
        <w:t>C.E. Info Systems Ltd (the "Company") is identified by Corporate Identification Number (CIN) L74899DL1995PLC065551. Its registered office is located at First, Second &amp; Third Floor, Plot No. 237, Okhla Industrial Estate, Phase III, New Delhi 110020. The Company’s 30th Annual General Meeting was scheduled for July 25, 2025, for the fiscal year 2024-25.</w:t>
      </w:r>
    </w:p>
    <w:p>
      <w:pPr>
        <w:jc w:val="both"/>
      </w:pPr>
      <w:r>
        <w:rPr>
          <w:b/>
          <w:sz w:val="22"/>
        </w:rPr>
        <w:t>Corporate Structure and Business Activity:</w:t>
      </w:r>
    </w:p>
    <w:p>
      <w:pPr>
        <w:jc w:val="both"/>
      </w:pPr>
      <w:r>
        <w:rPr>
          <w:b w:val="0"/>
          <w:sz w:val="22"/>
        </w:rPr>
        <w:t>C.E. Info Systems Ltd operates as a holding company for its wholly-owned subsidiaries:</w:t>
      </w:r>
    </w:p>
    <w:p>
      <w:pPr>
        <w:pStyle w:val="ListBullet"/>
        <w:jc w:val="both"/>
      </w:pPr>
      <w:r>
        <w:rPr>
          <w:b/>
          <w:sz w:val="22"/>
        </w:rPr>
        <w:t>Mappls DT Private Limited</w:t>
      </w:r>
      <w:r>
        <w:rPr>
          <w:b w:val="0"/>
          <w:sz w:val="22"/>
        </w:rPr>
        <w:t xml:space="preserve"> (previously known as Vidteq (India) Private Limited, name changed on April 18, 2025): Engaged in providing digital map, digital transformation, digital twin, and location-based technological services.</w:t>
      </w:r>
    </w:p>
    <w:p>
      <w:pPr>
        <w:pStyle w:val="ListBullet"/>
        <w:jc w:val="both"/>
      </w:pPr>
      <w:r>
        <w:rPr>
          <w:b/>
          <w:sz w:val="22"/>
        </w:rPr>
        <w:t>CE Info Systems International Inc</w:t>
      </w:r>
      <w:r>
        <w:rPr>
          <w:b w:val="0"/>
          <w:sz w:val="22"/>
        </w:rPr>
        <w:t>: Incorporated under Delaware state laws, domiciled in California, USA, this entity sells the Group's products and services in the international market as a reseller.</w:t>
      </w:r>
    </w:p>
    <w:p>
      <w:pPr>
        <w:pStyle w:val="ListBullet"/>
        <w:jc w:val="both"/>
      </w:pPr>
      <w:r>
        <w:rPr>
          <w:b/>
          <w:sz w:val="22"/>
        </w:rPr>
        <w:t>Gtropy Systems Private Limited</w:t>
      </w:r>
      <w:r>
        <w:rPr>
          <w:b w:val="0"/>
          <w:sz w:val="22"/>
        </w:rPr>
        <w:t>: Provides IoT and SaaS solutions to the Commercial Vehicle Fleet and OE market, including route optimization, vehicle tracking and telematics, trip management, ADAS for road safety, advanced navigation, and expense management.</w:t>
      </w:r>
    </w:p>
    <w:p>
      <w:pPr>
        <w:jc w:val="both"/>
      </w:pPr>
      <w:r>
        <w:rPr>
          <w:b w:val="0"/>
          <w:sz w:val="22"/>
        </w:rPr>
        <w:t>The Company and its subsidiaries are thus primarily involved in the digital mapping, location-based services, and related technological solutions sector.</w:t>
      </w:r>
    </w:p>
    <w:p>
      <w:pPr>
        <w:jc w:val="both"/>
      </w:pPr>
      <w:r>
        <w:rPr>
          <w:b/>
          <w:sz w:val="22"/>
        </w:rPr>
        <w:t>Board of Directors:</w:t>
      </w:r>
    </w:p>
    <w:p>
      <w:pPr>
        <w:jc w:val="both"/>
      </w:pPr>
      <w:r>
        <w:rPr>
          <w:b w:val="0"/>
          <w:sz w:val="22"/>
        </w:rPr>
        <w:t>The Board of Directors comprises:</w:t>
      </w:r>
    </w:p>
    <w:p>
      <w:pPr>
        <w:pStyle w:val="ListBullet"/>
        <w:jc w:val="both"/>
      </w:pPr>
      <w:r>
        <w:rPr>
          <w:b w:val="0"/>
          <w:sz w:val="22"/>
        </w:rPr>
        <w:t>Mr. Rakesh Kumar Verma: Co-Founder, Managing Director &amp; Group Chairman. He was re-appointed as Managing Director for a five-year period from August 26, 2025.</w:t>
      </w:r>
    </w:p>
    <w:p>
      <w:pPr>
        <w:pStyle w:val="ListBullet"/>
        <w:jc w:val="both"/>
      </w:pPr>
      <w:r>
        <w:rPr>
          <w:b w:val="0"/>
          <w:sz w:val="22"/>
        </w:rPr>
        <w:t>Ms. Rashmi Verma: Co-Founder, Chief Technology Officer &amp; Executive Director.</w:t>
      </w:r>
    </w:p>
    <w:p>
      <w:pPr>
        <w:pStyle w:val="ListBullet"/>
        <w:jc w:val="both"/>
      </w:pPr>
      <w:r>
        <w:rPr>
          <w:b w:val="0"/>
          <w:sz w:val="22"/>
        </w:rPr>
        <w:t>Mr. Rohan Verma: Non-Executive Director. Mr. Verma resigned from the post of CEO of the Company effective March 31, 2025.</w:t>
      </w:r>
    </w:p>
    <w:p>
      <w:pPr>
        <w:pStyle w:val="ListBullet"/>
        <w:jc w:val="both"/>
      </w:pPr>
      <w:r>
        <w:rPr>
          <w:b w:val="0"/>
          <w:sz w:val="22"/>
        </w:rPr>
        <w:t>Mr. Shambhu Singh: Independent Director &amp; Group Vice Chairman.</w:t>
      </w:r>
    </w:p>
    <w:p>
      <w:pPr>
        <w:pStyle w:val="ListBullet"/>
        <w:jc w:val="both"/>
      </w:pPr>
      <w:r>
        <w:rPr>
          <w:b w:val="0"/>
          <w:sz w:val="22"/>
        </w:rPr>
        <w:t>Mr. Anil Mahajan: Independent Director.</w:t>
      </w:r>
    </w:p>
    <w:p>
      <w:pPr>
        <w:pStyle w:val="ListBullet"/>
        <w:jc w:val="both"/>
      </w:pPr>
      <w:r>
        <w:rPr>
          <w:b w:val="0"/>
          <w:sz w:val="22"/>
        </w:rPr>
        <w:t>Ms. Tina Trikha: Independent Director.</w:t>
      </w:r>
    </w:p>
    <w:p>
      <w:pPr>
        <w:pStyle w:val="ListBullet"/>
        <w:jc w:val="both"/>
      </w:pPr>
      <w:r>
        <w:rPr>
          <w:b w:val="0"/>
          <w:sz w:val="22"/>
        </w:rPr>
        <w:t>Mr. Rajagopalan Sundar: Independent Director.</w:t>
      </w:r>
    </w:p>
    <w:p>
      <w:pPr>
        <w:pStyle w:val="ListBullet"/>
        <w:jc w:val="both"/>
      </w:pPr>
      <w:r>
        <w:rPr>
          <w:b w:val="0"/>
          <w:sz w:val="22"/>
        </w:rPr>
        <w:t>Dr. Ranjan Kumar Mohapatra: Independent Director.</w:t>
      </w:r>
    </w:p>
    <w:p>
      <w:pPr>
        <w:pStyle w:val="ListBullet"/>
        <w:jc w:val="both"/>
      </w:pPr>
      <w:r>
        <w:rPr>
          <w:b w:val="0"/>
          <w:sz w:val="22"/>
        </w:rPr>
        <w:t>Ms. Rakhi Prasad: Non-Executive Director.</w:t>
      </w:r>
    </w:p>
    <w:p>
      <w:pPr>
        <w:jc w:val="both"/>
      </w:pPr>
      <w:r>
        <w:rPr>
          <w:b/>
          <w:sz w:val="22"/>
        </w:rPr>
        <w:t>Key Managerial Personnel (KMPs) (as of the date of the report):</w:t>
      </w:r>
    </w:p>
    <w:p>
      <w:pPr>
        <w:pStyle w:val="ListBullet"/>
        <w:jc w:val="both"/>
      </w:pPr>
      <w:r>
        <w:rPr>
          <w:b w:val="0"/>
          <w:sz w:val="22"/>
        </w:rPr>
        <w:t>Mr. Rakesh Kumar Verma: Managing Director</w:t>
      </w:r>
    </w:p>
    <w:p>
      <w:pPr>
        <w:pStyle w:val="ListBullet"/>
        <w:jc w:val="both"/>
      </w:pPr>
      <w:r>
        <w:rPr>
          <w:b w:val="0"/>
          <w:sz w:val="22"/>
        </w:rPr>
        <w:t>Mr. Anuj Kumar Jain: Chief Financial Officer</w:t>
      </w:r>
    </w:p>
    <w:p>
      <w:pPr>
        <w:pStyle w:val="ListBullet"/>
        <w:jc w:val="both"/>
      </w:pPr>
      <w:r>
        <w:rPr>
          <w:b w:val="0"/>
          <w:sz w:val="22"/>
        </w:rPr>
        <w:t>Mr. Saurabh Surendra Somani: Company Secretary &amp; Compliance Officer</w:t>
      </w:r>
    </w:p>
    <w:p>
      <w:pPr>
        <w:jc w:val="both"/>
      </w:pPr>
      <w:r>
        <w:rPr>
          <w:b/>
          <w:sz w:val="22"/>
        </w:rPr>
        <w:t>Senior Management Personnel (SMPs) (as of the date of the report):</w:t>
      </w:r>
    </w:p>
    <w:p>
      <w:pPr>
        <w:pStyle w:val="ListBullet"/>
        <w:jc w:val="both"/>
      </w:pPr>
      <w:r>
        <w:rPr>
          <w:b w:val="0"/>
          <w:sz w:val="22"/>
        </w:rPr>
        <w:t>Mr. Anuj Kumar Jain: Group Chief Financial Officer</w:t>
      </w:r>
    </w:p>
    <w:p>
      <w:pPr>
        <w:pStyle w:val="ListBullet"/>
        <w:jc w:val="both"/>
      </w:pPr>
      <w:r>
        <w:rPr>
          <w:b w:val="0"/>
          <w:sz w:val="22"/>
        </w:rPr>
        <w:t>Mr. Saurabh Surendra Somani: Company Secretary &amp; Compliance Officer, Group of Companies</w:t>
      </w:r>
    </w:p>
    <w:p>
      <w:pPr>
        <w:pStyle w:val="ListBullet"/>
        <w:jc w:val="both"/>
      </w:pPr>
      <w:r>
        <w:rPr>
          <w:b w:val="0"/>
          <w:sz w:val="22"/>
        </w:rPr>
        <w:t>Ms. Sapna Ahuja: President Automotive Business &amp; Chief Operating Officer</w:t>
      </w:r>
    </w:p>
    <w:p>
      <w:pPr>
        <w:pStyle w:val="ListBullet"/>
        <w:jc w:val="both"/>
      </w:pPr>
      <w:r>
        <w:rPr>
          <w:b w:val="0"/>
          <w:sz w:val="22"/>
        </w:rPr>
        <w:t>Mr. Ankeet Bhatt: President, Enterprise Business</w:t>
      </w:r>
    </w:p>
    <w:p>
      <w:pPr>
        <w:pStyle w:val="ListBullet"/>
        <w:jc w:val="both"/>
      </w:pPr>
      <w:r>
        <w:rPr>
          <w:b w:val="0"/>
          <w:sz w:val="22"/>
        </w:rPr>
        <w:t>Mr. Shishir Verma: Chief HR &amp; Corporate Affairs Officer, Group of Companies</w:t>
      </w:r>
    </w:p>
    <w:p>
      <w:pPr>
        <w:jc w:val="both"/>
      </w:pPr>
      <w:r>
        <w:rPr>
          <w:b/>
          <w:sz w:val="22"/>
        </w:rPr>
        <w:t>Auditors:</w:t>
      </w:r>
    </w:p>
    <w:p>
      <w:pPr>
        <w:pStyle w:val="ListBullet"/>
        <w:jc w:val="both"/>
      </w:pPr>
      <w:r>
        <w:rPr>
          <w:b/>
          <w:sz w:val="22"/>
        </w:rPr>
        <w:t>Statutory Auditors</w:t>
      </w:r>
      <w:r>
        <w:rPr>
          <w:b w:val="0"/>
          <w:sz w:val="22"/>
        </w:rPr>
        <w:t>: Brijesh Mathur &amp; Associates, Chartered Accountants.</w:t>
      </w:r>
    </w:p>
    <w:p>
      <w:pPr>
        <w:pStyle w:val="ListBullet"/>
        <w:jc w:val="both"/>
      </w:pPr>
      <w:r>
        <w:rPr>
          <w:b/>
          <w:sz w:val="22"/>
        </w:rPr>
        <w:t>Secretarial Auditors</w:t>
      </w:r>
      <w:r>
        <w:rPr>
          <w:b w:val="0"/>
          <w:sz w:val="22"/>
        </w:rPr>
        <w:t>: Mr. Santosh Kumar Pradhan, Practising Company Secretary, was appointed for a period of five consecutive years from FY 2025-26 to FY 2029-30, subject to members' approval.</w:t>
      </w:r>
    </w:p>
    <w:p>
      <w:pPr>
        <w:jc w:val="both"/>
      </w:pPr>
      <w:r>
        <w:rPr>
          <w:b w:val="0"/>
          <w:sz w:val="22"/>
        </w:rPr>
        <w:t>The Company has a bank statement on file from AI Bank of India covering the period from February 07, 2025, to February 10, 2025.</w:t>
      </w:r>
    </w:p>
    <w:p>
      <w:pPr>
        <w:pStyle w:val="Heading1"/>
        <w:jc w:val="left"/>
      </w:pPr>
      <w:r>
        <w:rPr>
          <w:b/>
          <w:sz w:val="28"/>
        </w:rPr>
        <w:t>Company Background</w:t>
      </w:r>
    </w:p>
    <w:p>
      <w:pPr>
        <w:jc w:val="both"/>
      </w:pPr>
      <w:r>
        <w:rPr>
          <w:b w:val="0"/>
          <w:sz w:val="22"/>
        </w:rPr>
        <w:t>C.E. Info Systems Ltd, the applicant company, operates with its primary place of business in India. The Corporate Identification Number (CIN) is not available. The financial information provided pertains to the fiscal year 2024-25, which concluded on March 31, 2025.</w:t>
      </w:r>
    </w:p>
    <w:p>
      <w:pPr>
        <w:jc w:val="both"/>
      </w:pPr>
      <w:r>
        <w:rPr>
          <w:b/>
          <w:sz w:val="22"/>
        </w:rPr>
        <w:t>Corporate Structure:</w:t>
      </w:r>
    </w:p>
    <w:p>
      <w:pPr>
        <w:jc w:val="both"/>
      </w:pPr>
      <w:r>
        <w:rPr>
          <w:b w:val="0"/>
          <w:sz w:val="22"/>
        </w:rPr>
        <w:t>C.E. Info Systems Ltd holds investments in the following subsidiary entities:</w:t>
      </w:r>
    </w:p>
    <w:p>
      <w:pPr>
        <w:pStyle w:val="ListBullet"/>
        <w:jc w:val="both"/>
      </w:pPr>
      <w:r>
        <w:rPr>
          <w:b/>
          <w:sz w:val="22"/>
        </w:rPr>
        <w:t>CE Info Systems International Inc.:</w:t>
      </w:r>
      <w:r>
        <w:rPr>
          <w:b w:val="0"/>
          <w:sz w:val="22"/>
        </w:rPr>
        <w:t xml:space="preserve"> A wholly-owned subsidiary (100% ownership interest), incorporated in the USA on April 6, 2018, and acquired on the same date.</w:t>
      </w:r>
    </w:p>
    <w:p>
      <w:pPr>
        <w:pStyle w:val="ListBullet"/>
        <w:jc w:val="both"/>
      </w:pPr>
      <w:r>
        <w:rPr>
          <w:b/>
          <w:sz w:val="22"/>
        </w:rPr>
        <w:t>Gtropy Systems Private Limited:</w:t>
      </w:r>
      <w:r>
        <w:rPr>
          <w:b w:val="0"/>
          <w:sz w:val="22"/>
        </w:rPr>
        <w:t xml:space="preserve"> A subsidiary in which the applicant holds a 75.98% ownership interest. This entity was incorporated in India on January 20, 2017, and acquired on March 1, 2022.</w:t>
      </w:r>
    </w:p>
    <w:p>
      <w:pPr>
        <w:pStyle w:val="ListBullet"/>
        <w:jc w:val="both"/>
      </w:pPr>
      <w:r>
        <w:rPr>
          <w:b/>
          <w:sz w:val="22"/>
        </w:rPr>
        <w:t>Vidteq (India) Pvt Ltd:</w:t>
      </w:r>
      <w:r>
        <w:rPr>
          <w:b w:val="0"/>
          <w:sz w:val="22"/>
        </w:rPr>
        <w:t xml:space="preserve"> A wholly-owned subsidiary based in India.</w:t>
      </w:r>
    </w:p>
    <w:p>
      <w:pPr>
        <w:jc w:val="both"/>
      </w:pPr>
      <w:r>
        <w:rPr>
          <w:b/>
          <w:sz w:val="22"/>
        </w:rPr>
        <w:t>Management and Governance:</w:t>
      </w:r>
    </w:p>
    <w:p>
      <w:pPr>
        <w:jc w:val="both"/>
      </w:pPr>
      <w:r>
        <w:rPr>
          <w:b w:val="0"/>
          <w:sz w:val="22"/>
        </w:rPr>
        <w:t>The Company is managed by a Board of Directors, which as of the date of the report, comprises nine directors. The Board's composition includes five Non-Executive Independent Directors, two Non-Executive Non-Independent Directors, and the remaining being Executive Directors. The Board provides strategic guidance and ensures management adheres to ethical standards, transparency, and disclosures.</w:t>
      </w:r>
    </w:p>
    <w:p>
      <w:pPr>
        <w:jc w:val="both"/>
      </w:pPr>
      <w:r>
        <w:rPr>
          <w:b/>
          <w:sz w:val="22"/>
        </w:rPr>
        <w:t>Key Director Information:</w:t>
      </w:r>
    </w:p>
    <w:p>
      <w:pPr>
        <w:pStyle w:val="ListBullet"/>
        <w:jc w:val="both"/>
      </w:pPr>
      <w:r>
        <w:rPr>
          <w:b/>
          <w:sz w:val="22"/>
        </w:rPr>
        <w:t>Mr. Rakesh Kumar Verma (DIN: 01542842):</w:t>
      </w:r>
      <w:r>
        <w:rPr>
          <w:b w:val="0"/>
          <w:sz w:val="22"/>
        </w:rPr>
        <w:t xml:space="preserve"> Appointed on February 17, 1995, he was re-appointed as the Managing Director of the Company for a five-year term effective August 26, 2025, until August 25, 2030.</w:t>
      </w:r>
    </w:p>
    <w:p>
      <w:pPr>
        <w:pStyle w:val="ListBullet"/>
        <w:jc w:val="both"/>
      </w:pPr>
      <w:r>
        <w:rPr>
          <w:b/>
          <w:sz w:val="22"/>
        </w:rPr>
        <w:t>Mr. Rohan Verma (DIN: 01797489):</w:t>
      </w:r>
      <w:r>
        <w:rPr>
          <w:b w:val="0"/>
          <w:sz w:val="22"/>
        </w:rPr>
        <w:t xml:space="preserve"> Appointed on July 26, 2007. Effective March 31, 2025, he resigned from the post of CEO, Whole Time Director, and Key Managerial Personnel, but continues to serve on the Board as a Non-Executive Director.</w:t>
      </w:r>
    </w:p>
    <w:p>
      <w:pPr>
        <w:pStyle w:val="ListBullet"/>
        <w:jc w:val="both"/>
      </w:pPr>
      <w:r>
        <w:rPr>
          <w:b/>
          <w:sz w:val="22"/>
        </w:rPr>
        <w:t>Mrs. Rashmi Verma (DIN: 00680868):</w:t>
      </w:r>
      <w:r>
        <w:rPr>
          <w:b w:val="0"/>
          <w:sz w:val="22"/>
        </w:rPr>
        <w:t xml:space="preserve"> Appointed on May 13, 2024.</w:t>
      </w:r>
    </w:p>
    <w:p>
      <w:pPr>
        <w:pStyle w:val="ListBullet"/>
        <w:jc w:val="both"/>
      </w:pPr>
      <w:r>
        <w:rPr>
          <w:b/>
          <w:sz w:val="22"/>
        </w:rPr>
        <w:t>Mrs. Rakhi Prasad (DIN: 07621845):</w:t>
      </w:r>
      <w:r>
        <w:rPr>
          <w:b w:val="0"/>
          <w:sz w:val="22"/>
        </w:rPr>
        <w:t xml:space="preserve"> Appointed on September 28, 2020.</w:t>
      </w:r>
    </w:p>
    <w:p>
      <w:pPr>
        <w:pStyle w:val="ListBullet"/>
        <w:jc w:val="both"/>
      </w:pPr>
      <w:r>
        <w:rPr>
          <w:b/>
          <w:sz w:val="22"/>
        </w:rPr>
        <w:t>Mr. Shambhu Singh (DIN: 01219193):</w:t>
      </w:r>
      <w:r>
        <w:rPr>
          <w:b w:val="0"/>
          <w:sz w:val="22"/>
        </w:rPr>
        <w:t xml:space="preserve"> Appointed on July 27, 2021, and re-appointed as a Non-Executive Independent Director for a second term of five years effective July 27, 2024.</w:t>
      </w:r>
    </w:p>
    <w:p>
      <w:pPr>
        <w:pStyle w:val="ListBullet"/>
        <w:jc w:val="both"/>
      </w:pPr>
      <w:r>
        <w:rPr>
          <w:b/>
          <w:sz w:val="22"/>
        </w:rPr>
        <w:t>Mr. Anil Mahajan (DIN: 00003398):</w:t>
      </w:r>
      <w:r>
        <w:rPr>
          <w:b w:val="0"/>
          <w:sz w:val="22"/>
        </w:rPr>
        <w:t xml:space="preserve"> Appointed on July 27, 2021, and re-appointed as a Non-Executive Independent Director for a second term of five years effective July 27, 2024.</w:t>
      </w:r>
    </w:p>
    <w:p>
      <w:pPr>
        <w:pStyle w:val="ListBullet"/>
        <w:jc w:val="both"/>
      </w:pPr>
      <w:r>
        <w:rPr>
          <w:b/>
          <w:sz w:val="22"/>
        </w:rPr>
        <w:t>Mr. Kartheepan Madasamy (DIN: 03562906):</w:t>
      </w:r>
      <w:r>
        <w:rPr>
          <w:b w:val="0"/>
          <w:sz w:val="22"/>
        </w:rPr>
        <w:t xml:space="preserve"> Appointed on July 31, 2021, and re-appointed as a Non-Executive Independent Director for a second term of three years effective July 30, 2024.</w:t>
      </w:r>
    </w:p>
    <w:p>
      <w:pPr>
        <w:pStyle w:val="ListBullet"/>
        <w:jc w:val="both"/>
      </w:pPr>
      <w:r>
        <w:rPr>
          <w:b/>
          <w:sz w:val="22"/>
        </w:rPr>
        <w:t>Ms. Tina Trikha (DIN: 02778940):</w:t>
      </w:r>
      <w:r>
        <w:rPr>
          <w:b w:val="0"/>
          <w:sz w:val="22"/>
        </w:rPr>
        <w:t xml:space="preserve"> Appointed on July 27, 2021, and re-appointed as a Non-Executive Independent Director for a second term of five years effective July 27, 2024.</w:t>
      </w:r>
    </w:p>
    <w:p>
      <w:pPr>
        <w:pStyle w:val="ListBullet"/>
        <w:jc w:val="both"/>
      </w:pPr>
      <w:r>
        <w:rPr>
          <w:b/>
          <w:sz w:val="22"/>
        </w:rPr>
        <w:t>Mr. Rajagopalan Sundar (DIN: 00008764):</w:t>
      </w:r>
      <w:r>
        <w:rPr>
          <w:b w:val="0"/>
          <w:sz w:val="22"/>
        </w:rPr>
        <w:t xml:space="preserve"> Appointed as a Non-executive Independent Director for a three-year term effective May 13, 2024.</w:t>
      </w:r>
    </w:p>
    <w:p>
      <w:pPr>
        <w:pStyle w:val="ListBullet"/>
        <w:jc w:val="both"/>
      </w:pPr>
      <w:r>
        <w:rPr>
          <w:b/>
          <w:sz w:val="22"/>
        </w:rPr>
        <w:t>Mr. Vijay Ajemera (DIN: 03142576):</w:t>
      </w:r>
      <w:r>
        <w:rPr>
          <w:b w:val="0"/>
          <w:sz w:val="22"/>
        </w:rPr>
        <w:t xml:space="preserve"> Appointed as a Non-executive Director on behalf of Phonepe Limited effective August 9, 2024.</w:t>
      </w:r>
    </w:p>
    <w:p>
      <w:pPr>
        <w:pStyle w:val="ListBullet"/>
        <w:jc w:val="both"/>
      </w:pPr>
      <w:r>
        <w:rPr>
          <w:b/>
          <w:sz w:val="22"/>
        </w:rPr>
        <w:t>Ms. Sonika Chandra (DIN: 09193853):</w:t>
      </w:r>
      <w:r>
        <w:rPr>
          <w:b w:val="0"/>
          <w:sz w:val="22"/>
        </w:rPr>
        <w:t xml:space="preserve"> A Non-Executive Director on behalf of Phonepe Limited, resigned from Directorship effective August 9, 2024.</w:t>
      </w:r>
    </w:p>
    <w:p>
      <w:pPr>
        <w:jc w:val="both"/>
      </w:pPr>
      <w:r>
        <w:rPr>
          <w:b w:val="0"/>
          <w:sz w:val="22"/>
        </w:rPr>
        <w:t>Mr. Rakesh Kumar Verma, Mr. Rohan Verma, Mrs. Rashmi Verma, and Mrs. Rakhi Prasad are related.</w:t>
      </w:r>
    </w:p>
    <w:p>
      <w:pPr>
        <w:jc w:val="both"/>
      </w:pPr>
      <w:r>
        <w:rPr>
          <w:b/>
          <w:sz w:val="22"/>
        </w:rPr>
        <w:t>Key Managerial Personnel (KMPs) (effective April 1, 2025):</w:t>
      </w:r>
    </w:p>
    <w:p>
      <w:pPr>
        <w:pStyle w:val="ListBullet"/>
        <w:jc w:val="both"/>
      </w:pPr>
      <w:r>
        <w:rPr>
          <w:b w:val="0"/>
          <w:sz w:val="22"/>
        </w:rPr>
        <w:t>Mr. Rakesh Kumar Verma (Managing Director)</w:t>
      </w:r>
    </w:p>
    <w:p>
      <w:pPr>
        <w:pStyle w:val="ListBullet"/>
        <w:jc w:val="both"/>
      </w:pPr>
      <w:r>
        <w:rPr>
          <w:b w:val="0"/>
          <w:sz w:val="22"/>
        </w:rPr>
        <w:t>Mr. Anuj Kumar Jain (Chief Financial Officer)</w:t>
      </w:r>
    </w:p>
    <w:p>
      <w:pPr>
        <w:pStyle w:val="ListBullet"/>
        <w:jc w:val="both"/>
      </w:pPr>
      <w:r>
        <w:rPr>
          <w:b w:val="0"/>
          <w:sz w:val="22"/>
        </w:rPr>
        <w:t>Mr. Saurabh Surendra Somani (Company Secretary cum Compliance Officer)</w:t>
      </w:r>
    </w:p>
    <w:p>
      <w:pPr>
        <w:jc w:val="both"/>
      </w:pPr>
      <w:r>
        <w:rPr>
          <w:b/>
          <w:sz w:val="22"/>
        </w:rPr>
        <w:t>Senior Management Personnel (SMPs) (as on the date of report):</w:t>
      </w:r>
    </w:p>
    <w:p>
      <w:pPr>
        <w:pStyle w:val="ListBullet"/>
        <w:jc w:val="both"/>
      </w:pPr>
      <w:r>
        <w:rPr>
          <w:b w:val="0"/>
          <w:sz w:val="22"/>
        </w:rPr>
        <w:t>Mr. Anuj Kumar Jain (Group Chief Financial Officer)</w:t>
      </w:r>
    </w:p>
    <w:p>
      <w:pPr>
        <w:pStyle w:val="ListBullet"/>
        <w:jc w:val="both"/>
      </w:pPr>
      <w:r>
        <w:rPr>
          <w:b w:val="0"/>
          <w:sz w:val="22"/>
        </w:rPr>
        <w:t>Mr. Saurabh Surendra Somani (Company Secretary &amp; Compliance Officer, Group of Companies)</w:t>
      </w:r>
    </w:p>
    <w:p>
      <w:pPr>
        <w:pStyle w:val="ListBullet"/>
        <w:jc w:val="both"/>
      </w:pPr>
      <w:r>
        <w:rPr>
          <w:b w:val="0"/>
          <w:sz w:val="22"/>
        </w:rPr>
        <w:t>Ms. Sapna Ahuja (President Automotive Business &amp; Chief Operating Officer)</w:t>
      </w:r>
    </w:p>
    <w:p>
      <w:pPr>
        <w:pStyle w:val="ListBullet"/>
        <w:jc w:val="both"/>
      </w:pPr>
      <w:r>
        <w:rPr>
          <w:b w:val="0"/>
          <w:sz w:val="22"/>
        </w:rPr>
        <w:t>Mr. Ankeet Bhatt (President, Enterprise Business)</w:t>
      </w:r>
    </w:p>
    <w:p>
      <w:pPr>
        <w:pStyle w:val="ListBullet"/>
        <w:jc w:val="both"/>
      </w:pPr>
      <w:r>
        <w:rPr>
          <w:b w:val="0"/>
          <w:sz w:val="22"/>
        </w:rPr>
        <w:t>Mr. Shishir Verma (Chief HR &amp; Corporate Affairs Officer, Group of Companies)</w:t>
      </w:r>
    </w:p>
    <w:p>
      <w:pPr>
        <w:jc w:val="both"/>
      </w:pPr>
      <w:r>
        <w:rPr>
          <w:b/>
          <w:sz w:val="22"/>
        </w:rPr>
        <w:t>Shareholding of Directors (as on the date of report):</w:t>
      </w:r>
    </w:p>
    <w:p>
      <w:pPr>
        <w:jc w:val="both"/>
      </w:pPr>
      <w:r>
        <w:rPr>
          <w:b w:val="0"/>
          <w:sz w:val="22"/>
        </w:rPr>
        <w:t>Significant shareholdings among the Directors include:</w:t>
      </w:r>
    </w:p>
    <w:p>
      <w:pPr>
        <w:pStyle w:val="ListBullet"/>
        <w:jc w:val="both"/>
      </w:pPr>
      <w:r>
        <w:rPr>
          <w:b w:val="0"/>
          <w:sz w:val="22"/>
        </w:rPr>
        <w:t>Mr. Rakesh Kumar Verma: 2,26,63,080 equity shares, representing 41.64% of holding.</w:t>
      </w:r>
    </w:p>
    <w:p>
      <w:pPr>
        <w:pStyle w:val="ListBullet"/>
        <w:jc w:val="both"/>
      </w:pPr>
      <w:r>
        <w:rPr>
          <w:b w:val="0"/>
          <w:sz w:val="22"/>
        </w:rPr>
        <w:t>Ms. Rashmi Verma: 51,53,589 equity shares, representing 9.47% of holding.</w:t>
      </w:r>
    </w:p>
    <w:p>
      <w:pPr>
        <w:pStyle w:val="ListBullet"/>
        <w:jc w:val="both"/>
      </w:pPr>
      <w:r>
        <w:rPr>
          <w:b w:val="0"/>
          <w:sz w:val="22"/>
        </w:rPr>
        <w:t>Mr. Rohan Verma: 2,84,786 equity shares, representing 0.52% of holding.</w:t>
      </w:r>
    </w:p>
    <w:p>
      <w:pPr>
        <w:pStyle w:val="ListBullet"/>
        <w:jc w:val="both"/>
      </w:pPr>
      <w:r>
        <w:rPr>
          <w:b w:val="0"/>
          <w:sz w:val="22"/>
        </w:rPr>
        <w:t>Ms. Rakhi Prasad: 3,133 equity shares, representing 0.01% of holding.</w:t>
      </w:r>
    </w:p>
    <w:p>
      <w:pPr>
        <w:pStyle w:val="Heading1"/>
        <w:jc w:val="left"/>
      </w:pPr>
      <w:r>
        <w:rPr>
          <w:b/>
          <w:sz w:val="28"/>
        </w:rPr>
        <w:t>Financial Analysis</w:t>
      </w:r>
    </w:p>
    <w:p>
      <w:pPr>
        <w:jc w:val="both"/>
      </w:pPr>
      <w:r>
        <w:rPr>
          <w:b/>
          <w:sz w:val="22"/>
        </w:rPr>
        <w:t>Financial Analysis</w:t>
      </w:r>
    </w:p>
    <w:p>
      <w:pPr>
        <w:jc w:val="both"/>
      </w:pPr>
      <w:r>
        <w:rPr>
          <w:b w:val="0"/>
          <w:sz w:val="22"/>
        </w:rPr>
        <w:t>C.E. Info Systems Ltd. reported a robust financial performance for Fiscal Year 2025 (FY25), demonstrating growth in both revenue and profitability.</w:t>
      </w:r>
    </w:p>
    <w:p>
      <w:pPr>
        <w:jc w:val="both"/>
      </w:pPr>
      <w:r>
        <w:rPr>
          <w:b/>
          <w:sz w:val="22"/>
        </w:rPr>
        <w:t>Revenue and Profitability</w:t>
      </w:r>
    </w:p>
    <w:p>
      <w:pPr>
        <w:jc w:val="both"/>
      </w:pPr>
      <w:r>
        <w:rPr>
          <w:b w:val="0"/>
          <w:sz w:val="22"/>
        </w:rPr>
        <w:t>The applicant, C.E. Info Systems Ltd., generated total revenue of INR 463.25 Crores for FY25, which is consistent with the internal database and reflects a 22.09% increase from INR 379.42 Crores in FY24 (Evidence 2). The company's standalone Revenue from Operations, as per the Standalone Profit &amp; Loss (Evidence 9), was INR 383.87 Crores in FY25, up by 21.62% from INR 315.61 Crores in FY24. The majority of revenue in FY25, INR 354.06 Crores, was derived from Map data and services (MaaS, PaaS, SaaS), while Sale of Hardware contributed INR 29.81 Crores (Evidence 1). Other income also saw a notable increase of 28.09%, rising to INR 51.74 Crores in FY25 from INR 40.39 Crores in FY24 (Evidence 9).</w:t>
      </w:r>
    </w:p>
    <w:p>
      <w:pPr>
        <w:jc w:val="both"/>
      </w:pPr>
      <w:r>
        <w:rPr>
          <w:b w:val="0"/>
          <w:sz w:val="22"/>
        </w:rPr>
        <w:t>In terms of profitability, the standalone Profit for the year (Net Profit) for C.E. Info Systems Ltd. stood at INR 150.02 Crores in FY25, marking a 9.16% increase from INR 137.43 Crores in FY24 (Evidence 9). This figure differs from the internal database's Net Profit of INR 147.19 Crores for FY25, though it is close to the INR 147.59 Crores reported as "Profit for the year" in another section of the evidence (Evidence 4). Profit before tax for FY25 was INR 206.37 Crores, representing a 16.52% increase from INR 177.11 Crores in FY24 (Evidence 9). Total expenses for FY25 amounted to INR 229.24 Crores, a 28.14% increase from INR 178.89 Crores in FY24. Significant contributors to this increase include technical services and software purchases, which more than doubled from INR 31.44 Crores in FY24 to INR 64.82 Crores in FY25, and employee benefits expense, which grew by 13.34% to INR 61.75 Crores in FY25 (Evidence 9). Total tax expenses for FY25 were INR 56.35 Crores, up by 42.06% from INR 39.68 Crores in FY24 (Evidence 9).</w:t>
      </w:r>
    </w:p>
    <w:p>
      <w:pPr>
        <w:jc w:val="both"/>
      </w:pPr>
      <w:r>
        <w:rPr>
          <w:b/>
          <w:sz w:val="22"/>
        </w:rPr>
        <w:t>Cash Flow Analysis</w:t>
      </w:r>
    </w:p>
    <w:p>
      <w:pPr>
        <w:jc w:val="both"/>
      </w:pPr>
      <w:r>
        <w:rPr>
          <w:b w:val="0"/>
          <w:sz w:val="22"/>
        </w:rPr>
        <w:t>The Net cash flows generated from operating activities (CFO) for C.E. Info Systems Ltd. in FY25 were INR 113.15 Crores, aligning with the internal database figure. This represents a substantial 49.83% increase from INR 75.52 Crores in FY24 (Evidence 6). Detailed information regarding the total net cash flow, encompassing investing and financing activities, is not explicitly available in the provided evidence.</w:t>
      </w:r>
    </w:p>
    <w:p>
      <w:pPr>
        <w:jc w:val="both"/>
      </w:pPr>
      <w:r>
        <w:rPr>
          <w:b/>
          <w:sz w:val="22"/>
        </w:rPr>
        <w:t>Liquidity and Balance Sheet</w:t>
      </w:r>
    </w:p>
    <w:p>
      <w:pPr>
        <w:jc w:val="both"/>
      </w:pPr>
      <w:r>
        <w:rPr>
          <w:b w:val="0"/>
          <w:sz w:val="22"/>
        </w:rPr>
        <w:t>As of March 31, 2025, C.E. Info Systems Ltd. maintained healthy cash and bank balances totalling INR 138.29 Crores, matching the internal database (Evidence 14). This comprises INR 67.37 Crores in cash and cash equivalents and INR 70.92 Crores in bank balances other than cash and cash equivalents (Evidence 14). For FY24, total cash and bank balances were INR 129.05 Crores, consisting of INR 67.03 Crores in cash and cash equivalents, INR 39.30 Crores in fixed deposits with maturity between 3 and 12 months, and INR 22.72 Crores in bank deposits with maturity exceeding 12 months (Evidence 18, 17). There is no evidence indicating any restrictions on the applicant company's cash balances.</w:t>
      </w:r>
    </w:p>
    <w:p>
      <w:pPr>
        <w:jc w:val="both"/>
      </w:pPr>
      <w:r>
        <w:rPr>
          <w:b w:val="0"/>
          <w:sz w:val="22"/>
        </w:rPr>
        <w:t>Trade receivables for FY25 were INR 102.75 Crores, an increase of 9.04% from INR 94.23 Crores in FY24 (Evidence 18). This figure differs from the internal database's INR 133.00 Crores for FY25. Inventories were reported at INR 0.29 Crores in FY25, a significant increase of 141.67% from INR 0.12 Crores in FY24 (Evidence 17). This is substantially lower than the internal database's INR 18.70 Crores for FY25. Unbilled revenue also showed considerable growth, rising by 90.76% to INR 20.24 Crores in FY25 from INR 10.61 Crores in FY24 (Evidence 18).</w:t>
      </w:r>
    </w:p>
    <w:p>
      <w:pPr>
        <w:jc w:val="both"/>
      </w:pPr>
      <w:r>
        <w:rPr>
          <w:b w:val="0"/>
          <w:sz w:val="22"/>
        </w:rPr>
        <w:t>The internal database indicates borrowings of INR 29.85 Crores for FY25. However, an explicit corresponding balance sheet line item for borrowings for the applicant for FY25 is not available in the provided evidence. For FY24, "Loans" were reported at INR 1.17 Crores (Evidence 11). It is noted that C.E. Info Systems Ltd. has pledged fixed deposits of INR 19.00 Crores against an overdraft facility of INR 15.00 Crores provided by Bank of India to a *subsidiary*. This facility pertains specifically to the subsidiary and is not directly attributed to the applicant's standalone borrowings (Evidence 16).</w:t>
      </w:r>
    </w:p>
    <w:p>
      <w:pPr>
        <w:jc w:val="both"/>
      </w:pPr>
      <w:r>
        <w:rPr>
          <w:b w:val="0"/>
          <w:sz w:val="22"/>
        </w:rPr>
        <w:t>Total investments for C.E. Info Systems Ltd. increased by 19.51% to INR 510.62 Crores as of FY25, from INR 427.28 Crores in FY24 (Evidence 15). Current investments specifically amounted to INR 226.57 Crores in FY25, up from INR 170.66 Crores in FY24 (Evidence 17).</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Fy25</w:t>
            </w:r>
          </w:p>
        </w:tc>
        <w:tc>
          <w:tcPr>
            <w:tcW w:type="dxa" w:w="2160"/>
          </w:tcPr>
          <w:p>
            <w:r>
              <w:rPr>
                <w:b/>
              </w:rPr>
              <w:t>Fy24</w:t>
            </w:r>
          </w:p>
        </w:tc>
        <w:tc>
          <w:tcPr>
            <w:tcW w:type="dxa" w:w="2160"/>
          </w:tcPr>
          <w:p>
            <w:r>
              <w:rPr>
                <w:b/>
              </w:rPr>
              <w:t>Change</w:t>
            </w:r>
          </w:p>
        </w:tc>
      </w:tr>
      <w:tr>
        <w:tc>
          <w:tcPr>
            <w:tcW w:type="dxa" w:w="2160"/>
          </w:tcPr>
          <w:p>
            <w:r>
              <w:t>Revenue</w:t>
            </w:r>
          </w:p>
        </w:tc>
        <w:tc>
          <w:tcPr>
            <w:tcW w:type="dxa" w:w="2160"/>
          </w:tcPr>
          <w:p>
            <w:r>
              <w:t>463.25</w:t>
            </w:r>
          </w:p>
        </w:tc>
        <w:tc>
          <w:tcPr>
            <w:tcW w:type="dxa" w:w="2160"/>
          </w:tcPr>
          <w:p>
            <w:r>
              <w:t>379.42</w:t>
            </w:r>
          </w:p>
        </w:tc>
        <w:tc>
          <w:tcPr>
            <w:tcW w:type="dxa" w:w="2160"/>
          </w:tcPr>
          <w:p>
            <w:r>
              <w:t>+22.09%</w:t>
            </w:r>
          </w:p>
        </w:tc>
      </w:tr>
      <w:tr>
        <w:tc>
          <w:tcPr>
            <w:tcW w:type="dxa" w:w="2160"/>
          </w:tcPr>
          <w:p>
            <w:r>
              <w:t>Revenue from Operations (Standalone)</w:t>
            </w:r>
          </w:p>
        </w:tc>
        <w:tc>
          <w:tcPr>
            <w:tcW w:type="dxa" w:w="2160"/>
          </w:tcPr>
          <w:p>
            <w:r>
              <w:t>383.87</w:t>
            </w:r>
          </w:p>
        </w:tc>
        <w:tc>
          <w:tcPr>
            <w:tcW w:type="dxa" w:w="2160"/>
          </w:tcPr>
          <w:p>
            <w:r>
              <w:t>315.61</w:t>
            </w:r>
          </w:p>
        </w:tc>
        <w:tc>
          <w:tcPr>
            <w:tcW w:type="dxa" w:w="2160"/>
          </w:tcPr>
          <w:p>
            <w:r>
              <w:t>+21.62%</w:t>
            </w:r>
          </w:p>
        </w:tc>
      </w:tr>
      <w:tr>
        <w:tc>
          <w:tcPr>
            <w:tcW w:type="dxa" w:w="2160"/>
          </w:tcPr>
          <w:p>
            <w:r>
              <w:t>Other Income (Standalone)</w:t>
            </w:r>
          </w:p>
        </w:tc>
        <w:tc>
          <w:tcPr>
            <w:tcW w:type="dxa" w:w="2160"/>
          </w:tcPr>
          <w:p>
            <w:r>
              <w:t>51.74</w:t>
            </w:r>
          </w:p>
        </w:tc>
        <w:tc>
          <w:tcPr>
            <w:tcW w:type="dxa" w:w="2160"/>
          </w:tcPr>
          <w:p>
            <w:r>
              <w:t>40.39</w:t>
            </w:r>
          </w:p>
        </w:tc>
        <w:tc>
          <w:tcPr>
            <w:tcW w:type="dxa" w:w="2160"/>
          </w:tcPr>
          <w:p>
            <w:r>
              <w:t>+28.09%</w:t>
            </w:r>
          </w:p>
        </w:tc>
      </w:tr>
      <w:tr>
        <w:tc>
          <w:tcPr>
            <w:tcW w:type="dxa" w:w="2160"/>
          </w:tcPr>
          <w:p>
            <w:r>
              <w:t>Total Income (Standalone)</w:t>
            </w:r>
          </w:p>
        </w:tc>
        <w:tc>
          <w:tcPr>
            <w:tcW w:type="dxa" w:w="2160"/>
          </w:tcPr>
          <w:p>
            <w:r>
              <w:t>435.61</w:t>
            </w:r>
          </w:p>
        </w:tc>
        <w:tc>
          <w:tcPr>
            <w:tcW w:type="dxa" w:w="2160"/>
          </w:tcPr>
          <w:p>
            <w:r>
              <w:t>356.00</w:t>
            </w:r>
          </w:p>
        </w:tc>
        <w:tc>
          <w:tcPr>
            <w:tcW w:type="dxa" w:w="2160"/>
          </w:tcPr>
          <w:p>
            <w:r>
              <w:t>+22.36%</w:t>
            </w:r>
          </w:p>
        </w:tc>
      </w:tr>
      <w:tr>
        <w:tc>
          <w:tcPr>
            <w:tcW w:type="dxa" w:w="2160"/>
          </w:tcPr>
          <w:p>
            <w:r>
              <w:t>Total Expenses (Standalone)</w:t>
            </w:r>
          </w:p>
        </w:tc>
        <w:tc>
          <w:tcPr>
            <w:tcW w:type="dxa" w:w="2160"/>
          </w:tcPr>
          <w:p>
            <w:r>
              <w:t>229.24</w:t>
            </w:r>
          </w:p>
        </w:tc>
        <w:tc>
          <w:tcPr>
            <w:tcW w:type="dxa" w:w="2160"/>
          </w:tcPr>
          <w:p>
            <w:r>
              <w:t>178.89</w:t>
            </w:r>
          </w:p>
        </w:tc>
        <w:tc>
          <w:tcPr>
            <w:tcW w:type="dxa" w:w="2160"/>
          </w:tcPr>
          <w:p>
            <w:r>
              <w:t>+28.14%</w:t>
            </w:r>
          </w:p>
        </w:tc>
      </w:tr>
      <w:tr>
        <w:tc>
          <w:tcPr>
            <w:tcW w:type="dxa" w:w="2160"/>
          </w:tcPr>
          <w:p>
            <w:r>
              <w:t>Profit before tax (Standalone)</w:t>
            </w:r>
          </w:p>
        </w:tc>
        <w:tc>
          <w:tcPr>
            <w:tcW w:type="dxa" w:w="2160"/>
          </w:tcPr>
          <w:p>
            <w:r>
              <w:t>206.37</w:t>
            </w:r>
          </w:p>
        </w:tc>
        <w:tc>
          <w:tcPr>
            <w:tcW w:type="dxa" w:w="2160"/>
          </w:tcPr>
          <w:p>
            <w:r>
              <w:t>177.11</w:t>
            </w:r>
          </w:p>
        </w:tc>
        <w:tc>
          <w:tcPr>
            <w:tcW w:type="dxa" w:w="2160"/>
          </w:tcPr>
          <w:p>
            <w:r>
              <w:t>+16.52%</w:t>
            </w:r>
          </w:p>
        </w:tc>
      </w:tr>
      <w:tr>
        <w:tc>
          <w:tcPr>
            <w:tcW w:type="dxa" w:w="2160"/>
          </w:tcPr>
          <w:p>
            <w:r>
              <w:t>Total tax expenses (Standalone)</w:t>
            </w:r>
          </w:p>
        </w:tc>
        <w:tc>
          <w:tcPr>
            <w:tcW w:type="dxa" w:w="2160"/>
          </w:tcPr>
          <w:p>
            <w:r>
              <w:t>56.35</w:t>
            </w:r>
          </w:p>
        </w:tc>
        <w:tc>
          <w:tcPr>
            <w:tcW w:type="dxa" w:w="2160"/>
          </w:tcPr>
          <w:p>
            <w:r>
              <w:t>39.68</w:t>
            </w:r>
          </w:p>
        </w:tc>
        <w:tc>
          <w:tcPr>
            <w:tcW w:type="dxa" w:w="2160"/>
          </w:tcPr>
          <w:p>
            <w:r>
              <w:t>+42.06%</w:t>
            </w:r>
          </w:p>
        </w:tc>
      </w:tr>
      <w:tr>
        <w:tc>
          <w:tcPr>
            <w:tcW w:type="dxa" w:w="2160"/>
          </w:tcPr>
          <w:p>
            <w:r>
              <w:t>Profit for the year (Standalone)</w:t>
            </w:r>
          </w:p>
        </w:tc>
        <w:tc>
          <w:tcPr>
            <w:tcW w:type="dxa" w:w="2160"/>
          </w:tcPr>
          <w:p>
            <w:r>
              <w:t>150.02</w:t>
            </w:r>
          </w:p>
        </w:tc>
        <w:tc>
          <w:tcPr>
            <w:tcW w:type="dxa" w:w="2160"/>
          </w:tcPr>
          <w:p>
            <w:r>
              <w:t>137.43</w:t>
            </w:r>
          </w:p>
        </w:tc>
        <w:tc>
          <w:tcPr>
            <w:tcW w:type="dxa" w:w="2160"/>
          </w:tcPr>
          <w:p>
            <w:r>
              <w:t>+9.16%</w:t>
            </w:r>
          </w:p>
        </w:tc>
      </w:tr>
      <w:tr>
        <w:tc>
          <w:tcPr>
            <w:tcW w:type="dxa" w:w="2160"/>
          </w:tcPr>
          <w:p>
            <w:r>
              <w:t>Net cash flows generated from operating activities (CFO)</w:t>
            </w:r>
          </w:p>
        </w:tc>
        <w:tc>
          <w:tcPr>
            <w:tcW w:type="dxa" w:w="2160"/>
          </w:tcPr>
          <w:p>
            <w:r>
              <w:t>113.15</w:t>
            </w:r>
          </w:p>
        </w:tc>
        <w:tc>
          <w:tcPr>
            <w:tcW w:type="dxa" w:w="2160"/>
          </w:tcPr>
          <w:p>
            <w:r>
              <w:t>75.52</w:t>
            </w:r>
          </w:p>
        </w:tc>
        <w:tc>
          <w:tcPr>
            <w:tcW w:type="dxa" w:w="2160"/>
          </w:tcPr>
          <w:p>
            <w:r>
              <w:t>+49.83%</w:t>
            </w:r>
          </w:p>
        </w:tc>
      </w:tr>
      <w:tr>
        <w:tc>
          <w:tcPr>
            <w:tcW w:type="dxa" w:w="2160"/>
          </w:tcPr>
          <w:p>
            <w:r>
              <w:t>Cash and Bank Balances</w:t>
            </w:r>
          </w:p>
        </w:tc>
        <w:tc>
          <w:tcPr>
            <w:tcW w:type="dxa" w:w="2160"/>
          </w:tcPr>
          <w:p>
            <w:r>
              <w:t>138.29</w:t>
            </w:r>
          </w:p>
        </w:tc>
        <w:tc>
          <w:tcPr>
            <w:tcW w:type="dxa" w:w="2160"/>
          </w:tcPr>
          <w:p>
            <w:r>
              <w:t>129.05</w:t>
            </w:r>
          </w:p>
        </w:tc>
        <w:tc>
          <w:tcPr>
            <w:tcW w:type="dxa" w:w="2160"/>
          </w:tcPr>
          <w:p>
            <w:r>
              <w:t>+7.16%</w:t>
            </w:r>
          </w:p>
        </w:tc>
      </w:tr>
      <w:tr>
        <w:tc>
          <w:tcPr>
            <w:tcW w:type="dxa" w:w="2160"/>
          </w:tcPr>
          <w:p>
            <w:r>
              <w:t>Trade Receivables</w:t>
            </w:r>
          </w:p>
        </w:tc>
        <w:tc>
          <w:tcPr>
            <w:tcW w:type="dxa" w:w="2160"/>
          </w:tcPr>
          <w:p>
            <w:r>
              <w:t>102.75</w:t>
            </w:r>
          </w:p>
        </w:tc>
        <w:tc>
          <w:tcPr>
            <w:tcW w:type="dxa" w:w="2160"/>
          </w:tcPr>
          <w:p>
            <w:r>
              <w:t>94.23</w:t>
            </w:r>
          </w:p>
        </w:tc>
        <w:tc>
          <w:tcPr>
            <w:tcW w:type="dxa" w:w="2160"/>
          </w:tcPr>
          <w:p>
            <w:r>
              <w:t>+9.04%</w:t>
            </w:r>
          </w:p>
        </w:tc>
      </w:tr>
      <w:tr>
        <w:tc>
          <w:tcPr>
            <w:tcW w:type="dxa" w:w="2160"/>
          </w:tcPr>
          <w:p>
            <w:r>
              <w:t>Inventory</w:t>
            </w:r>
          </w:p>
        </w:tc>
        <w:tc>
          <w:tcPr>
            <w:tcW w:type="dxa" w:w="2160"/>
          </w:tcPr>
          <w:p>
            <w:r>
              <w:t>0.29</w:t>
            </w:r>
          </w:p>
        </w:tc>
        <w:tc>
          <w:tcPr>
            <w:tcW w:type="dxa" w:w="2160"/>
          </w:tcPr>
          <w:p>
            <w:r>
              <w:t>0.12</w:t>
            </w:r>
          </w:p>
        </w:tc>
        <w:tc>
          <w:tcPr>
            <w:tcW w:type="dxa" w:w="2160"/>
          </w:tcPr>
          <w:p>
            <w:r>
              <w:t>+141.67%</w:t>
            </w:r>
          </w:p>
        </w:tc>
      </w:tr>
      <w:tr>
        <w:tc>
          <w:tcPr>
            <w:tcW w:type="dxa" w:w="2160"/>
          </w:tcPr>
          <w:p>
            <w:r>
              <w:t>Loans</w:t>
            </w:r>
          </w:p>
        </w:tc>
        <w:tc>
          <w:tcPr>
            <w:tcW w:type="dxa" w:w="2160"/>
          </w:tcPr>
          <w:p>
            <w:r>
              <w:t>—</w:t>
            </w:r>
          </w:p>
        </w:tc>
        <w:tc>
          <w:tcPr>
            <w:tcW w:type="dxa" w:w="2160"/>
          </w:tcPr>
          <w:p>
            <w:r>
              <w:t>1.17</w:t>
            </w:r>
          </w:p>
        </w:tc>
        <w:tc>
          <w:tcPr>
            <w:tcW w:type="dxa" w:w="2160"/>
          </w:tcPr>
          <w:p>
            <w:r>
              <w:t>—</w:t>
            </w:r>
          </w:p>
        </w:tc>
      </w:tr>
      <w:tr>
        <w:tc>
          <w:tcPr>
            <w:tcW w:type="dxa" w:w="2160"/>
          </w:tcPr>
          <w:p>
            <w:r>
              <w:t>Unbilled Revenue</w:t>
            </w:r>
          </w:p>
        </w:tc>
        <w:tc>
          <w:tcPr>
            <w:tcW w:type="dxa" w:w="2160"/>
          </w:tcPr>
          <w:p>
            <w:r>
              <w:t>20.24</w:t>
            </w:r>
          </w:p>
        </w:tc>
        <w:tc>
          <w:tcPr>
            <w:tcW w:type="dxa" w:w="2160"/>
          </w:tcPr>
          <w:p>
            <w:r>
              <w:t>10.61</w:t>
            </w:r>
          </w:p>
        </w:tc>
        <w:tc>
          <w:tcPr>
            <w:tcW w:type="dxa" w:w="2160"/>
          </w:tcPr>
          <w:p>
            <w:r>
              <w:t>+90.76%</w:t>
            </w:r>
          </w:p>
        </w:tc>
      </w:tr>
      <w:tr>
        <w:tc>
          <w:tcPr>
            <w:tcW w:type="dxa" w:w="2160"/>
          </w:tcPr>
          <w:p>
            <w:r>
              <w:t>Total Investments</w:t>
            </w:r>
          </w:p>
        </w:tc>
        <w:tc>
          <w:tcPr>
            <w:tcW w:type="dxa" w:w="2160"/>
          </w:tcPr>
          <w:p>
            <w:r>
              <w:t>510.62</w:t>
            </w:r>
          </w:p>
        </w:tc>
        <w:tc>
          <w:tcPr>
            <w:tcW w:type="dxa" w:w="2160"/>
          </w:tcPr>
          <w:p>
            <w:r>
              <w:t>427.28</w:t>
            </w:r>
          </w:p>
        </w:tc>
        <w:tc>
          <w:tcPr>
            <w:tcW w:type="dxa" w:w="2160"/>
          </w:tcPr>
          <w:p>
            <w:r>
              <w:t>+19.51%</w:t>
            </w:r>
          </w:p>
        </w:tc>
      </w:tr>
    </w:tbl>
    <w:p/>
    <w:p>
      <w:pPr>
        <w:pStyle w:val="Heading1"/>
        <w:jc w:val="left"/>
      </w:pPr>
      <w:r>
        <w:rPr>
          <w:b/>
          <w:sz w:val="28"/>
        </w:rPr>
        <w:t>Banking Conduct</w:t>
      </w:r>
    </w:p>
    <w:p>
      <w:pPr>
        <w:jc w:val="both"/>
      </w:pPr>
      <w:r>
        <w:rPr>
          <w:b/>
          <w:sz w:val="22"/>
        </w:rPr>
        <w:t>Banking Conduct</w:t>
      </w:r>
    </w:p>
    <w:p>
      <w:pPr>
        <w:jc w:val="both"/>
      </w:pPr>
      <w:r>
        <w:rPr>
          <w:b w:val="0"/>
          <w:sz w:val="22"/>
        </w:rPr>
        <w:t>C.E. Info Systems Ltd. maintains a current account with AI Bank of India, with a recorded statement period from January 1, 2025, to March 31, 2025.</w:t>
      </w:r>
    </w:p>
    <w:p>
      <w:pPr>
        <w:jc w:val="both"/>
      </w:pPr>
      <w:r>
        <w:rPr>
          <w:b w:val="0"/>
          <w:sz w:val="22"/>
        </w:rPr>
        <w:t>During the fiscal year, the company has not been sanctioned any working capital limits from banks or financial institutions based on the security of its current assets.</w:t>
      </w:r>
    </w:p>
    <w:p>
      <w:pPr>
        <w:jc w:val="both"/>
      </w:pPr>
      <w:r>
        <w:rPr>
          <w:b w:val="0"/>
          <w:sz w:val="22"/>
        </w:rPr>
        <w:t>However, C.E. Info Systems Ltd. has provided support to its subsidiary, Gtropy Systems Private Limited, by pledging its fixed deposits amounting to INR 19.00 Crores (1,900 lakhs) with Bank of India. This security backs an overdraft facility of INR 15.00 Crores (1,500 lakhs) extended by Bank of India to the said subsidiary. This indicates that INR 19.00 Crores of the company's cash and bank balances are restricted.</w:t>
      </w:r>
    </w:p>
    <w:p>
      <w:pPr>
        <w:jc w:val="both"/>
      </w:pPr>
      <w:r>
        <w:rPr>
          <w:b w:val="0"/>
          <w:sz w:val="22"/>
        </w:rPr>
        <w:t>As of March 31, 2025, C.E. Info Systems Ltd. reports total borrowings of INR 29.85 Crores. The maturity profile of these borrowings indicates that INR 26.95 Crores (2,695 lakhs) are due within one year, INR 3.10 Crores (310 lakhs) are due in 1-3 years, and INR 0.16 Crores (16 lakhs) are due in 3-5 years. Specific details regarding the lenders, facility types, interest rates, or security for these direct borrowings of C.E. Info Systems Ltd. are not available in the provided evidence.</w:t>
      </w:r>
    </w:p>
    <w:p>
      <w:pPr>
        <w:jc w:val="both"/>
      </w:pPr>
      <w:r>
        <w:rPr>
          <w:b w:val="0"/>
          <w:sz w:val="22"/>
        </w:rPr>
        <w:t>The company demonstrates prudent liquidity management by placing its deposits with banks and financial institutions that have high credit ratings. Furthermore, the analysis of trade receivables aging does not indicate any disputed dues, reflecting sound collection practices.</w:t>
      </w:r>
    </w:p>
    <w:p>
      <w:pPr>
        <w:pStyle w:val="Heading1"/>
        <w:jc w:val="left"/>
      </w:pPr>
      <w:r>
        <w:rPr>
          <w:b/>
          <w:sz w:val="28"/>
        </w:rPr>
        <w:t>Tax and Statutory Compliance</w:t>
      </w:r>
    </w:p>
    <w:p>
      <w:pPr>
        <w:jc w:val="both"/>
      </w:pPr>
      <w:r>
        <w:rPr>
          <w:b w:val="0"/>
          <w:sz w:val="22"/>
        </w:rPr>
        <w:t>C.E. Info Systems Ltd. demonstrates a strong compliance record for the fiscal year 2025.</w:t>
      </w:r>
    </w:p>
    <w:p>
      <w:pPr>
        <w:jc w:val="both"/>
      </w:pPr>
      <w:r>
        <w:rPr>
          <w:b w:val="0"/>
          <w:sz w:val="22"/>
        </w:rPr>
        <w:t>Based on the audit opinion, the Company has generally been regular in depositing all undisputed statutory dues. This includes Goods and Services Tax (GST), Provident Fund, Employees’ State Insurance, Income Tax, Sales Tax, Service Tax, duty of Custom, duty of Excise, Value Added Tax, and Cess, among other material statutory dues. As of March 31, 2025, there were no undisputed amounts payable in arrears for a period exceeding six months from their due date, nor were there any statutory dues outstanding due to disputes.</w:t>
      </w:r>
    </w:p>
    <w:p>
      <w:pPr>
        <w:jc w:val="both"/>
      </w:pPr>
      <w:r>
        <w:rPr>
          <w:b w:val="0"/>
          <w:sz w:val="22"/>
        </w:rPr>
        <w:t>For the fiscal year 2025, the total tax expenses for the Company amounted to INR 56.35 Crores (5,635 Lakhs), as reported in the Annual Report.</w:t>
      </w:r>
    </w:p>
    <w:p>
      <w:pPr>
        <w:jc w:val="both"/>
      </w:pPr>
      <w:r>
        <w:rPr>
          <w:b w:val="0"/>
          <w:sz w:val="22"/>
        </w:rPr>
        <w:t>Bank statement analysis provides evidence of timely Goods and Services Tax (GST) payments, with debits recorded on January 3, 2025, for INR 16.77 Lakhs and on March 6, 2025, for INR 12.48 Lakhs.</w:t>
      </w:r>
    </w:p>
    <w:p>
      <w:pPr>
        <w:jc w:val="both"/>
      </w:pPr>
      <w:r>
        <w:rPr>
          <w:b w:val="0"/>
          <w:sz w:val="22"/>
        </w:rPr>
        <w:t>Furthermore, the Company has complied with the provisions of Sections 185 and 186 of the Companies Act, 2013, concerning loans granted, investments made, and guarantees and securities provided. The Company has not accepted any deposits or amounts deemed to be deposits, rendering the reporting under clause 3(v) of the Order inapplicable. Maintenance of cost records is also not specified for the Company's activities by the Central Government under sub-section (1) of section 148 of the Companies Act, 2013, making reporting under Clause (vi) of the Order inapplicable.</w:t>
      </w:r>
    </w:p>
    <w:p>
      <w:pPr>
        <w:pStyle w:val="Heading1"/>
        <w:jc w:val="left"/>
      </w:pPr>
      <w:r>
        <w:rPr>
          <w:b/>
          <w:sz w:val="28"/>
        </w:rPr>
        <w:t>Audit and Compliance</w:t>
      </w:r>
    </w:p>
    <w:p>
      <w:pPr>
        <w:jc w:val="both"/>
      </w:pPr>
      <w:r>
        <w:rPr>
          <w:b/>
          <w:sz w:val="22"/>
        </w:rPr>
        <w:t>Audit and Compliance</w:t>
      </w:r>
    </w:p>
    <w:p>
      <w:pPr>
        <w:jc w:val="both"/>
      </w:pPr>
      <w:r>
        <w:rPr>
          <w:b w:val="0"/>
          <w:sz w:val="22"/>
        </w:rPr>
        <w:t>C.E. Info Systems Ltd (the "Applicant" or "the Company") undergoes annual audit procedures, with the auditors responsible for assessing the adequacy and operating effectiveness of the Company's internal financial controls system (Evidence 1). The audit scope includes evaluating the appropriateness of accounting policies adopted and the reasonableness of accounting estimates and related disclosures made by management (Evidence 1).</w:t>
      </w:r>
    </w:p>
    <w:p>
      <w:pPr>
        <w:jc w:val="both"/>
      </w:pPr>
      <w:r>
        <w:rPr>
          <w:b w:val="0"/>
          <w:sz w:val="22"/>
        </w:rPr>
        <w:t>A key aspect of the audit is to conclude on the appropriateness of management’s use of the going concern basis of accounting for the Company. The auditors are required to determine if a material uncertainty exists related to events or conditions that may cast significant doubt on the Company’s ability to continue as a going concern, based on audit evidence obtained up to the date of their report. Should such disclosures be inadequate, the auditors are required to modify their opinion (Evidence 1, 3). Similar evaluations are performed for the 'Group', acknowledging that future events or conditions could potentially cause the Group to cease to operate as a going concern (Evidence 2).</w:t>
      </w:r>
    </w:p>
    <w:p>
      <w:pPr>
        <w:jc w:val="both"/>
      </w:pPr>
      <w:r>
        <w:rPr>
          <w:b w:val="0"/>
          <w:sz w:val="22"/>
        </w:rPr>
        <w:t>The audit process also encompasses an evaluation of the overall presentation, structure, and content of both the standalone financial statements (Evidence 3) and the consolidated financial statements (Evidence 2), including disclosures, to ensure fair presentation of underlying transactions and events. Materiality, defined as the magnitude of misstatements that could influence the economic decisions of a knowledgeable user, is applied when planning the audit scope and evaluating identified misstatements for both standalone and consolidated financial statements (Evidence 3, 4).</w:t>
      </w:r>
    </w:p>
    <w:p>
      <w:pPr>
        <w:jc w:val="both"/>
      </w:pPr>
      <w:r>
        <w:rPr>
          <w:b w:val="0"/>
          <w:sz w:val="22"/>
        </w:rPr>
        <w:t>For the consolidated financial statements, the auditors are responsible for obtaining sufficient appropriate audit evidence from entities within the Group. They oversee and perform the audit for certain entities, while acknowledging that other auditors may be responsible for audits of other entities within the Group, with the primary auditors retaining sole responsibility for their overall audit opinion (Evidence 2, 4).</w:t>
      </w:r>
    </w:p>
    <w:p>
      <w:pPr>
        <w:jc w:val="both"/>
      </w:pPr>
      <w:r>
        <w:rPr>
          <w:b/>
          <w:sz w:val="22"/>
        </w:rPr>
        <w:t>Compliance Documentation and Gaps:</w:t>
      </w:r>
    </w:p>
    <w:p>
      <w:pPr>
        <w:jc w:val="both"/>
      </w:pPr>
      <w:r>
        <w:rPr>
          <w:b w:val="0"/>
          <w:sz w:val="22"/>
        </w:rPr>
        <w:t>The provided evidence outlines the general responsibilities and scope of the audit but does not include the name of the auditing firm, the specific audit opinion issued for C.E. Info Systems Ltd or the Group (e.g., unqualified, qualified), nor the date of the auditor's report. There is no information regarding any qualifications, adverse opinions, or emphasis of matter paragraphs related to the Company's financial statements or internal controls.</w:t>
      </w:r>
    </w:p>
    <w:p>
      <w:pPr>
        <w:jc w:val="both"/>
      </w:pPr>
      <w:r>
        <w:rPr>
          <w:b w:val="0"/>
          <w:sz w:val="22"/>
        </w:rPr>
        <w:t>As per the verified company facts, the Corporate Identification Number (CIN) for C.E. Info Systems Ltd is not available. Bank statements from AI Bank of India, covering the period 2025-02-07 to 2025-02-10, are on file (Verified Company Facts).</w:t>
      </w:r>
    </w:p>
    <w:p>
      <w:pPr>
        <w:pStyle w:val="Heading1"/>
        <w:jc w:val="left"/>
      </w:pPr>
      <w:r>
        <w:rPr>
          <w:b/>
          <w:sz w:val="28"/>
        </w:rPr>
        <w:t>Risk Assessment</w:t>
      </w:r>
    </w:p>
    <w:p>
      <w:pPr>
        <w:jc w:val="both"/>
      </w:pPr>
      <w:r>
        <w:rPr>
          <w:b w:val="0"/>
          <w:sz w:val="22"/>
        </w:rPr>
        <w:t>C.E. Info Systems Ltd. (the "Applicant") reported Revenue of INR 463.25 Crores for Fiscal Year 2025 (FY25) as per the internal database. However, a corresponding explicit line item for total revenue is not discernible in the provided financial statement evidence.</w:t>
      </w:r>
    </w:p>
    <w:p>
      <w:pPr>
        <w:jc w:val="both"/>
      </w:pPr>
      <w:r>
        <w:rPr>
          <w:b w:val="0"/>
          <w:sz w:val="22"/>
        </w:rPr>
        <w:t>The Applicant demonstrated healthy profitability, with Net Profit attributable to owners increasing to INR 147.19 Crores in FY25, up from INR 133.96 Crores in FY24 (Evidence 7).</w:t>
      </w:r>
    </w:p>
    <w:p>
      <w:pPr>
        <w:jc w:val="both"/>
      </w:pPr>
      <w:r>
        <w:rPr>
          <w:b w:val="0"/>
          <w:sz w:val="22"/>
        </w:rPr>
        <w:t>The Applicant's cash flow from operations (CFO) is reported at INR 113.15 Crores for FY25 in the internal database. However, this figure is not clearly identifiable as a distinct line item within the provided cash flow statement (Evidence 10), and the reconciliation indicates a mismatch. The net cash flow for FY25 was negative INR 6.10 Crores according to the internal database, which differs from the net decrease in cash and cash equivalents of INR 4.46 Crores (446 Lakhs) reported in the cash flow statement (Evidence 9). This marks an increased negative trend compared to a net decrease of INR 4.25 Crores (425 Lakhs) in FY24.</w:t>
      </w:r>
    </w:p>
    <w:p>
      <w:pPr>
        <w:jc w:val="both"/>
      </w:pPr>
      <w:r>
        <w:rPr>
          <w:b w:val="0"/>
          <w:sz w:val="22"/>
        </w:rPr>
        <w:t>From a liquidity perspective, the internal database indicates Cash and Bank balances of INR 138.29 Crores for FY25. This differs significantly from the Cash and Cash Equivalents closing balance reported in the cash flow statement, which was INR 62.57 Crores (6,257 Lakhs) in FY25, a decrease from INR 67.03 Crores (6,703 Lakhs) in FY24 (Evidence 9). It is important to note that "Cash and Bank" in the database refers to the Balance Sheet item, distinct from "Cash and Cash Equivalents" on the Cash Flow Statement. Trade Receivables (net) for FY25 are INR 133.00 Crores as per the internal database, though the evidence presents them as INR 102.75 Crores (10,275 Lakhs) for FY25, an increase from INR 94.23 Crores (9,423 Lakhs) in FY24 (Evidence 15). The inventory balance is reported at INR 18.70 Crores in the internal database; however, a specific line item for inventory balance is not explicitly detailed in the provided financial statement evidence.</w:t>
      </w:r>
    </w:p>
    <w:p>
      <w:pPr>
        <w:jc w:val="both"/>
      </w:pPr>
      <w:r>
        <w:rPr>
          <w:b w:val="0"/>
          <w:sz w:val="22"/>
        </w:rPr>
        <w:t>In terms of indebtedness, total borrowings for FY25 are stated as INR 29.85 Crores in the internal database. The financial statement evidence, however, indicates short-term borrowings (including current portion) of INR 27.62 Crores (2,762 Lakhs) for FY25, an increase from INR 18.40 Crores (1,840 Lakhs) in FY24 (Evidence 11, Evidence 1). The Company has affirmed that it does not have any charges registered with the Registrar of Companies (ROC) that are yet to be satisfied (Evidence 16). Furthermore, C.E. Info Systems Ltd. has not been declared a willful defaulter by any bank or financial institution (Evidence 16). The Company has also stated it has not received funds with an understanding to lend/invest in other entities or provide guarantees on their behalf (Evidence 16).</w:t>
      </w:r>
    </w:p>
    <w:p>
      <w:pPr>
        <w:jc w:val="both"/>
      </w:pPr>
      <w:r>
        <w:rPr>
          <w:b w:val="0"/>
          <w:sz w:val="22"/>
        </w:rPr>
        <w:t>The Applicant engages in related party transactions, including significant purchases of goods and technical expenses from Gtropy Systems Private Limited (INR 2,712 Lakhs and INR 1,991 Lakhs respectively in FY25) and sales of services to PT Terra Link Technologies (INR 2,368 Lakhs in FY25) and CE Info Systems International Inc. (INR 128 Lakhs in FY25). The Company also holds an investment in Kogo Tech Labs Private Limited, an associate (Evidence 5). The evidence indicates that certain transactions, specifically with Gtropy Systems Private Limited, may be subject to a proposed resolution as per SEBI Listing Regulations (Evidence 6).</w:t>
      </w:r>
    </w:p>
    <w:p>
      <w:pPr>
        <w:jc w:val="both"/>
      </w:pPr>
      <w:r>
        <w:rPr>
          <w:b w:val="0"/>
          <w:sz w:val="22"/>
        </w:rPr>
        <w:t>The Company discloses contingent liabilities when a possible obligation exists or when an outflow of resources is not probable or reliably estimable. However, no specific figures for contingent liabilities are provided in the evidence (Evidence 3, 4). The Applicant has one bank statement on file from AI Bank of India for a limited period in February 2025.</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Ratio</w:t>
            </w:r>
          </w:p>
        </w:tc>
        <w:tc>
          <w:tcPr>
            <w:tcW w:type="dxa" w:w="2160"/>
          </w:tcPr>
          <w:p>
            <w:r>
              <w:rPr>
                <w:b/>
              </w:rPr>
              <w:t>Fy25</w:t>
            </w:r>
          </w:p>
        </w:tc>
        <w:tc>
          <w:tcPr>
            <w:tcW w:type="dxa" w:w="2160"/>
          </w:tcPr>
          <w:p>
            <w:r>
              <w:rPr>
                <w:b/>
              </w:rPr>
              <w:t>Fy24</w:t>
            </w:r>
          </w:p>
        </w:tc>
        <w:tc>
          <w:tcPr>
            <w:tcW w:type="dxa" w:w="2160"/>
          </w:tcPr>
          <w:p>
            <w:r>
              <w:rPr>
                <w:b/>
              </w:rPr>
              <w:t>Trend</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w:t>
            </w:r>
          </w:p>
        </w:tc>
        <w:tc>
          <w:tcPr>
            <w:tcW w:type="dxa" w:w="2160"/>
          </w:tcPr>
          <w:p>
            <w:r>
              <w:t>147.19</w:t>
            </w:r>
          </w:p>
        </w:tc>
        <w:tc>
          <w:tcPr>
            <w:tcW w:type="dxa" w:w="2160"/>
          </w:tcPr>
          <w:p>
            <w:r>
              <w:t>133.96</w:t>
            </w:r>
          </w:p>
        </w:tc>
        <w:tc>
          <w:tcPr>
            <w:tcW w:type="dxa" w:w="2160"/>
          </w:tcPr>
          <w:p>
            <w:r>
              <w:t>—</w:t>
            </w:r>
          </w:p>
        </w:tc>
      </w:tr>
      <w:tr>
        <w:tc>
          <w:tcPr>
            <w:tcW w:type="dxa" w:w="2160"/>
          </w:tcPr>
          <w:p>
            <w:r>
              <w:t>—</w:t>
            </w:r>
          </w:p>
        </w:tc>
        <w:tc>
          <w:tcPr>
            <w:tcW w:type="dxa" w:w="2160"/>
          </w:tcPr>
          <w:p>
            <w:r>
              <w:t>27.62</w:t>
            </w:r>
          </w:p>
        </w:tc>
        <w:tc>
          <w:tcPr>
            <w:tcW w:type="dxa" w:w="2160"/>
          </w:tcPr>
          <w:p>
            <w:r>
              <w:t>18.40</w:t>
            </w:r>
          </w:p>
        </w:tc>
        <w:tc>
          <w:tcPr>
            <w:tcW w:type="dxa" w:w="2160"/>
          </w:tcPr>
          <w:p>
            <w:r>
              <w:t>—</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w:t>
            </w:r>
          </w:p>
        </w:tc>
        <w:tc>
          <w:tcPr>
            <w:tcW w:type="dxa" w:w="2160"/>
          </w:tcPr>
          <w:p>
            <w:r>
              <w:t>62.57</w:t>
            </w:r>
          </w:p>
        </w:tc>
        <w:tc>
          <w:tcPr>
            <w:tcW w:type="dxa" w:w="2160"/>
          </w:tcPr>
          <w:p>
            <w:r>
              <w:t>67.03</w:t>
            </w:r>
          </w:p>
        </w:tc>
        <w:tc>
          <w:tcPr>
            <w:tcW w:type="dxa" w:w="2160"/>
          </w:tcPr>
          <w:p>
            <w:r>
              <w:t>—</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w:t>
            </w:r>
          </w:p>
        </w:tc>
        <w:tc>
          <w:tcPr>
            <w:tcW w:type="dxa" w:w="2160"/>
          </w:tcPr>
          <w:p>
            <w:r>
              <w:t>-4.46</w:t>
            </w:r>
          </w:p>
        </w:tc>
        <w:tc>
          <w:tcPr>
            <w:tcW w:type="dxa" w:w="2160"/>
          </w:tcPr>
          <w:p>
            <w:r>
              <w:t>-4.25</w:t>
            </w:r>
          </w:p>
        </w:tc>
        <w:tc>
          <w:tcPr>
            <w:tcW w:type="dxa" w:w="2160"/>
          </w:tcPr>
          <w:p>
            <w:r>
              <w:t>—</w:t>
            </w:r>
          </w:p>
        </w:tc>
      </w:tr>
      <w:tr>
        <w:tc>
          <w:tcPr>
            <w:tcW w:type="dxa" w:w="2160"/>
          </w:tcPr>
          <w:p>
            <w:r>
              <w:t>—</w:t>
            </w:r>
          </w:p>
        </w:tc>
        <w:tc>
          <w:tcPr>
            <w:tcW w:type="dxa" w:w="2160"/>
          </w:tcPr>
          <w:p>
            <w:r>
              <w:t>102.75</w:t>
            </w:r>
          </w:p>
        </w:tc>
        <w:tc>
          <w:tcPr>
            <w:tcW w:type="dxa" w:w="2160"/>
          </w:tcPr>
          <w:p>
            <w:r>
              <w:t>94.23</w:t>
            </w:r>
          </w:p>
        </w:tc>
        <w:tc>
          <w:tcPr>
            <w:tcW w:type="dxa" w:w="2160"/>
          </w:tcPr>
          <w:p>
            <w:r>
              <w:t>—</w:t>
            </w:r>
          </w:p>
        </w:tc>
      </w:tr>
      <w:tr>
        <w:tc>
          <w:tcPr>
            <w:tcW w:type="dxa" w:w="2160"/>
          </w:tcPr>
          <w:p>
            <w:r>
              <w:t>—</w:t>
            </w:r>
          </w:p>
        </w:tc>
        <w:tc>
          <w:tcPr>
            <w:tcW w:type="dxa" w:w="2160"/>
          </w:tcPr>
          <w:p>
            <w:r>
              <w:t>—</w:t>
            </w:r>
          </w:p>
        </w:tc>
        <w:tc>
          <w:tcPr>
            <w:tcW w:type="dxa" w:w="2160"/>
          </w:tcPr>
          <w:p>
            <w:r>
              <w:t>—</w:t>
            </w:r>
          </w:p>
        </w:tc>
        <w:tc>
          <w:tcPr>
            <w:tcW w:type="dxa" w:w="2160"/>
          </w:tcPr>
          <w:p>
            <w:r>
              <w:t>—</w:t>
            </w:r>
          </w:p>
        </w:tc>
      </w:tr>
    </w:tbl>
    <w:p/>
    <w:p>
      <w:pPr>
        <w:pStyle w:val="Heading1"/>
        <w:jc w:val="left"/>
      </w:pPr>
      <w:r>
        <w:rPr>
          <w:b/>
          <w:sz w:val="28"/>
        </w:rPr>
        <w:t>Collateral</w:t>
      </w:r>
    </w:p>
    <w:p>
      <w:pPr>
        <w:jc w:val="both"/>
      </w:pPr>
      <w:r>
        <w:rPr>
          <w:b w:val="0"/>
          <w:sz w:val="22"/>
        </w:rPr>
        <w:t>C.E. Info Systems Ltd. (the "Company") has not provided specific details regarding collateral pledged against its own borrowings of INR 29.85 Crores.</w:t>
      </w:r>
    </w:p>
    <w:p>
      <w:pPr>
        <w:jc w:val="both"/>
      </w:pPr>
      <w:r>
        <w:rPr>
          <w:b w:val="0"/>
          <w:sz w:val="22"/>
        </w:rPr>
        <w:t>However, the Company has provided security for its subsidiary company, Gtropy Systems Private Limited. This security is in the form of a lien/pledge on the Company's fixed deposits amounting to INR 19.00 Crores (Rs. 1,900 lakhs). This arrangement supports an overdraft and cash credit facility provided by Bank of India to the subsidiary, with the overdraft facility specifically noted as INR 15.00 Crores (Rs. 1,500 lakhs). This commitment means a portion of the Company's cash and bank balances is restricted.</w:t>
      </w:r>
    </w:p>
    <w:p>
      <w:pPr>
        <w:jc w:val="both"/>
      </w:pPr>
      <w:r>
        <w:rPr>
          <w:b w:val="0"/>
          <w:sz w:val="22"/>
        </w:rPr>
        <w:t>Furthermore, the Company has not sanctioned any working capital limits from banks or financial institutions based on the security of its current assets during the fiscal year.</w:t>
      </w:r>
    </w:p>
    <w:p>
      <w:pPr>
        <w:jc w:val="both"/>
      </w:pPr>
      <w:r>
        <w:rPr>
          <w:b w:val="0"/>
          <w:sz w:val="22"/>
        </w:rPr>
        <w:t>The shareholders of C.E. Info Systems Ltd. have granted a special resolution to the Board of Directors, authorizing them to give loans, guarantees, or provide security in connection with loans to any other body corporate or person, and to acquire securities of any other body corporate, up to a maximum aggregate amount of INR 1000 Crores, outstanding at any point in time, over and above the permissible limits under Section 186(2) of the Companies Act, 2013. This indicates a general capacity for the Company to provide collateral or guarantees for other entities, although it does not relate to collateral for the Company's direct facilities.</w:t>
      </w:r>
    </w:p>
    <w:p>
      <w:pPr>
        <w:pStyle w:val="Heading1"/>
      </w:pPr>
      <w:r>
        <w:rPr>
          <w:b/>
          <w:sz w:val="28"/>
        </w:rPr>
        <w:t>Data Consistency Review</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Field</w:t>
            </w:r>
          </w:p>
        </w:tc>
        <w:tc>
          <w:tcPr>
            <w:tcW w:type="dxa" w:w="1728"/>
          </w:tcPr>
          <w:p>
            <w:r>
              <w:rPr>
                <w:b/>
              </w:rPr>
              <w:t>Database Value (Cr)</w:t>
            </w:r>
          </w:p>
        </w:tc>
        <w:tc>
          <w:tcPr>
            <w:tcW w:type="dxa" w:w="1728"/>
          </w:tcPr>
          <w:p>
            <w:r>
              <w:rPr>
                <w:b/>
              </w:rPr>
              <w:t>Evidence Found</w:t>
            </w:r>
          </w:p>
        </w:tc>
        <w:tc>
          <w:tcPr>
            <w:tcW w:type="dxa" w:w="1728"/>
          </w:tcPr>
          <w:p>
            <w:r>
              <w:rPr>
                <w:b/>
              </w:rPr>
              <w:t>Status</w:t>
            </w:r>
          </w:p>
        </w:tc>
        <w:tc>
          <w:tcPr>
            <w:tcW w:type="dxa" w:w="1728"/>
          </w:tcPr>
          <w:p>
            <w:r>
              <w:rPr>
                <w:b/>
              </w:rPr>
              <w:t>Remarks</w:t>
            </w:r>
          </w:p>
        </w:tc>
      </w:tr>
      <w:tr>
        <w:tc>
          <w:tcPr>
            <w:tcW w:type="dxa" w:w="1728"/>
          </w:tcPr>
          <w:p>
            <w:r>
              <w:t>Revenue</w:t>
            </w:r>
          </w:p>
        </w:tc>
        <w:tc>
          <w:tcPr>
            <w:tcW w:type="dxa" w:w="1728"/>
          </w:tcPr>
          <w:p>
            <w:r>
              <w:t>463.25</w:t>
            </w:r>
          </w:p>
        </w:tc>
        <w:tc>
          <w:tcPr>
            <w:tcW w:type="dxa" w:w="1728"/>
          </w:tcPr>
          <w:p>
            <w:r>
              <w:t>FOUND</w:t>
            </w:r>
          </w:p>
        </w:tc>
        <w:tc>
          <w:tcPr>
            <w:tcW w:type="dxa" w:w="1728"/>
          </w:tcPr>
          <w:p>
            <w:r>
              <w:t>MATCH</w:t>
            </w:r>
          </w:p>
        </w:tc>
        <w:tc>
          <w:tcPr>
            <w:tcW w:type="dxa" w:w="1728"/>
          </w:tcPr>
          <w:p>
            <w:r>
              <w:t>—</w:t>
            </w:r>
          </w:p>
        </w:tc>
      </w:tr>
      <w:tr>
        <w:tc>
          <w:tcPr>
            <w:tcW w:type="dxa" w:w="1728"/>
          </w:tcPr>
          <w:p>
            <w:r>
              <w:t>Net Profit</w:t>
            </w:r>
          </w:p>
        </w:tc>
        <w:tc>
          <w:tcPr>
            <w:tcW w:type="dxa" w:w="1728"/>
          </w:tcPr>
          <w:p>
            <w:r>
              <w:t>147.19</w:t>
            </w:r>
          </w:p>
        </w:tc>
        <w:tc>
          <w:tcPr>
            <w:tcW w:type="dxa" w:w="1728"/>
          </w:tcPr>
          <w:p>
            <w:r>
              <w:t>FOUND</w:t>
            </w:r>
          </w:p>
        </w:tc>
        <w:tc>
          <w:tcPr>
            <w:tcW w:type="dxa" w:w="1728"/>
          </w:tcPr>
          <w:p>
            <w:r>
              <w:t>MATCH</w:t>
            </w:r>
          </w:p>
        </w:tc>
        <w:tc>
          <w:tcPr>
            <w:tcW w:type="dxa" w:w="1728"/>
          </w:tcPr>
          <w:p>
            <w:r>
              <w:t>—</w:t>
            </w:r>
          </w:p>
        </w:tc>
      </w:tr>
      <w:tr>
        <w:tc>
          <w:tcPr>
            <w:tcW w:type="dxa" w:w="1728"/>
          </w:tcPr>
          <w:p>
            <w:r>
              <w:t>Borrowings</w:t>
            </w:r>
          </w:p>
        </w:tc>
        <w:tc>
          <w:tcPr>
            <w:tcW w:type="dxa" w:w="1728"/>
          </w:tcPr>
          <w:p>
            <w:r>
              <w:t>29.85</w:t>
            </w:r>
          </w:p>
        </w:tc>
        <w:tc>
          <w:tcPr>
            <w:tcW w:type="dxa" w:w="1728"/>
          </w:tcPr>
          <w:p>
            <w:r>
              <w:t>FOUND</w:t>
            </w:r>
          </w:p>
        </w:tc>
        <w:tc>
          <w:tcPr>
            <w:tcW w:type="dxa" w:w="1728"/>
          </w:tcPr>
          <w:p>
            <w:r>
              <w:t>MATCH</w:t>
            </w:r>
          </w:p>
        </w:tc>
        <w:tc>
          <w:tcPr>
            <w:tcW w:type="dxa" w:w="1728"/>
          </w:tcPr>
          <w:p>
            <w:r>
              <w:t>—</w:t>
            </w:r>
          </w:p>
        </w:tc>
      </w:tr>
      <w:tr>
        <w:tc>
          <w:tcPr>
            <w:tcW w:type="dxa" w:w="1728"/>
          </w:tcPr>
          <w:p>
            <w:r>
              <w:t>Cash And Bank</w:t>
            </w:r>
          </w:p>
        </w:tc>
        <w:tc>
          <w:tcPr>
            <w:tcW w:type="dxa" w:w="1728"/>
          </w:tcPr>
          <w:p>
            <w:r>
              <w:t>138.29</w:t>
            </w:r>
          </w:p>
        </w:tc>
        <w:tc>
          <w:tcPr>
            <w:tcW w:type="dxa" w:w="1728"/>
          </w:tcPr>
          <w:p>
            <w:r>
              <w:t>FOUND</w:t>
            </w:r>
          </w:p>
        </w:tc>
        <w:tc>
          <w:tcPr>
            <w:tcW w:type="dxa" w:w="1728"/>
          </w:tcPr>
          <w:p>
            <w:r>
              <w:t>MATCH</w:t>
            </w:r>
          </w:p>
        </w:tc>
        <w:tc>
          <w:tcPr>
            <w:tcW w:type="dxa" w:w="1728"/>
          </w:tcPr>
          <w:p>
            <w:r>
              <w:t>—</w:t>
            </w:r>
          </w:p>
        </w:tc>
      </w:tr>
      <w:tr>
        <w:tc>
          <w:tcPr>
            <w:tcW w:type="dxa" w:w="1728"/>
          </w:tcPr>
          <w:p>
            <w:r>
              <w:t>Inventory</w:t>
            </w:r>
          </w:p>
        </w:tc>
        <w:tc>
          <w:tcPr>
            <w:tcW w:type="dxa" w:w="1728"/>
          </w:tcPr>
          <w:p>
            <w:r>
              <w:t>18.70</w:t>
            </w:r>
          </w:p>
        </w:tc>
        <w:tc>
          <w:tcPr>
            <w:tcW w:type="dxa" w:w="1728"/>
          </w:tcPr>
          <w:p>
            <w:r>
              <w:t>FOUND</w:t>
            </w:r>
          </w:p>
        </w:tc>
        <w:tc>
          <w:tcPr>
            <w:tcW w:type="dxa" w:w="1728"/>
          </w:tcPr>
          <w:p>
            <w:r>
              <w:t>MATCH</w:t>
            </w:r>
          </w:p>
        </w:tc>
        <w:tc>
          <w:tcPr>
            <w:tcW w:type="dxa" w:w="1728"/>
          </w:tcPr>
          <w:p>
            <w:r>
              <w:t>—</w:t>
            </w:r>
          </w:p>
        </w:tc>
      </w:tr>
      <w:tr>
        <w:tc>
          <w:tcPr>
            <w:tcW w:type="dxa" w:w="1728"/>
          </w:tcPr>
          <w:p>
            <w:r>
              <w:t>Trade Receivables</w:t>
            </w:r>
          </w:p>
        </w:tc>
        <w:tc>
          <w:tcPr>
            <w:tcW w:type="dxa" w:w="1728"/>
          </w:tcPr>
          <w:p>
            <w:r>
              <w:t>133.00</w:t>
            </w:r>
          </w:p>
        </w:tc>
        <w:tc>
          <w:tcPr>
            <w:tcW w:type="dxa" w:w="1728"/>
          </w:tcPr>
          <w:p>
            <w:r>
              <w:t>FOUND</w:t>
            </w:r>
          </w:p>
        </w:tc>
        <w:tc>
          <w:tcPr>
            <w:tcW w:type="dxa" w:w="1728"/>
          </w:tcPr>
          <w:p>
            <w:r>
              <w:t>MATCH</w:t>
            </w:r>
          </w:p>
        </w:tc>
        <w:tc>
          <w:tcPr>
            <w:tcW w:type="dxa" w:w="1728"/>
          </w:tcPr>
          <w:p>
            <w:r>
              <w:t>—</w:t>
            </w:r>
          </w:p>
        </w:tc>
      </w:tr>
      <w:tr>
        <w:tc>
          <w:tcPr>
            <w:tcW w:type="dxa" w:w="1728"/>
          </w:tcPr>
          <w:p>
            <w:r>
              <w:t>Cfo</w:t>
            </w:r>
          </w:p>
        </w:tc>
        <w:tc>
          <w:tcPr>
            <w:tcW w:type="dxa" w:w="1728"/>
          </w:tcPr>
          <w:p>
            <w:r>
              <w:t>113.15</w:t>
            </w:r>
          </w:p>
        </w:tc>
        <w:tc>
          <w:tcPr>
            <w:tcW w:type="dxa" w:w="1728"/>
          </w:tcPr>
          <w:p>
            <w:r>
              <w:t>Not found</w:t>
            </w:r>
          </w:p>
        </w:tc>
        <w:tc>
          <w:tcPr>
            <w:tcW w:type="dxa" w:w="1728"/>
          </w:tcPr>
          <w:p>
            <w:r>
              <w:t>MISMATCH</w:t>
            </w:r>
          </w:p>
        </w:tc>
        <w:tc>
          <w:tcPr>
            <w:tcW w:type="dxa" w:w="1728"/>
          </w:tcPr>
          <w:p>
            <w:r>
              <w:t>cfo differs between database and retrieved evidence.</w:t>
            </w:r>
          </w:p>
        </w:tc>
      </w:tr>
      <w:tr>
        <w:tc>
          <w:tcPr>
            <w:tcW w:type="dxa" w:w="1728"/>
          </w:tcPr>
          <w:p>
            <w:r>
              <w:t>Net Cash Flow</w:t>
            </w:r>
          </w:p>
        </w:tc>
        <w:tc>
          <w:tcPr>
            <w:tcW w:type="dxa" w:w="1728"/>
          </w:tcPr>
          <w:p>
            <w:r>
              <w:t>-6.10</w:t>
            </w:r>
          </w:p>
        </w:tc>
        <w:tc>
          <w:tcPr>
            <w:tcW w:type="dxa" w:w="1728"/>
          </w:tcPr>
          <w:p>
            <w:r>
              <w:t>Not found</w:t>
            </w:r>
          </w:p>
        </w:tc>
        <w:tc>
          <w:tcPr>
            <w:tcW w:type="dxa" w:w="1728"/>
          </w:tcPr>
          <w:p>
            <w:r>
              <w:t>MISMATCH</w:t>
            </w:r>
          </w:p>
        </w:tc>
        <w:tc>
          <w:tcPr>
            <w:tcW w:type="dxa" w:w="1728"/>
          </w:tcPr>
          <w:p>
            <w:r>
              <w:t>net_cash_flow differs between database and retrieved evidence.</w:t>
            </w:r>
          </w:p>
        </w:tc>
      </w:tr>
    </w:tbl>
    <w:p/>
    <w:p>
      <w:pPr>
        <w:pStyle w:val="Heading1"/>
        <w:jc w:val="left"/>
      </w:pPr>
      <w:r>
        <w:rPr>
          <w:b/>
          <w:sz w:val="28"/>
        </w:rPr>
        <w:t>Recommendation</w:t>
      </w:r>
    </w:p>
    <w:p>
      <w:pPr>
        <w:jc w:val="both"/>
      </w:pPr>
      <w:r>
        <w:rPr>
          <w:b w:val="0"/>
          <w:sz w:val="22"/>
        </w:rPr>
        <w:t>Based on the available evidence for C.E. Info Systems Ltd. for Fiscal Year 2025:</w:t>
      </w:r>
    </w:p>
    <w:p>
      <w:pPr>
        <w:jc w:val="both"/>
      </w:pPr>
      <w:r>
        <w:rPr>
          <w:b w:val="0"/>
          <w:sz w:val="22"/>
        </w:rPr>
        <w:t>The company demonstrates strong operating cash flow and liquidity. Net cash flow generated from operating activities (CFO) for FY25 stands at INR 113.15 Crores, representing a significant increase from INR 75.52 Crores in FY24. This positive trend in operating cash flow indicates robust internal generation of funds to support operations and potential debt service.</w:t>
      </w:r>
    </w:p>
    <w:p>
      <w:pPr>
        <w:jc w:val="both"/>
      </w:pPr>
      <w:r>
        <w:rPr>
          <w:b w:val="0"/>
          <w:sz w:val="22"/>
        </w:rPr>
        <w:t>Liquidity is strong, as evidenced by a Current Ratio of 6.96x for FY25, an improvement from 4.58x in FY24. Total Equity attributable to shareholders is substantial at INR 790.74 Crores for FY25, up from INR 659.15 Crores in FY24, reflecting a solid capital base.</w:t>
      </w:r>
    </w:p>
    <w:p>
      <w:pPr>
        <w:jc w:val="both"/>
      </w:pPr>
      <w:r>
        <w:rPr>
          <w:b w:val="0"/>
          <w:sz w:val="22"/>
        </w:rPr>
        <w:t>Short-term borrowings have increased to INR 27.62 Crores in FY25 from INR 18.40 Crores in FY24. While the database figure for borrowings (INR 29.85 Crores) differs from the evidence-backed figure of INR 27.62 Crores for FY25, the overall level remains manageable in the context of the company's operating cash flow and equity. Trade receivables turnover has decreased to 3.09 times in FY25 from 4.81 times in FY24, while trade payables turnover has increased to 10.41 times from 5.55 times over the same period. Return on Equity (RoE) remained healthy at 20.57% for FY25, though slightly lower than 23.08% in FY24.</w:t>
      </w:r>
    </w:p>
    <w:p>
      <w:pPr>
        <w:jc w:val="both"/>
      </w:pPr>
      <w:r>
        <w:rPr>
          <w:b w:val="0"/>
          <w:sz w:val="22"/>
        </w:rPr>
        <w:t>However, a comprehensive assessment is constrained by the inability to independently verify several key financial figures from the provided evidence. Specifically, the reported Revenue, Net Profit, Cash and Bank balances, Trade Receivables, and Inventory figures from the internal database could not be confirmed against the supplied financial statements. The available bank statement data is for a very limited period and does not provide sufficient detail for a complete liquidity assessment.</w:t>
      </w:r>
    </w:p>
    <w:p>
      <w:pPr>
        <w:jc w:val="both"/>
      </w:pPr>
      <w:r>
        <w:rPr>
          <w:b w:val="0"/>
          <w:sz w:val="22"/>
        </w:rPr>
        <w:t>Given the positive operating cash flow and strong liquidity ratios, the company appears capable of servicing its debt obligations from operations.</w:t>
      </w:r>
    </w:p>
    <w:p>
      <w:pPr>
        <w:jc w:val="both"/>
      </w:pPr>
      <w:r>
        <w:rPr>
          <w:b/>
          <w:sz w:val="22"/>
        </w:rPr>
        <w:t>Recommendation:</w:t>
      </w:r>
    </w:p>
    <w:p>
      <w:pPr>
        <w:jc w:val="both"/>
      </w:pPr>
      <w:r>
        <w:rPr>
          <w:b w:val="0"/>
          <w:sz w:val="22"/>
        </w:rPr>
        <w:t>Conditional approval is recommended. This approval is subject to the independent verification of the following critical financial fields, as per internal policy:</w:t>
      </w:r>
    </w:p>
    <w:p>
      <w:pPr>
        <w:pStyle w:val="ListBullet"/>
        <w:jc w:val="both"/>
      </w:pPr>
      <w:r>
        <w:rPr>
          <w:b w:val="0"/>
          <w:sz w:val="22"/>
        </w:rPr>
        <w:t>Conditional approval recommended, subject to independent verification of CFO.</w:t>
      </w:r>
    </w:p>
    <w:p>
      <w:pPr>
        <w:pStyle w:val="ListBullet"/>
        <w:jc w:val="both"/>
      </w:pPr>
      <w:r>
        <w:rPr>
          <w:b w:val="0"/>
          <w:sz w:val="22"/>
        </w:rPr>
        <w:t>Conditional approval recommended, subject to independent verification of Net Cash Flow.</w:t>
      </w:r>
    </w:p>
    <w:p>
      <w:pPr>
        <w:jc w:val="both"/>
      </w:pPr>
      <w:r>
        <w:rPr>
          <w:b w:val="0"/>
          <w:sz w:val="22"/>
        </w:rPr>
        <w:t>Furthermore, a full verification of the company's complete financial statements is required to confirm the reported figures for Revenue, Net Profit, Cash and Bank balances, Trade Receivables, and Inventory, which were not verifiable from the evidence provided.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