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Assessment Memo</w:t>
      </w:r>
    </w:p>
    <w:p>
      <w:pPr>
        <w:jc w:val="center"/>
      </w:pPr>
      <w:r>
        <w:rPr>
          <w:b/>
          <w:sz w:val="24"/>
        </w:rPr>
        <w:t xml:space="preserve">Company: </w:t>
      </w:r>
      <w:r>
        <w:rPr>
          <w:sz w:val="24"/>
        </w:rPr>
        <w:t>Durlax Top Surface Limited</w:t>
      </w:r>
    </w:p>
    <w:p>
      <w:pPr>
        <w:jc w:val="center"/>
      </w:pPr>
      <w:r>
        <w:rPr>
          <w:b/>
          <w:sz w:val="24"/>
        </w:rPr>
        <w:t xml:space="preserve">Financial Year: </w:t>
      </w:r>
      <w:r>
        <w:rPr>
          <w:sz w:val="24"/>
        </w:rPr>
        <w:t>2025</w:t>
      </w:r>
    </w:p>
    <w:p>
      <w:r>
        <w:br w:type="page"/>
      </w:r>
    </w:p>
    <w:p>
      <w:pPr>
        <w:pStyle w:val="Heading1"/>
        <w:jc w:val="left"/>
      </w:pPr>
      <w:r>
        <w:rPr>
          <w:b/>
          <w:sz w:val="28"/>
        </w:rPr>
        <w:t>Applicant Overview</w:t>
      </w:r>
    </w:p>
    <w:p>
      <w:pPr>
        <w:jc w:val="both"/>
      </w:pPr>
      <w:r>
        <w:rPr>
          <w:b/>
          <w:sz w:val="22"/>
        </w:rPr>
        <w:t>Applicant Overview</w:t>
      </w:r>
    </w:p>
    <w:p>
      <w:pPr>
        <w:jc w:val="both"/>
      </w:pPr>
      <w:r>
        <w:rPr>
          <w:b w:val="0"/>
          <w:sz w:val="22"/>
        </w:rPr>
        <w:t>DURLAX TOP SURFACE LIMITED (CIN: L74999MH2010PLC202712) maintains its registered office at Unit No 1601, 16th Floor, Synergy Business Park, Premises Coop Society, Ltd Bhd Virwani Industrial, Estate Sahakarwadi Off, Vishweshwar Nagar Road, Goregaon East, Goregaon East, Mumbai, Maharashtra, India, 400063. The date of incorporation is not explicitly stated in the provided evidence.</w:t>
      </w:r>
    </w:p>
    <w:p>
      <w:pPr>
        <w:jc w:val="both"/>
      </w:pPr>
      <w:r>
        <w:rPr>
          <w:b w:val="0"/>
          <w:sz w:val="22"/>
        </w:rPr>
        <w:t>The financial year 2024-25 marked a significant period for the Company. Durlax Top Surface Limited achieved a historic milestone by exceeding the ₹100 crore turnover benchmark for the first time, closing the year at ₹122.65 crore. During this period, the Company also expanded its product portfolio with the launch of Heronitez™. Durlax Top Surface Limited was listed on the NSE Emerge Platform in 2024. The 15th Annual General Meeting is scheduled for September 25, 2025, to consider and adopt the financial statements for the financial year ended March 31, 2025.</w:t>
      </w:r>
    </w:p>
    <w:p>
      <w:pPr>
        <w:jc w:val="both"/>
      </w:pPr>
      <w:r>
        <w:rPr>
          <w:b/>
          <w:sz w:val="22"/>
        </w:rPr>
        <w:t>Key Managerial Personnel (as of the financial year ended March 31, 2025):</w:t>
      </w:r>
    </w:p>
    <w:p>
      <w:pPr>
        <w:pStyle w:val="ListBullet"/>
        <w:jc w:val="both"/>
      </w:pPr>
      <w:r>
        <w:rPr>
          <w:b w:val="0"/>
          <w:sz w:val="22"/>
        </w:rPr>
        <w:t>Mr. Shravan Suthar serves as the Managing Director (DIN: 02985316).</w:t>
      </w:r>
    </w:p>
    <w:p>
      <w:pPr>
        <w:pStyle w:val="ListBullet"/>
        <w:jc w:val="both"/>
      </w:pPr>
      <w:r>
        <w:rPr>
          <w:b w:val="0"/>
          <w:sz w:val="22"/>
        </w:rPr>
        <w:t>Mr. Lalit Suthar serves as the Whole Time Director (DIN: 02985324).</w:t>
      </w:r>
    </w:p>
    <w:p>
      <w:pPr>
        <w:pStyle w:val="ListBullet"/>
        <w:jc w:val="both"/>
      </w:pPr>
      <w:r>
        <w:rPr>
          <w:b w:val="0"/>
          <w:sz w:val="22"/>
        </w:rPr>
        <w:t>Ms. Kalpana Nikam is the Chief Financial Officer, appointed effective September 19, 2023.</w:t>
      </w:r>
    </w:p>
    <w:p>
      <w:pPr>
        <w:pStyle w:val="ListBullet"/>
        <w:jc w:val="both"/>
      </w:pPr>
      <w:r>
        <w:rPr>
          <w:b w:val="0"/>
          <w:sz w:val="22"/>
        </w:rPr>
        <w:t>Ms. Komal Upendra Birla is the Company Secretary and Compliance Officer, appointed effective May 20, 2024.</w:t>
      </w:r>
    </w:p>
    <w:p>
      <w:pPr>
        <w:jc w:val="both"/>
      </w:pPr>
      <w:r>
        <w:rPr>
          <w:b w:val="0"/>
          <w:sz w:val="22"/>
        </w:rPr>
        <w:t>Changes in key personnel during the financial year 2024-25 include the cessation of Mr. Sunil Khalate as CFO (up to September 18, 2023) and Ms. Sejal Solanki as Company Secretary (up to May 20, 2024). New Independent Directors appointed on August 22, 2024, include Mr. Bhavesh Jain and Ms. Palak Jain, while Mr. Abhishek Bansal and Ms. Roxy Rajendra Teniwal ceased to be Independent Directors on the same date. Mr. Narayan Uttam Samantra continues as an Independent Director.</w:t>
      </w:r>
    </w:p>
    <w:p>
      <w:pPr>
        <w:jc w:val="both"/>
      </w:pPr>
      <w:r>
        <w:rPr>
          <w:b/>
          <w:sz w:val="22"/>
        </w:rPr>
        <w:t>Borrowing Authority:</w:t>
      </w:r>
    </w:p>
    <w:p>
      <w:pPr>
        <w:jc w:val="both"/>
      </w:pPr>
      <w:r>
        <w:rPr>
          <w:b w:val="0"/>
          <w:sz w:val="22"/>
        </w:rPr>
        <w:t>The Board of Directors is authorized to negotiate, finalize, and agree upon the terms and conditions for loans, guarantees, security, and investments. The aggregate outstanding amount of such facilities shall not at any time exceed Rs. 200 Crores (Rupees Two Hundred Crore Only). This authorization was passed via a resolution dated August 29, 2025.</w:t>
      </w:r>
    </w:p>
    <w:p>
      <w:pPr>
        <w:pStyle w:val="Heading1"/>
        <w:jc w:val="left"/>
      </w:pPr>
      <w:r>
        <w:rPr>
          <w:b/>
          <w:sz w:val="28"/>
        </w:rPr>
        <w:t>Company Background</w:t>
      </w:r>
    </w:p>
    <w:p>
      <w:pPr>
        <w:jc w:val="both"/>
      </w:pPr>
      <w:r>
        <w:rPr>
          <w:b/>
          <w:sz w:val="22"/>
        </w:rPr>
        <w:t>Company Background</w:t>
      </w:r>
    </w:p>
    <w:p>
      <w:pPr>
        <w:jc w:val="both"/>
      </w:pPr>
      <w:r>
        <w:rPr>
          <w:b w:val="0"/>
          <w:sz w:val="22"/>
        </w:rPr>
        <w:t>Durlax Top Surface Limited was initially incorporated in 2010 as a Private Limited Company under the name ‘Durlax Archtech Private Limited’. The company transitioned to a Public Limited Company in 2023 and was subsequently listed on the NSE Emerge Platform in 2024.</w:t>
      </w:r>
    </w:p>
    <w:p>
      <w:pPr>
        <w:jc w:val="both"/>
      </w:pPr>
      <w:r>
        <w:rPr>
          <w:b w:val="0"/>
          <w:sz w:val="22"/>
        </w:rPr>
        <w:t>The company is primarily engaged as a manufacturer and trader of various kinds of Solid Surfaces, also providing sourcing, trading, and supply chain services. Its state-of-the-art manufacturing unit is located at Vapi, Gujarat, where commercial production commenced in 2017. The company's brand portfolio includes ‘Luxor®’ and ‘Aspiron®’, launched in 2011, and expanded with the introduction of ‘Heronitez™’ in the financial year 2024-25.</w:t>
      </w:r>
    </w:p>
    <w:p>
      <w:pPr>
        <w:jc w:val="both"/>
      </w:pPr>
      <w:r>
        <w:rPr>
          <w:b w:val="0"/>
          <w:sz w:val="22"/>
        </w:rPr>
        <w:t>Key milestones in the company's history include:</w:t>
      </w:r>
    </w:p>
    <w:p>
      <w:pPr>
        <w:pStyle w:val="ListBullet"/>
        <w:jc w:val="both"/>
      </w:pPr>
      <w:r>
        <w:rPr>
          <w:b/>
          <w:sz w:val="22"/>
        </w:rPr>
        <w:t>2011:</w:t>
      </w:r>
      <w:r>
        <w:rPr>
          <w:b w:val="0"/>
          <w:sz w:val="22"/>
        </w:rPr>
        <w:t xml:space="preserve"> Launch of brands ‘Luxor®’ and ‘Aspiron®’.</w:t>
      </w:r>
    </w:p>
    <w:p>
      <w:pPr>
        <w:pStyle w:val="ListBullet"/>
        <w:jc w:val="both"/>
      </w:pPr>
      <w:r>
        <w:rPr>
          <w:b/>
          <w:sz w:val="22"/>
        </w:rPr>
        <w:t>2016:</w:t>
      </w:r>
      <w:r>
        <w:rPr>
          <w:b w:val="0"/>
          <w:sz w:val="22"/>
        </w:rPr>
        <w:t xml:space="preserve"> Annual revenues from operations first crossed ₹ 30 Crores. The company received ISO 9001:2015 certification for sourcing, trading, and supply chain services, and ISO 14001:2015 certification for manufacturing and trading of solid surfaces.</w:t>
      </w:r>
    </w:p>
    <w:p>
      <w:pPr>
        <w:pStyle w:val="ListBullet"/>
        <w:jc w:val="both"/>
      </w:pPr>
      <w:r>
        <w:rPr>
          <w:b/>
          <w:sz w:val="22"/>
        </w:rPr>
        <w:t>2017:</w:t>
      </w:r>
      <w:r>
        <w:rPr>
          <w:b w:val="0"/>
          <w:sz w:val="22"/>
        </w:rPr>
        <w:t xml:space="preserve"> Established a manufacturing unit at Vapi, Gujarat, started commercial production, and commenced product exports under its own brand.</w:t>
      </w:r>
    </w:p>
    <w:p>
      <w:pPr>
        <w:pStyle w:val="ListBullet"/>
        <w:jc w:val="both"/>
      </w:pPr>
      <w:r>
        <w:rPr>
          <w:b/>
          <w:sz w:val="22"/>
        </w:rPr>
        <w:t>2018:</w:t>
      </w:r>
      <w:r>
        <w:rPr>
          <w:b w:val="0"/>
          <w:sz w:val="22"/>
        </w:rPr>
        <w:t xml:space="preserve"> Annual revenues from operations first crossed ₹ 40 Crores.</w:t>
      </w:r>
    </w:p>
    <w:p>
      <w:pPr>
        <w:pStyle w:val="ListBullet"/>
        <w:jc w:val="both"/>
      </w:pPr>
      <w:r>
        <w:rPr>
          <w:b/>
          <w:sz w:val="22"/>
        </w:rPr>
        <w:t>2023:</w:t>
      </w:r>
      <w:r>
        <w:rPr>
          <w:b w:val="0"/>
          <w:sz w:val="22"/>
        </w:rPr>
        <w:t xml:space="preserve"> Conversion from Private Limited to Public Limited Company.</w:t>
      </w:r>
    </w:p>
    <w:p>
      <w:pPr>
        <w:pStyle w:val="ListBullet"/>
        <w:jc w:val="both"/>
      </w:pPr>
      <w:r>
        <w:rPr>
          <w:b/>
          <w:sz w:val="22"/>
        </w:rPr>
        <w:t>2024:</w:t>
      </w:r>
      <w:r>
        <w:rPr>
          <w:b w:val="0"/>
          <w:sz w:val="22"/>
        </w:rPr>
        <w:t xml:space="preserve"> Listed on NSE Emerge Platform.</w:t>
      </w:r>
    </w:p>
    <w:p>
      <w:pPr>
        <w:pStyle w:val="ListBullet"/>
        <w:jc w:val="both"/>
      </w:pPr>
      <w:r>
        <w:rPr>
          <w:b/>
          <w:sz w:val="22"/>
        </w:rPr>
        <w:t>2024-25:</w:t>
      </w:r>
      <w:r>
        <w:rPr>
          <w:b w:val="0"/>
          <w:sz w:val="22"/>
        </w:rPr>
        <w:t xml:space="preserve"> Launched the ‘Heronitez™’ brand.</w:t>
      </w:r>
    </w:p>
    <w:p>
      <w:pPr>
        <w:jc w:val="both"/>
      </w:pPr>
      <w:r>
        <w:rPr>
          <w:b w:val="0"/>
          <w:sz w:val="22"/>
        </w:rPr>
        <w:t>For the financial year ended 31st March, 2025, the Board of Directors convened 11 meetings. The Key Managerial Personnel (KMP) of the company are Mr. Shravan Suthar (Managing Director), Mr. Lalit Suthar (Whole Time Director), Ms. Kalpana Nikam (Chief Financial Officer), and Ms. Komal Upendra Birla (Company Secretary).</w:t>
      </w:r>
    </w:p>
    <w:p>
      <w:pPr>
        <w:jc w:val="both"/>
      </w:pPr>
      <w:r>
        <w:rPr>
          <w:b w:val="0"/>
          <w:sz w:val="22"/>
        </w:rPr>
        <w:t>The Board of Directors during FY 2024-25 included:</w:t>
      </w:r>
    </w:p>
    <w:p>
      <w:pPr>
        <w:pStyle w:val="ListBullet"/>
        <w:jc w:val="both"/>
      </w:pPr>
      <w:r>
        <w:rPr>
          <w:b w:val="0"/>
          <w:sz w:val="22"/>
        </w:rPr>
        <w:t>Mr. Shravan Suthar (Managing Director)</w:t>
      </w:r>
    </w:p>
    <w:p>
      <w:pPr>
        <w:pStyle w:val="ListBullet"/>
        <w:jc w:val="both"/>
      </w:pPr>
      <w:r>
        <w:rPr>
          <w:b w:val="0"/>
          <w:sz w:val="22"/>
        </w:rPr>
        <w:t>Mr. Lalit Suthar (Whole-time Director)</w:t>
      </w:r>
    </w:p>
    <w:p>
      <w:pPr>
        <w:pStyle w:val="ListBullet"/>
        <w:jc w:val="both"/>
      </w:pPr>
      <w:r>
        <w:rPr>
          <w:b w:val="0"/>
          <w:sz w:val="22"/>
        </w:rPr>
        <w:t>Mr. Narayan Samantra (Independent Director)</w:t>
      </w:r>
    </w:p>
    <w:p>
      <w:pPr>
        <w:pStyle w:val="ListBullet"/>
        <w:jc w:val="both"/>
      </w:pPr>
      <w:r>
        <w:rPr>
          <w:b w:val="0"/>
          <w:sz w:val="22"/>
        </w:rPr>
        <w:t>Ms. Palak Jain (Independent Director), appointed effective August 22, 2024.</w:t>
      </w:r>
    </w:p>
    <w:p>
      <w:pPr>
        <w:pStyle w:val="ListBullet"/>
        <w:jc w:val="both"/>
      </w:pPr>
      <w:r>
        <w:rPr>
          <w:b w:val="0"/>
          <w:sz w:val="22"/>
        </w:rPr>
        <w:t>Mr. Bhavesh Jain (Independent Director), appointed effective August 22, 2024.</w:t>
      </w:r>
    </w:p>
    <w:p>
      <w:pPr>
        <w:pStyle w:val="ListBullet"/>
        <w:jc w:val="both"/>
      </w:pPr>
      <w:r>
        <w:rPr>
          <w:b w:val="0"/>
          <w:sz w:val="22"/>
        </w:rPr>
        <w:t>Ms. Roxy Teniwal (Independent Director) and Mr. Abhishek Bansal (Independent Director) resigned effective August 22, 2024.</w:t>
      </w:r>
    </w:p>
    <w:p>
      <w:pPr>
        <w:jc w:val="both"/>
      </w:pPr>
      <w:r>
        <w:rPr>
          <w:b w:val="0"/>
          <w:sz w:val="22"/>
        </w:rPr>
        <w:t>The Nomination and Remuneration Committee met once on August 22, 2024. During this year, the members of the Company approved an increase in the managerial remuneration limit payable to Mr. Lalit Suthar, Whole-time Director, from ₹ 36,00,000/- p.a. to ₹ 42,00,000/- p.a. for FY 2025-26.</w:t>
      </w:r>
    </w:p>
    <w:p>
      <w:pPr>
        <w:jc w:val="both"/>
      </w:pPr>
      <w:r>
        <w:rPr>
          <w:b w:val="0"/>
          <w:sz w:val="22"/>
        </w:rPr>
        <w:t>Information regarding the company's Registered Office Address, Corporate Identification Number (CIN), and detailed shareholding structure is not available in the supplied evidence.</w:t>
      </w:r>
    </w:p>
    <w:p>
      <w:pPr>
        <w:pStyle w:val="Heading1"/>
        <w:jc w:val="left"/>
      </w:pPr>
      <w:r>
        <w:rPr>
          <w:b/>
          <w:sz w:val="28"/>
        </w:rPr>
        <w:t>Financial Analysis</w:t>
      </w:r>
    </w:p>
    <w:p>
      <w:pPr>
        <w:jc w:val="both"/>
      </w:pPr>
      <w:r>
        <w:rPr>
          <w:b w:val="0"/>
          <w:sz w:val="22"/>
        </w:rPr>
        <w:t>Section:</w:t>
      </w:r>
    </w:p>
    <w:p>
      <w:pPr>
        <w:jc w:val="both"/>
      </w:pPr>
      <w:r>
        <w:rPr>
          <w:b w:val="0"/>
          <w:sz w:val="22"/>
        </w:rPr>
        <w:t>Financial Analysis</w:t>
      </w:r>
    </w:p>
    <w:p>
      <w:pPr>
        <w:jc w:val="both"/>
      </w:pPr>
      <w:r>
        <w:rPr>
          <w:b w:val="0"/>
          <w:sz w:val="22"/>
        </w:rPr>
        <w:t>For the fiscal year ended March 31, 2025, the company reported a total revenue of 12,482.01 Lakhs, marking a significant increase of 37.4% from 9,083.93 Lakhs in the previous fiscal year. Revenue from operations (gross) similarly increased to 12,265.25 Lakhs in FY25 from 9,076.42 Lakhs in FY24. Other income saw a substantial rise to 216.76 Lakhs in FY25 from 7.51 Lakhs in FY24. The company's Net Profit from continuing operations also demonstrated robust growth, reaching 749.66 Lakhs in FY25, a 87.7% increase from 399.34 Lakhs in FY24. This aligns with the database's net profit of 7.50 Crores for FY25.</w:t>
      </w:r>
    </w:p>
    <w:p>
      <w:pPr>
        <w:jc w:val="both"/>
      </w:pPr>
      <w:r>
        <w:rPr>
          <w:b w:val="0"/>
          <w:sz w:val="22"/>
        </w:rPr>
        <w:t>Total expenses grew by 33.9% year-on-year, from 8,575.26 Lakhs in FY24 to 11,485.29 Lakhs in FY25. Key expense components include cost of materials consumed, which increased to 9,803.38 Lakhs in FY25 from 7,447.64 Lakhs in FY24. Employee benefits expense rose to 231.30 Lakhs in FY25 from 169.79 Lakhs in FY24. Finance costs slightly decreased to 374.54 Lakhs in FY25 from 378.59 Lakhs in FY24. Depreciation and amortisation expense increased to 245.43 Lakhs in FY25 from 223.77 Lakhs in FY24. Other expenses also saw an increase to 843.85 Lakhs in FY25 from 685.01 Lakhs in FY24. It is noted that 'Changes in inventories of finished goods, work-in-progress and stock-in-trade' resulted in a reduction of 13 Lakhs in expenses for FY25, while no explicit value is stated for FY24 in the primary income statement.</w:t>
      </w:r>
    </w:p>
    <w:p>
      <w:pPr>
        <w:jc w:val="both"/>
      </w:pPr>
      <w:r>
        <w:rPr>
          <w:b w:val="0"/>
          <w:sz w:val="22"/>
        </w:rPr>
        <w:t>The balance sheet as of March 31, 2025, shows total assets matching total equity and liabilities at 11,477.93 Lakhs, up from 10,553.51 Lakhs in FY24. Shareholders' funds increased significantly to 5,768.42 Lakhs in FY25 from 2,162.76 Lakhs in FY24, primarily driven by a rise in reserves and surplus to 4,105.65 Lakhs from 919.99 Lakhs.</w:t>
      </w:r>
    </w:p>
    <w:p>
      <w:pPr>
        <w:jc w:val="both"/>
      </w:pPr>
      <w:r>
        <w:rPr>
          <w:b w:val="0"/>
          <w:sz w:val="22"/>
        </w:rPr>
        <w:t>Total borrowings, encompassing long-term and short-term, decreased to 4,583.67 Lakhs in FY25 (667.11 Lakhs long-term and 3,916.56 Lakhs short-term) from 6,070.71 Lakhs in FY24 (2,070.88 Lakhs long-term and 3,999.83 Lakhs short-term). This figure aligns with the database's reported borrowings of 45.84 Crores for FY25. Trade payables reduced substantially to 821.39 Lakhs in FY25 from 2,141.07 Lakhs in FY24.</w:t>
      </w:r>
    </w:p>
    <w:p>
      <w:pPr>
        <w:jc w:val="both"/>
      </w:pPr>
      <w:r>
        <w:rPr>
          <w:b w:val="0"/>
          <w:sz w:val="22"/>
        </w:rPr>
        <w:t>Current assets increased to 9,228.46 Lakhs in FY25 from 8,382.48 Lakhs in FY24. Inventories increased marginally to 4,993.90 Lakhs in FY25 from 4,930.31 Lakhs in FY24, consistent with the database's 49.94 Crores. Trade receivables also increased to 3,503.40 Lakhs in FY25 from 3,008.77 Lakhs in FY24, which is in line with the database's 35.03 Crores.</w:t>
      </w:r>
    </w:p>
    <w:p>
      <w:pPr>
        <w:jc w:val="both"/>
      </w:pPr>
      <w:r>
        <w:rPr>
          <w:b w:val="0"/>
          <w:sz w:val="22"/>
        </w:rPr>
        <w:t>Cash and Bank Balances stood at 115.38 Lakhs as of March 31, 2025, down from 122.60 Lakhs in FY24. This matches the database's 1.15 Crores. A breakdown reveals that 101.09 Lakhs (FY25) and 110.41 Lakhs (FY24) of these balances are in Margin Money with Bank, representing a fixed deposit held as a lien against a Letter of Credit. The company availed a Letter of Credit facility of INR 730.00 Lakhs against a 15% cash margin FDR.</w:t>
      </w:r>
    </w:p>
    <w:p>
      <w:pPr>
        <w:jc w:val="both"/>
      </w:pPr>
      <w:r>
        <w:rPr>
          <w:b w:val="0"/>
          <w:sz w:val="22"/>
        </w:rPr>
        <w:t>The Cash Flow Statement indicates a Net Cash Flow from Operating Activities of -678.25 Lakhs in FY25, an improvement from -1,660.47 Lakhs in FY24. This figure aligns with the database's CFO of -6.78 Crores for FY25. Cash Generated from Operations (before direct taxes) improved from -1,658.79 Lakhs in FY24 to -538.94 Lakhs in FY25. Direct taxes paid were -139.31 Lakhs in FY25 compared to -1.68 Lakhs in FY24. Net Increase / (Decrease) in Cash &amp; Cash Equivalents was 2.10 Lakhs in FY25, compared to 8.23 Lakhs in FY24, consistent with the database's net cash flow of 0.02 Crores for FY25.</w:t>
      </w:r>
    </w:p>
    <w:p>
      <w:pPr>
        <w:jc w:val="both"/>
      </w:pPr>
      <w:r>
        <w:rPr>
          <w:b w:val="0"/>
          <w:sz w:val="22"/>
        </w:rPr>
        <w:t>There are minor inconsistencies between the Profit &amp; Loss Statement and Cash Flow Statement for depreciation &amp; amortization and finance costs. Specifically, the P&amp;L (Ev7) reports depreciation &amp; amortisation expense of 223.77 Lakhs for FY24, while the Cash Flow Statement (Ev6) reports an adjustment for 320.17 Lakhs for the same period. Similarly, P&amp;L finance costs (Ev7) are 374.54 Lakhs (FY25) and 378.59 Lakhs (FY24), while Cash Flow Statement interest expenses (Ev6) are 335.04 Lakhs (FY25) and 336.03 Lakhs (FY24).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Fy25</w:t>
            </w:r>
          </w:p>
        </w:tc>
        <w:tc>
          <w:tcPr>
            <w:tcW w:type="dxa" w:w="2160"/>
          </w:tcPr>
          <w:p>
            <w:r>
              <w:rPr>
                <w:b/>
              </w:rPr>
              <w:t>Fy24</w:t>
            </w:r>
          </w:p>
        </w:tc>
        <w:tc>
          <w:tcPr>
            <w:tcW w:type="dxa" w:w="2160"/>
          </w:tcPr>
          <w:p>
            <w:r>
              <w:rPr>
                <w:b/>
              </w:rPr>
              <w:t>Change</w:t>
            </w:r>
          </w:p>
        </w:tc>
      </w:tr>
      <w:tr>
        <w:tc>
          <w:tcPr>
            <w:tcW w:type="dxa" w:w="2160"/>
          </w:tcPr>
          <w:p>
            <w:r>
              <w:t>Total Revenue</w:t>
            </w:r>
          </w:p>
        </w:tc>
        <w:tc>
          <w:tcPr>
            <w:tcW w:type="dxa" w:w="2160"/>
          </w:tcPr>
          <w:p>
            <w:r>
              <w:t>12,482.01</w:t>
            </w:r>
          </w:p>
        </w:tc>
        <w:tc>
          <w:tcPr>
            <w:tcW w:type="dxa" w:w="2160"/>
          </w:tcPr>
          <w:p>
            <w:r>
              <w:t>9,083.93</w:t>
            </w:r>
          </w:p>
        </w:tc>
        <w:tc>
          <w:tcPr>
            <w:tcW w:type="dxa" w:w="2160"/>
          </w:tcPr>
          <w:p>
            <w:r>
              <w:t>+37.4%</w:t>
            </w:r>
          </w:p>
        </w:tc>
      </w:tr>
      <w:tr>
        <w:tc>
          <w:tcPr>
            <w:tcW w:type="dxa" w:w="2160"/>
          </w:tcPr>
          <w:p>
            <w:r>
              <w:t>Revenue from operations (gross)</w:t>
            </w:r>
          </w:p>
        </w:tc>
        <w:tc>
          <w:tcPr>
            <w:tcW w:type="dxa" w:w="2160"/>
          </w:tcPr>
          <w:p>
            <w:r>
              <w:t>12,265.25</w:t>
            </w:r>
          </w:p>
        </w:tc>
        <w:tc>
          <w:tcPr>
            <w:tcW w:type="dxa" w:w="2160"/>
          </w:tcPr>
          <w:p>
            <w:r>
              <w:t>9,076.42</w:t>
            </w:r>
          </w:p>
        </w:tc>
        <w:tc>
          <w:tcPr>
            <w:tcW w:type="dxa" w:w="2160"/>
          </w:tcPr>
          <w:p>
            <w:r>
              <w:t>+35.1%</w:t>
            </w:r>
          </w:p>
        </w:tc>
      </w:tr>
      <w:tr>
        <w:tc>
          <w:tcPr>
            <w:tcW w:type="dxa" w:w="2160"/>
          </w:tcPr>
          <w:p>
            <w:r>
              <w:t>Other income</w:t>
            </w:r>
          </w:p>
        </w:tc>
        <w:tc>
          <w:tcPr>
            <w:tcW w:type="dxa" w:w="2160"/>
          </w:tcPr>
          <w:p>
            <w:r>
              <w:t>216.76</w:t>
            </w:r>
          </w:p>
        </w:tc>
        <w:tc>
          <w:tcPr>
            <w:tcW w:type="dxa" w:w="2160"/>
          </w:tcPr>
          <w:p>
            <w:r>
              <w:t>7.51</w:t>
            </w:r>
          </w:p>
        </w:tc>
        <w:tc>
          <w:tcPr>
            <w:tcW w:type="dxa" w:w="2160"/>
          </w:tcPr>
          <w:p>
            <w:r>
              <w:t>+2786.3%</w:t>
            </w:r>
          </w:p>
        </w:tc>
      </w:tr>
      <w:tr>
        <w:tc>
          <w:tcPr>
            <w:tcW w:type="dxa" w:w="2160"/>
          </w:tcPr>
          <w:p>
            <w:r>
              <w:t>Total expenses</w:t>
            </w:r>
          </w:p>
        </w:tc>
        <w:tc>
          <w:tcPr>
            <w:tcW w:type="dxa" w:w="2160"/>
          </w:tcPr>
          <w:p>
            <w:r>
              <w:t>11,485.29</w:t>
            </w:r>
          </w:p>
        </w:tc>
        <w:tc>
          <w:tcPr>
            <w:tcW w:type="dxa" w:w="2160"/>
          </w:tcPr>
          <w:p>
            <w:r>
              <w:t>8,575.26</w:t>
            </w:r>
          </w:p>
        </w:tc>
        <w:tc>
          <w:tcPr>
            <w:tcW w:type="dxa" w:w="2160"/>
          </w:tcPr>
          <w:p>
            <w:r>
              <w:t>+33.9%</w:t>
            </w:r>
          </w:p>
        </w:tc>
      </w:tr>
      <w:tr>
        <w:tc>
          <w:tcPr>
            <w:tcW w:type="dxa" w:w="2160"/>
          </w:tcPr>
          <w:p>
            <w:r>
              <w:t>Cost of materials consumed</w:t>
            </w:r>
          </w:p>
        </w:tc>
        <w:tc>
          <w:tcPr>
            <w:tcW w:type="dxa" w:w="2160"/>
          </w:tcPr>
          <w:p>
            <w:r>
              <w:t>9,803.38</w:t>
            </w:r>
          </w:p>
        </w:tc>
        <w:tc>
          <w:tcPr>
            <w:tcW w:type="dxa" w:w="2160"/>
          </w:tcPr>
          <w:p>
            <w:r>
              <w:t>7,447.64</w:t>
            </w:r>
          </w:p>
        </w:tc>
        <w:tc>
          <w:tcPr>
            <w:tcW w:type="dxa" w:w="2160"/>
          </w:tcPr>
          <w:p>
            <w:r>
              <w:t>+31.6%</w:t>
            </w:r>
          </w:p>
        </w:tc>
      </w:tr>
      <w:tr>
        <w:tc>
          <w:tcPr>
            <w:tcW w:type="dxa" w:w="2160"/>
          </w:tcPr>
          <w:p>
            <w:r>
              <w:t>Employee benefits expense</w:t>
            </w:r>
          </w:p>
        </w:tc>
        <w:tc>
          <w:tcPr>
            <w:tcW w:type="dxa" w:w="2160"/>
          </w:tcPr>
          <w:p>
            <w:r>
              <w:t>231.30</w:t>
            </w:r>
          </w:p>
        </w:tc>
        <w:tc>
          <w:tcPr>
            <w:tcW w:type="dxa" w:w="2160"/>
          </w:tcPr>
          <w:p>
            <w:r>
              <w:t>169.79</w:t>
            </w:r>
          </w:p>
        </w:tc>
        <w:tc>
          <w:tcPr>
            <w:tcW w:type="dxa" w:w="2160"/>
          </w:tcPr>
          <w:p>
            <w:r>
              <w:t>+36.2%</w:t>
            </w:r>
          </w:p>
        </w:tc>
      </w:tr>
      <w:tr>
        <w:tc>
          <w:tcPr>
            <w:tcW w:type="dxa" w:w="2160"/>
          </w:tcPr>
          <w:p>
            <w:r>
              <w:t>Finance costs (P&amp;L)</w:t>
            </w:r>
          </w:p>
        </w:tc>
        <w:tc>
          <w:tcPr>
            <w:tcW w:type="dxa" w:w="2160"/>
          </w:tcPr>
          <w:p>
            <w:r>
              <w:t>374.54</w:t>
            </w:r>
          </w:p>
        </w:tc>
        <w:tc>
          <w:tcPr>
            <w:tcW w:type="dxa" w:w="2160"/>
          </w:tcPr>
          <w:p>
            <w:r>
              <w:t>378.59</w:t>
            </w:r>
          </w:p>
        </w:tc>
        <w:tc>
          <w:tcPr>
            <w:tcW w:type="dxa" w:w="2160"/>
          </w:tcPr>
          <w:p>
            <w:r>
              <w:t>-1.1%</w:t>
            </w:r>
          </w:p>
        </w:tc>
      </w:tr>
      <w:tr>
        <w:tc>
          <w:tcPr>
            <w:tcW w:type="dxa" w:w="2160"/>
          </w:tcPr>
          <w:p>
            <w:r>
              <w:t>Depreciation and amortisation expense (P&amp;L)</w:t>
            </w:r>
          </w:p>
        </w:tc>
        <w:tc>
          <w:tcPr>
            <w:tcW w:type="dxa" w:w="2160"/>
          </w:tcPr>
          <w:p>
            <w:r>
              <w:t>245.43</w:t>
            </w:r>
          </w:p>
        </w:tc>
        <w:tc>
          <w:tcPr>
            <w:tcW w:type="dxa" w:w="2160"/>
          </w:tcPr>
          <w:p>
            <w:r>
              <w:t>223.77</w:t>
            </w:r>
          </w:p>
        </w:tc>
        <w:tc>
          <w:tcPr>
            <w:tcW w:type="dxa" w:w="2160"/>
          </w:tcPr>
          <w:p>
            <w:r>
              <w:t>+9.7%</w:t>
            </w:r>
          </w:p>
        </w:tc>
      </w:tr>
      <w:tr>
        <w:tc>
          <w:tcPr>
            <w:tcW w:type="dxa" w:w="2160"/>
          </w:tcPr>
          <w:p>
            <w:r>
              <w:t>Other expenses</w:t>
            </w:r>
          </w:p>
        </w:tc>
        <w:tc>
          <w:tcPr>
            <w:tcW w:type="dxa" w:w="2160"/>
          </w:tcPr>
          <w:p>
            <w:r>
              <w:t>843.85</w:t>
            </w:r>
          </w:p>
        </w:tc>
        <w:tc>
          <w:tcPr>
            <w:tcW w:type="dxa" w:w="2160"/>
          </w:tcPr>
          <w:p>
            <w:r>
              <w:t>685.01</w:t>
            </w:r>
          </w:p>
        </w:tc>
        <w:tc>
          <w:tcPr>
            <w:tcW w:type="dxa" w:w="2160"/>
          </w:tcPr>
          <w:p>
            <w:r>
              <w:t>+23.2%</w:t>
            </w:r>
          </w:p>
        </w:tc>
      </w:tr>
      <w:tr>
        <w:tc>
          <w:tcPr>
            <w:tcW w:type="dxa" w:w="2160"/>
          </w:tcPr>
          <w:p>
            <w:r>
              <w:t>Profit / (Loss) before tax</w:t>
            </w:r>
          </w:p>
        </w:tc>
        <w:tc>
          <w:tcPr>
            <w:tcW w:type="dxa" w:w="2160"/>
          </w:tcPr>
          <w:p>
            <w:r>
              <w:t>996.72</w:t>
            </w:r>
          </w:p>
        </w:tc>
        <w:tc>
          <w:tcPr>
            <w:tcW w:type="dxa" w:w="2160"/>
          </w:tcPr>
          <w:p>
            <w:r>
              <w:t>412.28</w:t>
            </w:r>
          </w:p>
        </w:tc>
        <w:tc>
          <w:tcPr>
            <w:tcW w:type="dxa" w:w="2160"/>
          </w:tcPr>
          <w:p>
            <w:r>
              <w:t>+141.7%</w:t>
            </w:r>
          </w:p>
        </w:tc>
      </w:tr>
      <w:tr>
        <w:tc>
          <w:tcPr>
            <w:tcW w:type="dxa" w:w="2160"/>
          </w:tcPr>
          <w:p>
            <w:r>
              <w:t>Total tax expense (Net)</w:t>
            </w:r>
          </w:p>
        </w:tc>
        <w:tc>
          <w:tcPr>
            <w:tcW w:type="dxa" w:w="2160"/>
          </w:tcPr>
          <w:p>
            <w:r>
              <w:t>247.06</w:t>
            </w:r>
          </w:p>
        </w:tc>
        <w:tc>
          <w:tcPr>
            <w:tcW w:type="dxa" w:w="2160"/>
          </w:tcPr>
          <w:p>
            <w:r>
              <w:t>12.94</w:t>
            </w:r>
          </w:p>
        </w:tc>
        <w:tc>
          <w:tcPr>
            <w:tcW w:type="dxa" w:w="2160"/>
          </w:tcPr>
          <w:p>
            <w:r>
              <w:t>+1810.8%</w:t>
            </w:r>
          </w:p>
        </w:tc>
      </w:tr>
      <w:tr>
        <w:tc>
          <w:tcPr>
            <w:tcW w:type="dxa" w:w="2160"/>
          </w:tcPr>
          <w:p>
            <w:r>
              <w:t>Net Profit from continuing operations</w:t>
            </w:r>
          </w:p>
        </w:tc>
        <w:tc>
          <w:tcPr>
            <w:tcW w:type="dxa" w:w="2160"/>
          </w:tcPr>
          <w:p>
            <w:r>
              <w:t>749.66</w:t>
            </w:r>
          </w:p>
        </w:tc>
        <w:tc>
          <w:tcPr>
            <w:tcW w:type="dxa" w:w="2160"/>
          </w:tcPr>
          <w:p>
            <w:r>
              <w:t>399.34</w:t>
            </w:r>
          </w:p>
        </w:tc>
        <w:tc>
          <w:tcPr>
            <w:tcW w:type="dxa" w:w="2160"/>
          </w:tcPr>
          <w:p>
            <w:r>
              <w:t>+87.7%</w:t>
            </w:r>
          </w:p>
        </w:tc>
      </w:tr>
      <w:tr>
        <w:tc>
          <w:tcPr>
            <w:tcW w:type="dxa" w:w="2160"/>
          </w:tcPr>
          <w:p>
            <w:r>
              <w:t>Total Shareholders' funds</w:t>
            </w:r>
          </w:p>
        </w:tc>
        <w:tc>
          <w:tcPr>
            <w:tcW w:type="dxa" w:w="2160"/>
          </w:tcPr>
          <w:p>
            <w:r>
              <w:t>5,768.42</w:t>
            </w:r>
          </w:p>
        </w:tc>
        <w:tc>
          <w:tcPr>
            <w:tcW w:type="dxa" w:w="2160"/>
          </w:tcPr>
          <w:p>
            <w:r>
              <w:t>2,162.76</w:t>
            </w:r>
          </w:p>
        </w:tc>
        <w:tc>
          <w:tcPr>
            <w:tcW w:type="dxa" w:w="2160"/>
          </w:tcPr>
          <w:p>
            <w:r>
              <w:t>+166.7%</w:t>
            </w:r>
          </w:p>
        </w:tc>
      </w:tr>
      <w:tr>
        <w:tc>
          <w:tcPr>
            <w:tcW w:type="dxa" w:w="2160"/>
          </w:tcPr>
          <w:p>
            <w:r>
              <w:t>Long-term borrowings</w:t>
            </w:r>
          </w:p>
        </w:tc>
        <w:tc>
          <w:tcPr>
            <w:tcW w:type="dxa" w:w="2160"/>
          </w:tcPr>
          <w:p>
            <w:r>
              <w:t>667.11</w:t>
            </w:r>
          </w:p>
        </w:tc>
        <w:tc>
          <w:tcPr>
            <w:tcW w:type="dxa" w:w="2160"/>
          </w:tcPr>
          <w:p>
            <w:r>
              <w:t>2,070.88</w:t>
            </w:r>
          </w:p>
        </w:tc>
        <w:tc>
          <w:tcPr>
            <w:tcW w:type="dxa" w:w="2160"/>
          </w:tcPr>
          <w:p>
            <w:r>
              <w:t>-67.8%</w:t>
            </w:r>
          </w:p>
        </w:tc>
      </w:tr>
      <w:tr>
        <w:tc>
          <w:tcPr>
            <w:tcW w:type="dxa" w:w="2160"/>
          </w:tcPr>
          <w:p>
            <w:r>
              <w:t>Short-term borrowings</w:t>
            </w:r>
          </w:p>
        </w:tc>
        <w:tc>
          <w:tcPr>
            <w:tcW w:type="dxa" w:w="2160"/>
          </w:tcPr>
          <w:p>
            <w:r>
              <w:t>3,916.56</w:t>
            </w:r>
          </w:p>
        </w:tc>
        <w:tc>
          <w:tcPr>
            <w:tcW w:type="dxa" w:w="2160"/>
          </w:tcPr>
          <w:p>
            <w:r>
              <w:t>3,999.83</w:t>
            </w:r>
          </w:p>
        </w:tc>
        <w:tc>
          <w:tcPr>
            <w:tcW w:type="dxa" w:w="2160"/>
          </w:tcPr>
          <w:p>
            <w:r>
              <w:t>-2.1%</w:t>
            </w:r>
          </w:p>
        </w:tc>
      </w:tr>
      <w:tr>
        <w:tc>
          <w:tcPr>
            <w:tcW w:type="dxa" w:w="2160"/>
          </w:tcPr>
          <w:p>
            <w:r>
              <w:t>Total Borrowings</w:t>
            </w:r>
          </w:p>
        </w:tc>
        <w:tc>
          <w:tcPr>
            <w:tcW w:type="dxa" w:w="2160"/>
          </w:tcPr>
          <w:p>
            <w:r>
              <w:t>4,583.67</w:t>
            </w:r>
          </w:p>
        </w:tc>
        <w:tc>
          <w:tcPr>
            <w:tcW w:type="dxa" w:w="2160"/>
          </w:tcPr>
          <w:p>
            <w:r>
              <w:t>6,070.71</w:t>
            </w:r>
          </w:p>
        </w:tc>
        <w:tc>
          <w:tcPr>
            <w:tcW w:type="dxa" w:w="2160"/>
          </w:tcPr>
          <w:p>
            <w:r>
              <w:t>-24.5%</w:t>
            </w:r>
          </w:p>
        </w:tc>
      </w:tr>
      <w:tr>
        <w:tc>
          <w:tcPr>
            <w:tcW w:type="dxa" w:w="2160"/>
          </w:tcPr>
          <w:p>
            <w:r>
              <w:t>Trade payables</w:t>
            </w:r>
          </w:p>
        </w:tc>
        <w:tc>
          <w:tcPr>
            <w:tcW w:type="dxa" w:w="2160"/>
          </w:tcPr>
          <w:p>
            <w:r>
              <w:t>821.39</w:t>
            </w:r>
          </w:p>
        </w:tc>
        <w:tc>
          <w:tcPr>
            <w:tcW w:type="dxa" w:w="2160"/>
          </w:tcPr>
          <w:p>
            <w:r>
              <w:t>2,141.07</w:t>
            </w:r>
          </w:p>
        </w:tc>
        <w:tc>
          <w:tcPr>
            <w:tcW w:type="dxa" w:w="2160"/>
          </w:tcPr>
          <w:p>
            <w:r>
              <w:t>-61.6%</w:t>
            </w:r>
          </w:p>
        </w:tc>
      </w:tr>
      <w:tr>
        <w:tc>
          <w:tcPr>
            <w:tcW w:type="dxa" w:w="2160"/>
          </w:tcPr>
          <w:p>
            <w:r>
              <w:t>Total Assets</w:t>
            </w:r>
          </w:p>
        </w:tc>
        <w:tc>
          <w:tcPr>
            <w:tcW w:type="dxa" w:w="2160"/>
          </w:tcPr>
          <w:p>
            <w:r>
              <w:t>11,477.93</w:t>
            </w:r>
          </w:p>
        </w:tc>
        <w:tc>
          <w:tcPr>
            <w:tcW w:type="dxa" w:w="2160"/>
          </w:tcPr>
          <w:p>
            <w:r>
              <w:t>10,553.51</w:t>
            </w:r>
          </w:p>
        </w:tc>
        <w:tc>
          <w:tcPr>
            <w:tcW w:type="dxa" w:w="2160"/>
          </w:tcPr>
          <w:p>
            <w:r>
              <w:t>+8.8%</w:t>
            </w:r>
          </w:p>
        </w:tc>
      </w:tr>
      <w:tr>
        <w:tc>
          <w:tcPr>
            <w:tcW w:type="dxa" w:w="2160"/>
          </w:tcPr>
          <w:p>
            <w:r>
              <w:t>Property, Plant and Equipments &amp; Intangible Assets (Net)</w:t>
            </w:r>
          </w:p>
        </w:tc>
        <w:tc>
          <w:tcPr>
            <w:tcW w:type="dxa" w:w="2160"/>
          </w:tcPr>
          <w:p>
            <w:r>
              <w:t>1,841.47</w:t>
            </w:r>
          </w:p>
        </w:tc>
        <w:tc>
          <w:tcPr>
            <w:tcW w:type="dxa" w:w="2160"/>
          </w:tcPr>
          <w:p>
            <w:r>
              <w:t>2,034.93</w:t>
            </w:r>
          </w:p>
        </w:tc>
        <w:tc>
          <w:tcPr>
            <w:tcW w:type="dxa" w:w="2160"/>
          </w:tcPr>
          <w:p>
            <w:r>
              <w:t>-9.5%</w:t>
            </w:r>
          </w:p>
        </w:tc>
      </w:tr>
      <w:tr>
        <w:tc>
          <w:tcPr>
            <w:tcW w:type="dxa" w:w="2160"/>
          </w:tcPr>
          <w:p>
            <w:r>
              <w:t>Inventories</w:t>
            </w:r>
          </w:p>
        </w:tc>
        <w:tc>
          <w:tcPr>
            <w:tcW w:type="dxa" w:w="2160"/>
          </w:tcPr>
          <w:p>
            <w:r>
              <w:t>4,993.90</w:t>
            </w:r>
          </w:p>
        </w:tc>
        <w:tc>
          <w:tcPr>
            <w:tcW w:type="dxa" w:w="2160"/>
          </w:tcPr>
          <w:p>
            <w:r>
              <w:t>4,930.31</w:t>
            </w:r>
          </w:p>
        </w:tc>
        <w:tc>
          <w:tcPr>
            <w:tcW w:type="dxa" w:w="2160"/>
          </w:tcPr>
          <w:p>
            <w:r>
              <w:t>+1.3%</w:t>
            </w:r>
          </w:p>
        </w:tc>
      </w:tr>
      <w:tr>
        <w:tc>
          <w:tcPr>
            <w:tcW w:type="dxa" w:w="2160"/>
          </w:tcPr>
          <w:p>
            <w:r>
              <w:t>Trade receivables</w:t>
            </w:r>
          </w:p>
        </w:tc>
        <w:tc>
          <w:tcPr>
            <w:tcW w:type="dxa" w:w="2160"/>
          </w:tcPr>
          <w:p>
            <w:r>
              <w:t>3,503.40</w:t>
            </w:r>
          </w:p>
        </w:tc>
        <w:tc>
          <w:tcPr>
            <w:tcW w:type="dxa" w:w="2160"/>
          </w:tcPr>
          <w:p>
            <w:r>
              <w:t>3,008.77</w:t>
            </w:r>
          </w:p>
        </w:tc>
        <w:tc>
          <w:tcPr>
            <w:tcW w:type="dxa" w:w="2160"/>
          </w:tcPr>
          <w:p>
            <w:r>
              <w:t>+16.4%</w:t>
            </w:r>
          </w:p>
        </w:tc>
      </w:tr>
      <w:tr>
        <w:tc>
          <w:tcPr>
            <w:tcW w:type="dxa" w:w="2160"/>
          </w:tcPr>
          <w:p>
            <w:r>
              <w:t>Cash and Bank Balance</w:t>
            </w:r>
          </w:p>
        </w:tc>
        <w:tc>
          <w:tcPr>
            <w:tcW w:type="dxa" w:w="2160"/>
          </w:tcPr>
          <w:p>
            <w:r>
              <w:t>115.38</w:t>
            </w:r>
          </w:p>
        </w:tc>
        <w:tc>
          <w:tcPr>
            <w:tcW w:type="dxa" w:w="2160"/>
          </w:tcPr>
          <w:p>
            <w:r>
              <w:t>122.60</w:t>
            </w:r>
          </w:p>
        </w:tc>
        <w:tc>
          <w:tcPr>
            <w:tcW w:type="dxa" w:w="2160"/>
          </w:tcPr>
          <w:p>
            <w:r>
              <w:t>-5.8%</w:t>
            </w:r>
          </w:p>
        </w:tc>
      </w:tr>
      <w:tr>
        <w:tc>
          <w:tcPr>
            <w:tcW w:type="dxa" w:w="2160"/>
          </w:tcPr>
          <w:p>
            <w:r>
              <w:t>Net Cash Flow from Operating Activities</w:t>
            </w:r>
          </w:p>
        </w:tc>
        <w:tc>
          <w:tcPr>
            <w:tcW w:type="dxa" w:w="2160"/>
          </w:tcPr>
          <w:p>
            <w:r>
              <w:t>-678.25</w:t>
            </w:r>
          </w:p>
        </w:tc>
        <w:tc>
          <w:tcPr>
            <w:tcW w:type="dxa" w:w="2160"/>
          </w:tcPr>
          <w:p>
            <w:r>
              <w:t>-1,660.47</w:t>
            </w:r>
          </w:p>
        </w:tc>
        <w:tc>
          <w:tcPr>
            <w:tcW w:type="dxa" w:w="2160"/>
          </w:tcPr>
          <w:p>
            <w:r>
              <w:t>+59.2% (improvement)</w:t>
            </w:r>
          </w:p>
        </w:tc>
      </w:tr>
      <w:tr>
        <w:tc>
          <w:tcPr>
            <w:tcW w:type="dxa" w:w="2160"/>
          </w:tcPr>
          <w:p>
            <w:r>
              <w:t>Net Increase / (Decrease) in Cash &amp; Cash Equivalents</w:t>
            </w:r>
          </w:p>
        </w:tc>
        <w:tc>
          <w:tcPr>
            <w:tcW w:type="dxa" w:w="2160"/>
          </w:tcPr>
          <w:p>
            <w:r>
              <w:t>2.10</w:t>
            </w:r>
          </w:p>
        </w:tc>
        <w:tc>
          <w:tcPr>
            <w:tcW w:type="dxa" w:w="2160"/>
          </w:tcPr>
          <w:p>
            <w:r>
              <w:t>8.23</w:t>
            </w:r>
          </w:p>
        </w:tc>
        <w:tc>
          <w:tcPr>
            <w:tcW w:type="dxa" w:w="2160"/>
          </w:tcPr>
          <w:p>
            <w:r>
              <w:t>-74.5%</w:t>
            </w:r>
          </w:p>
        </w:tc>
      </w:tr>
    </w:tbl>
    <w:p/>
    <w:p>
      <w:pPr>
        <w:pStyle w:val="Heading1"/>
        <w:jc w:val="left"/>
      </w:pPr>
      <w:r>
        <w:rPr>
          <w:b/>
          <w:sz w:val="28"/>
        </w:rPr>
        <w:t>Banking Conduct</w:t>
      </w:r>
    </w:p>
    <w:p>
      <w:pPr>
        <w:jc w:val="both"/>
      </w:pPr>
      <w:r>
        <w:rPr>
          <w:b w:val="0"/>
          <w:sz w:val="22"/>
        </w:rPr>
        <w:t>The company maintains diverse banking relationships to support its working capital and term funding requirements, primarily with Sample Bank of India, Punjab National Bank, and Axis Bank Ltd, alongside other financial institutions for various facilities.</w:t>
      </w:r>
    </w:p>
    <w:p>
      <w:pPr>
        <w:jc w:val="both"/>
      </w:pPr>
      <w:r>
        <w:rPr>
          <w:b w:val="0"/>
          <w:sz w:val="22"/>
        </w:rPr>
        <w:t>As of 31st March, 2025, total short-term borrowings, repayable within one year, amounted to INR 3,916.56 Lakhs, a decrease from INR 3,999.83 Lakhs in the prior year (31st March, 2024). This includes Overdraft facilities of INR 2,946.55 Lakhs (FY24: INR 3,036.40 Lakhs), Letter of Credit outstanding of INR 598.50 Lakhs (FY24: INR 662.86 Lakhs), and other short-term loans of INR 371.51 Lakhs (FY24: INR 300.57 Lakhs).</w:t>
      </w:r>
    </w:p>
    <w:p>
      <w:pPr>
        <w:jc w:val="both"/>
      </w:pPr>
      <w:r>
        <w:rPr>
          <w:b w:val="0"/>
          <w:sz w:val="22"/>
        </w:rPr>
        <w:t>The company operates a Cash Credit (Working Capital) account (XXXX XXXX 4471) with Sample Bank of India, Goregaon East Branch, with a sanctioned limit of INR 3,500.00 Lakhs. Analysis of the statement for the period 01-10-2025 to 31-12-2025 indicates active utilization of the facility, with balances fluctuating between credit (funds available) and debit (funds utilized). The statement reflects regular operational activities, including NEFT credits from various customers, cheque payments to suppliers, salary payments, and statutory payments such as TDS and GST. Notably, a Term Loan EMI of INR 4,12,640.00 was debited on 05-12-2025.</w:t>
      </w:r>
    </w:p>
    <w:p>
      <w:pPr>
        <w:jc w:val="both"/>
      </w:pPr>
      <w:r>
        <w:rPr>
          <w:b w:val="0"/>
          <w:sz w:val="22"/>
        </w:rPr>
        <w:t>The company has availed several secured facilities:</w:t>
      </w:r>
    </w:p>
    <w:p>
      <w:pPr>
        <w:pStyle w:val="ListBullet"/>
        <w:jc w:val="both"/>
      </w:pPr>
      <w:r>
        <w:rPr>
          <w:b w:val="0"/>
          <w:sz w:val="22"/>
        </w:rPr>
        <w:t>A medium-term working capital facility of INR 1,100.00 Lakhs from Punjab National Bank at an ROI of 9.85%, secured by hypothecation of Stock &amp; Books Debts and personal guarantees.</w:t>
      </w:r>
    </w:p>
    <w:p>
      <w:pPr>
        <w:pStyle w:val="ListBullet"/>
        <w:jc w:val="both"/>
      </w:pPr>
      <w:r>
        <w:rPr>
          <w:b w:val="0"/>
          <w:sz w:val="22"/>
        </w:rPr>
        <w:t>A medium-term working capital facility of INR 1,900.00 Lakhs from Axis Bank Ltd at an ROI of 9.25%, secured by hypothecation of entire Current Assets, a pari passu charge on Land, Building, Plant &amp; Machinery, Office Premises, and Shop premises, and personal guarantees.</w:t>
      </w:r>
    </w:p>
    <w:p>
      <w:pPr>
        <w:pStyle w:val="ListBullet"/>
        <w:jc w:val="both"/>
      </w:pPr>
      <w:r>
        <w:rPr>
          <w:b w:val="0"/>
          <w:sz w:val="22"/>
        </w:rPr>
        <w:t>A Letter of Credit facility of INR 730.00 Lakhs from Punjab National Bank, secured by a 15% Cash Margin Fixed Deposit and personal guarantees.</w:t>
      </w:r>
    </w:p>
    <w:p>
      <w:pPr>
        <w:pStyle w:val="ListBullet"/>
        <w:jc w:val="both"/>
      </w:pPr>
      <w:r>
        <w:rPr>
          <w:b w:val="0"/>
          <w:sz w:val="22"/>
        </w:rPr>
        <w:t>A term loan from Tata Capital of INR 300.00 Lakhs at an ROI of 11.75% for 3 years, secured by a lien on a Fixed Deposit of INR 150.00 Lakhs and personal guarantees.</w:t>
      </w:r>
    </w:p>
    <w:p>
      <w:pPr>
        <w:pStyle w:val="ListBullet"/>
        <w:jc w:val="both"/>
      </w:pPr>
      <w:r>
        <w:rPr>
          <w:b w:val="0"/>
          <w:sz w:val="22"/>
        </w:rPr>
        <w:t>A term loan from Mahindra &amp; Mahindra Financial Services Limited at an ROI of 11.00% for 5 years, secured by a charge on Plant &amp; Machinery, a Security Deposit of INR 20.60 Lakhs, and personal guarantees, with an EMI of INR 4.48 Lakhs.</w:t>
      </w:r>
    </w:p>
    <w:p>
      <w:pPr>
        <w:jc w:val="both"/>
      </w:pPr>
      <w:r>
        <w:rPr>
          <w:b w:val="0"/>
          <w:sz w:val="22"/>
        </w:rPr>
        <w:t>Unsecured facilities include business loans from Ambit Finvest Private Limited (INR 50.00 Lakhs @ 16.00% ROI), HDFC Bank Limited (INR 35.15 Lakhs @ 15.00% ROI), and Deutsche Bank (INR 39.7 Lakhs @ 17.00% ROI). Additionally, the company has received unsecured loans from Directors &amp; Directors' Relatives, with unspecified terms and conditions, considered long-term and interest-free.</w:t>
      </w:r>
    </w:p>
    <w:p>
      <w:pPr>
        <w:jc w:val="both"/>
      </w:pPr>
      <w:r>
        <w:rPr>
          <w:b w:val="0"/>
          <w:sz w:val="22"/>
        </w:rPr>
        <w:t>Cash and Bank Balances as at 31st March, 2025, included Cash on Hand of INR 12.95 Lakhs (FY24: INR 11.54 Lakhs). A significant portion of the company's fixed deposits serves as security or margin money for various banking facilities. Specifically, fixed deposits are held as security for the Punjab National Bank Letter of Credit facility (15% cash margin on INR 730.00 Lakhs, amounting to INR 109.50 Lakhs), a Bank Guarantee from PNB (INR 18.43 Lakhs), and the Tata Capital term loan (INR 150.00 Lakhs). Security deposits of INR 20.60 Lakhs are also held for the Mahindra &amp; Mahindra Financial Services Limited term loan.</w:t>
      </w:r>
    </w:p>
    <w:p>
      <w:pPr>
        <w:jc w:val="both"/>
      </w:pPr>
      <w:r>
        <w:rPr>
          <w:b w:val="0"/>
          <w:sz w:val="22"/>
        </w:rPr>
        <w:t>The Board of Directors is authorized to borrow up to INR 200 Crores (INR 20,000 Lakhs) as per Section 180(1)(c) of the Companies Act, 2013. Personal Guarantees have been extended by Mr. Shravan Suthar, Mr. Lalit Suthar, Mr. Laxmichand Suthar, and Mr. Pankaj Suthar for the working capital facilities from Punjab National Bank and Axis Bank Ltd, and the PNB Letter of Credit facility. Mr. Shravan Suthar and Mr. Lalit Suthar have also provided personal guarantees for the term loans from Mahindra &amp; Mahindra Financial Services Limited and Tata Capital.</w:t>
      </w:r>
    </w:p>
    <w:p>
      <w:pPr>
        <w:jc w:val="both"/>
      </w:pPr>
      <w:r>
        <w:rPr>
          <w:b w:val="0"/>
          <w:sz w:val="22"/>
        </w:rPr>
        <w:t>A key compliance matter noted is the company's inability to fulfil export obligations within the stipulated eighteen months for raw materials imported under Advance Licenses Scheme. Applications for time extension are pending. Should these extensions not be granted, the company would be liable to pay duties totaling INR 11,715,662.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Lender</w:t>
            </w:r>
          </w:p>
        </w:tc>
        <w:tc>
          <w:tcPr>
            <w:tcW w:type="dxa" w:w="1728"/>
          </w:tcPr>
          <w:p>
            <w:r>
              <w:rPr>
                <w:b/>
              </w:rPr>
              <w:t>Facility Type</w:t>
            </w:r>
          </w:p>
        </w:tc>
        <w:tc>
          <w:tcPr>
            <w:tcW w:type="dxa" w:w="1728"/>
          </w:tcPr>
          <w:p>
            <w:r>
              <w:rPr>
                <w:b/>
              </w:rPr>
              <w:t>Amount Lakhs</w:t>
            </w:r>
          </w:p>
        </w:tc>
        <w:tc>
          <w:tcPr>
            <w:tcW w:type="dxa" w:w="1728"/>
          </w:tcPr>
          <w:p>
            <w:r>
              <w:rPr>
                <w:b/>
              </w:rPr>
              <w:t>Roi</w:t>
            </w:r>
          </w:p>
        </w:tc>
        <w:tc>
          <w:tcPr>
            <w:tcW w:type="dxa" w:w="1728"/>
          </w:tcPr>
          <w:p>
            <w:r>
              <w:rPr>
                <w:b/>
              </w:rPr>
              <w:t>Security</w:t>
            </w:r>
          </w:p>
        </w:tc>
      </w:tr>
      <w:tr>
        <w:tc>
          <w:tcPr>
            <w:tcW w:type="dxa" w:w="1728"/>
          </w:tcPr>
          <w:p>
            <w:r>
              <w:t>SAMPLE BANK OF INDIA</w:t>
            </w:r>
          </w:p>
        </w:tc>
        <w:tc>
          <w:tcPr>
            <w:tcW w:type="dxa" w:w="1728"/>
          </w:tcPr>
          <w:p>
            <w:r>
              <w:t>Cash Credit (Working Capital)</w:t>
            </w:r>
          </w:p>
        </w:tc>
        <w:tc>
          <w:tcPr>
            <w:tcW w:type="dxa" w:w="1728"/>
          </w:tcPr>
          <w:p>
            <w:r>
              <w:t>3500.0</w:t>
            </w:r>
          </w:p>
        </w:tc>
        <w:tc>
          <w:tcPr>
            <w:tcW w:type="dxa" w:w="1728"/>
          </w:tcPr>
          <w:p>
            <w:r>
              <w:t>—</w:t>
            </w:r>
          </w:p>
        </w:tc>
        <w:tc>
          <w:tcPr>
            <w:tcW w:type="dxa" w:w="1728"/>
          </w:tcPr>
          <w:p>
            <w:r>
              <w:t>—</w:t>
            </w:r>
          </w:p>
        </w:tc>
      </w:tr>
      <w:tr>
        <w:tc>
          <w:tcPr>
            <w:tcW w:type="dxa" w:w="1728"/>
          </w:tcPr>
          <w:p>
            <w:r>
              <w:t>Punjab National Bank</w:t>
            </w:r>
          </w:p>
        </w:tc>
        <w:tc>
          <w:tcPr>
            <w:tcW w:type="dxa" w:w="1728"/>
          </w:tcPr>
          <w:p>
            <w:r>
              <w:t>Medium term working capital facility</w:t>
            </w:r>
          </w:p>
        </w:tc>
        <w:tc>
          <w:tcPr>
            <w:tcW w:type="dxa" w:w="1728"/>
          </w:tcPr>
          <w:p>
            <w:r>
              <w:t>1100.0</w:t>
            </w:r>
          </w:p>
        </w:tc>
        <w:tc>
          <w:tcPr>
            <w:tcW w:type="dxa" w:w="1728"/>
          </w:tcPr>
          <w:p>
            <w:r>
              <w:t>9.85%</w:t>
            </w:r>
          </w:p>
        </w:tc>
        <w:tc>
          <w:tcPr>
            <w:tcW w:type="dxa" w:w="1728"/>
          </w:tcPr>
          <w:p>
            <w:r>
              <w:t>Hypothecation of Stock &amp; Books Debts and Personal Guarantee by Mr. Shravan Suthar, Mr. Lalit Suthar, Mr. Laxmichand Suthar and Mr. Pankaj Suthar</w:t>
            </w:r>
          </w:p>
        </w:tc>
      </w:tr>
      <w:tr>
        <w:tc>
          <w:tcPr>
            <w:tcW w:type="dxa" w:w="1728"/>
          </w:tcPr>
          <w:p>
            <w:r>
              <w:t>Punjab National Bank</w:t>
            </w:r>
          </w:p>
        </w:tc>
        <w:tc>
          <w:tcPr>
            <w:tcW w:type="dxa" w:w="1728"/>
          </w:tcPr>
          <w:p>
            <w:r>
              <w:t>Letter of Credit facility</w:t>
            </w:r>
          </w:p>
        </w:tc>
        <w:tc>
          <w:tcPr>
            <w:tcW w:type="dxa" w:w="1728"/>
          </w:tcPr>
          <w:p>
            <w:r>
              <w:t>730.0</w:t>
            </w:r>
          </w:p>
        </w:tc>
        <w:tc>
          <w:tcPr>
            <w:tcW w:type="dxa" w:w="1728"/>
          </w:tcPr>
          <w:p>
            <w:r>
              <w:t>—</w:t>
            </w:r>
          </w:p>
        </w:tc>
        <w:tc>
          <w:tcPr>
            <w:tcW w:type="dxa" w:w="1728"/>
          </w:tcPr>
          <w:p>
            <w:r>
              <w:t>Cash Margin FDR @ 15% and Personal Guarantee by Mr. Shravan Suthar, Mr. Lalit Suthar, Mr. Laxmichand Suthar and Mr. Pankaj Suthar</w:t>
            </w:r>
          </w:p>
        </w:tc>
      </w:tr>
      <w:tr>
        <w:tc>
          <w:tcPr>
            <w:tcW w:type="dxa" w:w="1728"/>
          </w:tcPr>
          <w:p>
            <w:r>
              <w:t>Punjab National Bank</w:t>
            </w:r>
          </w:p>
        </w:tc>
        <w:tc>
          <w:tcPr>
            <w:tcW w:type="dxa" w:w="1728"/>
          </w:tcPr>
          <w:p>
            <w:r>
              <w:t>Bank Guarantee</w:t>
            </w:r>
          </w:p>
        </w:tc>
        <w:tc>
          <w:tcPr>
            <w:tcW w:type="dxa" w:w="1728"/>
          </w:tcPr>
          <w:p>
            <w:r>
              <w:t>—</w:t>
            </w:r>
          </w:p>
        </w:tc>
        <w:tc>
          <w:tcPr>
            <w:tcW w:type="dxa" w:w="1728"/>
          </w:tcPr>
          <w:p>
            <w:r>
              <w:t>—</w:t>
            </w:r>
          </w:p>
        </w:tc>
        <w:tc>
          <w:tcPr>
            <w:tcW w:type="dxa" w:w="1728"/>
          </w:tcPr>
          <w:p>
            <w:r>
              <w:t>Fixed Deposit of Rs. 18,43,050/-</w:t>
            </w:r>
          </w:p>
        </w:tc>
      </w:tr>
      <w:tr>
        <w:tc>
          <w:tcPr>
            <w:tcW w:type="dxa" w:w="1728"/>
          </w:tcPr>
          <w:p>
            <w:r>
              <w:t>Axis Bank Ltd</w:t>
            </w:r>
          </w:p>
        </w:tc>
        <w:tc>
          <w:tcPr>
            <w:tcW w:type="dxa" w:w="1728"/>
          </w:tcPr>
          <w:p>
            <w:r>
              <w:t>Medium term working capital facility</w:t>
            </w:r>
          </w:p>
        </w:tc>
        <w:tc>
          <w:tcPr>
            <w:tcW w:type="dxa" w:w="1728"/>
          </w:tcPr>
          <w:p>
            <w:r>
              <w:t>1900.0</w:t>
            </w:r>
          </w:p>
        </w:tc>
        <w:tc>
          <w:tcPr>
            <w:tcW w:type="dxa" w:w="1728"/>
          </w:tcPr>
          <w:p>
            <w:r>
              <w:t>9.25%</w:t>
            </w:r>
          </w:p>
        </w:tc>
        <w:tc>
          <w:tcPr>
            <w:tcW w:type="dxa" w:w="1728"/>
          </w:tcPr>
          <w:p>
            <w:r>
              <w:t>Hypothecation of entire Current assets &amp; pari Pasu on Land, Building, Plant &amp; Machinery, Office Premises no 301 &amp; Shop No 01 and 02 and Personal Guarantee by Mr. Shravan Suthar, Mr. Lalit Suthar, Mr. Laxmichand Suthar and Mr. Pankaj Suthar</w:t>
            </w:r>
          </w:p>
        </w:tc>
      </w:tr>
      <w:tr>
        <w:tc>
          <w:tcPr>
            <w:tcW w:type="dxa" w:w="1728"/>
          </w:tcPr>
          <w:p>
            <w:r>
              <w:t>Mahindra &amp; Mahindra Financial Services Limited</w:t>
            </w:r>
          </w:p>
        </w:tc>
        <w:tc>
          <w:tcPr>
            <w:tcW w:type="dxa" w:w="1728"/>
          </w:tcPr>
          <w:p>
            <w:r>
              <w:t>Term loan</w:t>
            </w:r>
          </w:p>
        </w:tc>
        <w:tc>
          <w:tcPr>
            <w:tcW w:type="dxa" w:w="1728"/>
          </w:tcPr>
          <w:p>
            <w:r>
              <w:t>—</w:t>
            </w:r>
          </w:p>
        </w:tc>
        <w:tc>
          <w:tcPr>
            <w:tcW w:type="dxa" w:w="1728"/>
          </w:tcPr>
          <w:p>
            <w:r>
              <w:t>11.00%</w:t>
            </w:r>
          </w:p>
        </w:tc>
        <w:tc>
          <w:tcPr>
            <w:tcW w:type="dxa" w:w="1728"/>
          </w:tcPr>
          <w:p>
            <w:r>
              <w:t>Charge on Plant &amp; Machinery, Security Deposit of Rs. 20.60 lacs @ 7.50% and Personal Guarantee by Mr. Shravan Suthar and Mr. Lalit Suthar</w:t>
            </w:r>
          </w:p>
        </w:tc>
      </w:tr>
      <w:tr>
        <w:tc>
          <w:tcPr>
            <w:tcW w:type="dxa" w:w="1728"/>
          </w:tcPr>
          <w:p>
            <w:r>
              <w:t>Tata Capital</w:t>
            </w:r>
          </w:p>
        </w:tc>
        <w:tc>
          <w:tcPr>
            <w:tcW w:type="dxa" w:w="1728"/>
          </w:tcPr>
          <w:p>
            <w:r>
              <w:t>Term loan facility</w:t>
            </w:r>
          </w:p>
        </w:tc>
        <w:tc>
          <w:tcPr>
            <w:tcW w:type="dxa" w:w="1728"/>
          </w:tcPr>
          <w:p>
            <w:r>
              <w:t>300.0</w:t>
            </w:r>
          </w:p>
        </w:tc>
        <w:tc>
          <w:tcPr>
            <w:tcW w:type="dxa" w:w="1728"/>
          </w:tcPr>
          <w:p>
            <w:r>
              <w:t>11.75%</w:t>
            </w:r>
          </w:p>
        </w:tc>
        <w:tc>
          <w:tcPr>
            <w:tcW w:type="dxa" w:w="1728"/>
          </w:tcPr>
          <w:p>
            <w:r>
              <w:t>Lien of Fixed Deposit of Rs. 150.00 lakhs and Personal Guarantee by Mr. Shravan Suthar and Mr. Lalit Suthar</w:t>
            </w:r>
          </w:p>
        </w:tc>
      </w:tr>
      <w:tr>
        <w:tc>
          <w:tcPr>
            <w:tcW w:type="dxa" w:w="1728"/>
          </w:tcPr>
          <w:p>
            <w:r>
              <w:t>Ambit Finvest Private Limited</w:t>
            </w:r>
          </w:p>
        </w:tc>
        <w:tc>
          <w:tcPr>
            <w:tcW w:type="dxa" w:w="1728"/>
          </w:tcPr>
          <w:p>
            <w:r>
              <w:t>Business unsecured loan</w:t>
            </w:r>
          </w:p>
        </w:tc>
        <w:tc>
          <w:tcPr>
            <w:tcW w:type="dxa" w:w="1728"/>
          </w:tcPr>
          <w:p>
            <w:r>
              <w:t>50.0</w:t>
            </w:r>
          </w:p>
        </w:tc>
        <w:tc>
          <w:tcPr>
            <w:tcW w:type="dxa" w:w="1728"/>
          </w:tcPr>
          <w:p>
            <w:r>
              <w:t>16.00%</w:t>
            </w:r>
          </w:p>
        </w:tc>
        <w:tc>
          <w:tcPr>
            <w:tcW w:type="dxa" w:w="1728"/>
          </w:tcPr>
          <w:p>
            <w:r>
              <w:t>Unsecured</w:t>
            </w:r>
          </w:p>
        </w:tc>
      </w:tr>
      <w:tr>
        <w:tc>
          <w:tcPr>
            <w:tcW w:type="dxa" w:w="1728"/>
          </w:tcPr>
          <w:p>
            <w:r>
              <w:t>HDFC Bank Limited</w:t>
            </w:r>
          </w:p>
        </w:tc>
        <w:tc>
          <w:tcPr>
            <w:tcW w:type="dxa" w:w="1728"/>
          </w:tcPr>
          <w:p>
            <w:r>
              <w:t>Business unsecured loan</w:t>
            </w:r>
          </w:p>
        </w:tc>
        <w:tc>
          <w:tcPr>
            <w:tcW w:type="dxa" w:w="1728"/>
          </w:tcPr>
          <w:p>
            <w:r>
              <w:t>35.15</w:t>
            </w:r>
          </w:p>
        </w:tc>
        <w:tc>
          <w:tcPr>
            <w:tcW w:type="dxa" w:w="1728"/>
          </w:tcPr>
          <w:p>
            <w:r>
              <w:t>15.00%</w:t>
            </w:r>
          </w:p>
        </w:tc>
        <w:tc>
          <w:tcPr>
            <w:tcW w:type="dxa" w:w="1728"/>
          </w:tcPr>
          <w:p>
            <w:r>
              <w:t>Unsecured</w:t>
            </w:r>
          </w:p>
        </w:tc>
      </w:tr>
      <w:tr>
        <w:tc>
          <w:tcPr>
            <w:tcW w:type="dxa" w:w="1728"/>
          </w:tcPr>
          <w:p>
            <w:r>
              <w:t>Deutsche Bank</w:t>
            </w:r>
          </w:p>
        </w:tc>
        <w:tc>
          <w:tcPr>
            <w:tcW w:type="dxa" w:w="1728"/>
          </w:tcPr>
          <w:p>
            <w:r>
              <w:t>Business unsecured loan</w:t>
            </w:r>
          </w:p>
        </w:tc>
        <w:tc>
          <w:tcPr>
            <w:tcW w:type="dxa" w:w="1728"/>
          </w:tcPr>
          <w:p>
            <w:r>
              <w:t>39.7</w:t>
            </w:r>
          </w:p>
        </w:tc>
        <w:tc>
          <w:tcPr>
            <w:tcW w:type="dxa" w:w="1728"/>
          </w:tcPr>
          <w:p>
            <w:r>
              <w:t>17.00%</w:t>
            </w:r>
          </w:p>
        </w:tc>
        <w:tc>
          <w:tcPr>
            <w:tcW w:type="dxa" w:w="1728"/>
          </w:tcPr>
          <w:p>
            <w:r>
              <w:t>Unsecured</w:t>
            </w:r>
          </w:p>
        </w:tc>
      </w:tr>
      <w:tr>
        <w:tc>
          <w:tcPr>
            <w:tcW w:type="dxa" w:w="1728"/>
          </w:tcPr>
          <w:p>
            <w:r>
              <w:t>Directors &amp; Directors Relative</w:t>
            </w:r>
          </w:p>
        </w:tc>
        <w:tc>
          <w:tcPr>
            <w:tcW w:type="dxa" w:w="1728"/>
          </w:tcPr>
          <w:p>
            <w:r>
              <w:t>Unsecured loan</w:t>
            </w:r>
          </w:p>
        </w:tc>
        <w:tc>
          <w:tcPr>
            <w:tcW w:type="dxa" w:w="1728"/>
          </w:tcPr>
          <w:p>
            <w:r>
              <w:t>—</w:t>
            </w:r>
          </w:p>
        </w:tc>
        <w:tc>
          <w:tcPr>
            <w:tcW w:type="dxa" w:w="1728"/>
          </w:tcPr>
          <w:p>
            <w:r>
              <w:t>—</w:t>
            </w:r>
          </w:p>
        </w:tc>
        <w:tc>
          <w:tcPr>
            <w:tcW w:type="dxa" w:w="1728"/>
          </w:tcPr>
          <w:p>
            <w:r>
              <w:t>Unsecured</w:t>
            </w:r>
          </w:p>
        </w:tc>
      </w:tr>
    </w:tbl>
    <w:p/>
    <w:p>
      <w:pPr>
        <w:pStyle w:val="Heading1"/>
        <w:jc w:val="left"/>
      </w:pPr>
      <w:r>
        <w:rPr>
          <w:b/>
          <w:sz w:val="28"/>
        </w:rPr>
        <w:t>Tax and Statutory Compliance</w:t>
      </w:r>
    </w:p>
    <w:p>
      <w:pPr>
        <w:jc w:val="both"/>
      </w:pPr>
      <w:r>
        <w:rPr>
          <w:b/>
          <w:sz w:val="22"/>
        </w:rPr>
        <w:t>Tax and Statutory Compliance</w:t>
      </w:r>
    </w:p>
    <w:p>
      <w:pPr>
        <w:jc w:val="both"/>
      </w:pPr>
      <w:r>
        <w:rPr>
          <w:b w:val="0"/>
          <w:sz w:val="22"/>
        </w:rPr>
        <w:t>As per the Annual Report for 2024-25, the company has generally been regular in depositing undisputed statutory dues, including Income-tax, Service tax, and Cess, with the appropriate authorities. The company confirmed that it did not have any dues on account of Provident Fund, ESIC, Sales Tax, Custom Duty, and Excise Duty.</w:t>
      </w:r>
    </w:p>
    <w:p>
      <w:pPr>
        <w:jc w:val="both"/>
      </w:pPr>
      <w:r>
        <w:rPr>
          <w:b w:val="0"/>
          <w:sz w:val="22"/>
        </w:rPr>
        <w:t>For the financial year ended 30 March 2025, the provision for current tax stood at 119.20 (all figures in Lakhs unless otherwise stated), with a deferred tax credit of (2.32), resulting in a net tax expense of 116.88. This represents a significant increase compared to the previous year ended 31 March 2024, where the provision for current tax was 13.00, deferred tax was (1.82), and the net tax expense amounted to 11.18.</w:t>
      </w:r>
    </w:p>
    <w:p>
      <w:pPr>
        <w:jc w:val="both"/>
      </w:pPr>
      <w:r>
        <w:rPr>
          <w:b w:val="0"/>
          <w:sz w:val="22"/>
        </w:rPr>
        <w:t>The Balance with Revenue Authorities, reported under short-term loans and advances, showed an increase from 16.48 as of 31 March 2024 to 111.88 as of 31 March 2025.</w:t>
      </w:r>
    </w:p>
    <w:p>
      <w:pPr>
        <w:jc w:val="both"/>
      </w:pPr>
      <w:r>
        <w:rPr>
          <w:b w:val="0"/>
          <w:sz w:val="22"/>
        </w:rPr>
        <w:t>An observed bank transaction on 07 December 2025 indicates a GST payment of 3,80,575.03, demonstrating ongoing compliance with Goods and Services Tax obligations.</w:t>
      </w:r>
    </w:p>
    <w:p>
      <w:pPr>
        <w:pStyle w:val="Heading1"/>
        <w:jc w:val="left"/>
      </w:pPr>
      <w:r>
        <w:rPr>
          <w:b/>
          <w:sz w:val="28"/>
        </w:rPr>
        <w:t>Audit and Compliance</w:t>
      </w:r>
    </w:p>
    <w:p>
      <w:pPr>
        <w:jc w:val="both"/>
      </w:pPr>
      <w:r>
        <w:rPr>
          <w:b/>
          <w:sz w:val="22"/>
        </w:rPr>
        <w:t>Audit and Compliance</w:t>
      </w:r>
    </w:p>
    <w:p>
      <w:pPr>
        <w:jc w:val="both"/>
      </w:pPr>
      <w:r>
        <w:rPr>
          <w:b w:val="0"/>
          <w:sz w:val="22"/>
        </w:rPr>
        <w:t>The financial statements for the year ended March 31, 2025, are reported to be in agreement with the Company's books of account, which are considered to have been properly maintained as required by law. The financial statements comply with the Accounting Standards specified under Section 133 of the Act, read with Rule 7 of the Companies (Accounts) Rules, 2014.</w:t>
      </w:r>
    </w:p>
    <w:p>
      <w:pPr>
        <w:jc w:val="both"/>
      </w:pPr>
      <w:r>
        <w:rPr>
          <w:b w:val="0"/>
          <w:sz w:val="22"/>
        </w:rPr>
        <w:t>As of March 31, 2025, based on written representations, none of the directors are disqualified from being appointed as a director in terms of Section 164(2) of the Act.</w:t>
      </w:r>
    </w:p>
    <w:p>
      <w:pPr>
        <w:jc w:val="both"/>
      </w:pPr>
      <w:r>
        <w:rPr>
          <w:b w:val="0"/>
          <w:sz w:val="22"/>
        </w:rPr>
        <w:t>The auditors communicate with those charged with governance regarding the planned scope and timing of the audit, significant audit findings, and any significant deficiencies in internal control identified. They also confirm compliance with relevant ethical requirements concerning independence and report on Key Audit Matters.</w:t>
      </w:r>
    </w:p>
    <w:p>
      <w:pPr>
        <w:jc w:val="both"/>
      </w:pPr>
      <w:r>
        <w:rPr>
          <w:b w:val="0"/>
          <w:sz w:val="22"/>
        </w:rPr>
        <w:t>Regarding the adequacy and operating effectiveness of the internal financial controls over financial reporting, the auditor's full opinion is not provided in the supplied evidence. The audit report includes a standard disclosure that future events or conditions may cause the Company to cease to continue as a going concern.</w:t>
      </w:r>
    </w:p>
    <w:p>
      <w:pPr>
        <w:pStyle w:val="Heading1"/>
        <w:jc w:val="left"/>
      </w:pPr>
      <w:r>
        <w:rPr>
          <w:b/>
          <w:sz w:val="28"/>
        </w:rPr>
        <w:t>Risk Assessment</w:t>
      </w:r>
    </w:p>
    <w:p>
      <w:pPr>
        <w:jc w:val="both"/>
      </w:pPr>
      <w:r>
        <w:rPr>
          <w:b w:val="0"/>
          <w:sz w:val="22"/>
        </w:rPr>
        <w:t>The Company's financial risk profile has seen significant changes as of 31 March 2025, largely driven by capital restructuring and operational performance.</w:t>
      </w:r>
    </w:p>
    <w:p>
      <w:pPr>
        <w:jc w:val="both"/>
      </w:pPr>
      <w:r>
        <w:rPr>
          <w:b/>
          <w:sz w:val="22"/>
        </w:rPr>
        <w:t>Financial Solvency and Leverage:</w:t>
      </w:r>
    </w:p>
    <w:p>
      <w:pPr>
        <w:jc w:val="both"/>
      </w:pPr>
      <w:r>
        <w:rPr>
          <w:b w:val="0"/>
          <w:sz w:val="22"/>
        </w:rPr>
        <w:t>Shareholders' funds have substantially increased to 5,768.42 Lakhs as of 31 March 2025, from 2,162.76 Lakhs in the prior year. This growth is primarily attributable to a successful Initial Public Offer (IPO) of 4,200,000 fresh equity shares at a price of Rs. 68/- each (including a premium of Rs. 58/- per share), which was listed on the NSE Emerge platform on June 26, 2024. This capital infusion has bolstered the Company's equity base.</w:t>
      </w:r>
    </w:p>
    <w:p>
      <w:pPr>
        <w:jc w:val="both"/>
      </w:pPr>
      <w:r>
        <w:rPr>
          <w:b w:val="0"/>
          <w:sz w:val="22"/>
        </w:rPr>
        <w:t>Correspondingly, the Company has achieved a notable reduction in its debt burden. Long-term borrowings decreased significantly from 2,070.88 Lakhs as of 31 March 2024 to 667.11 Lakhs as of 31 March 2025. This, coupled with the equity infusion, has led to a substantial improvement in the Debt-Equity Ratio, which reduced from 2.81 in FY24 to a much healthier 0.79 in FY25, representing a decrease of 71.69%. This indicates a significant de-leveraging and improved capital structure. Total non-current liabilities decreased from 2,145.74 Lakhs to 729.67 Lakhs.</w:t>
      </w:r>
    </w:p>
    <w:p>
      <w:pPr>
        <w:jc w:val="both"/>
      </w:pPr>
      <w:r>
        <w:rPr>
          <w:b/>
          <w:sz w:val="22"/>
        </w:rPr>
        <w:t>Liquidity and Cash Flow:</w:t>
      </w:r>
    </w:p>
    <w:p>
      <w:pPr>
        <w:jc w:val="both"/>
      </w:pPr>
      <w:r>
        <w:rPr>
          <w:b w:val="0"/>
          <w:sz w:val="22"/>
        </w:rPr>
        <w:t>The Company's short-term liquidity, as indicated by the Current Ratio, has improved to 1.85 as of 31 March 2025, from 1.34 in the previous year, an increase of 38.06%. This is primarily due to a rise in current assets. Current assets increased to 9,228.46 Lakhs in FY25 from 8,382.48 Lakhs in FY24, while current liabilities decreased to 4,979.85 Lakhs from 6,245.01 Lakhs over the same period.</w:t>
      </w:r>
    </w:p>
    <w:p>
      <w:pPr>
        <w:jc w:val="both"/>
      </w:pPr>
      <w:r>
        <w:rPr>
          <w:b w:val="0"/>
          <w:sz w:val="22"/>
        </w:rPr>
        <w:t>Despite improvements in the Current Ratio, the Company's cash flow from operations remains a concern. Net Cash Flow from Operating Activities, while improving, remained negative at -678.25 Lakhs in FY25, compared to -1,660.47 Lakhs in FY24. This indicates that the Company is still consuming cash from its core operations.</w:t>
      </w:r>
    </w:p>
    <w:p>
      <w:pPr>
        <w:jc w:val="both"/>
      </w:pPr>
      <w:r>
        <w:rPr>
          <w:b w:val="0"/>
          <w:sz w:val="22"/>
        </w:rPr>
        <w:t>The reported Cash and Bank Balance on the balance sheet stood at 115.38 Lakhs as of 31 March 2025. However, the Cash and Cash Equivalents at the end of the year, as per the Cash Flow Statement, was significantly lower at 14.29 Lakhs. This discrepancy highlights a material portion of cash being restricted. Specifically, a fixed deposit of Rs. 18.43 Lakhs is held with Punjab National Bank against a Bank Guarantee issued in favor of DGFT for an export obligation. Furthermore, a Letter of Credit facility of INR 730.00 Lakhs is availed in the form of a Cash Margin FDR at 15% from Punjab National Bank, implying approximately 109.50 Lakhs in restricted cash as margin money. These restricted funds reduce the freely available liquidity.</w:t>
      </w:r>
    </w:p>
    <w:p>
      <w:pPr>
        <w:jc w:val="both"/>
      </w:pPr>
      <w:r>
        <w:rPr>
          <w:b w:val="0"/>
          <w:sz w:val="22"/>
        </w:rPr>
        <w:t>Working capital management shows mixed trends. Inventories increased slightly to 4,993.90 Lakhs (FY25) from 4,930.31 Lakhs (FY24), and Trade Receivables also increased to 3,503.40 Lakhs (FY25) from 3,008.77 Lakhs (FY24). Conversely, Trade Payables significantly decreased from 2,141.07 Lakhs (FY24) to 821.39 Lakhs (FY25). The Inventory turnover ratio improved by 16.43% to 1.98 in FY25 from 1.70 in FY24. However, the Trade Receivables turnover ratio slightly declined by 4.63% to 3.77 in FY25 from 3.95 in FY24.</w:t>
      </w:r>
    </w:p>
    <w:p>
      <w:pPr>
        <w:jc w:val="both"/>
      </w:pPr>
      <w:r>
        <w:rPr>
          <w:b/>
          <w:sz w:val="22"/>
        </w:rPr>
        <w:t>Profitability and Debt Servicing:</w:t>
      </w:r>
    </w:p>
    <w:p>
      <w:pPr>
        <w:jc w:val="both"/>
      </w:pPr>
      <w:r>
        <w:rPr>
          <w:b w:val="0"/>
          <w:sz w:val="22"/>
        </w:rPr>
        <w:t>Net Profit Before Taxes for FY25 significantly increased to 996.72 Lakhs, up from 412.28 Lakhs in FY24. Finance costs, presented as Interest Expenses in the cash flow statement, remained relatively stable at 335.04 Lakhs in FY25 compared to 336.03 Lakhs in FY24.</w:t>
      </w:r>
    </w:p>
    <w:p>
      <w:pPr>
        <w:jc w:val="both"/>
      </w:pPr>
      <w:r>
        <w:rPr>
          <w:b w:val="0"/>
          <w:sz w:val="22"/>
        </w:rPr>
        <w:t>The Debt Service Coverage Ratio (DSCR) improved to 0.34 in FY25 from 0.27 in FY24, an increase of 27.91%. This improvement is attributed to higher Earnings Before Interest and Taxes (EBIT) and a reduction in debt servicing costs. However, a DSCR of 0.34 remains low, indicating that operational cash generation is currently insufficient to fully cover debt service obligations. The Return on Equity Ratio saw a marginal decrease from 0.20 in FY24 to 0.19 in FY25.</w:t>
      </w:r>
    </w:p>
    <w:p>
      <w:pPr>
        <w:jc w:val="both"/>
      </w:pPr>
      <w:r>
        <w:rPr>
          <w:b/>
          <w:sz w:val="22"/>
        </w:rPr>
        <w:t>Contingent Liabilities and Other Risks:</w:t>
      </w:r>
    </w:p>
    <w:p>
      <w:pPr>
        <w:jc w:val="both"/>
      </w:pPr>
      <w:r>
        <w:rPr>
          <w:b w:val="0"/>
          <w:sz w:val="22"/>
        </w:rPr>
        <w:t>The Company faces contingent liabilities primarily related to its Export Promotion Capital Goods (EPCG) scheme obligations. For one license (0330045650), the export obligation has been extended until 28 April 2026. Non-compliance could result in a customs duty liability of Rs. 184.53 Lakhs. For two other EPCG licenses (330046421 and 330047328), while export obligations have been fulfilled and closure applications submitted, final closure letters from DGFT are awaited, leading to a disclosed contingent liability of Rs. 85.69 Lakhs.</w:t>
      </w:r>
    </w:p>
    <w:p>
      <w:pPr>
        <w:jc w:val="both"/>
      </w:pPr>
      <w:r>
        <w:rPr>
          <w:b w:val="0"/>
          <w:sz w:val="22"/>
        </w:rPr>
        <w:t>Company borrowings, including medium-term working capital facilities from Punjab National Bank and Axis Bank Ltd, are secured by hypothecation of stock, book debts, entire current assets, and pari passu charge on land, building, plant &amp; machinery. These facilities are further supported by personal guarantees from key managerial personnel, including Mr. Shravan Suthar, Mr. Lalit Suthar, Mr. Laxmichand Suthar, and Mr. Pankaj Suthar, which mitigates risk for lenders but indicates reliance on promoter support.</w:t>
      </w:r>
    </w:p>
    <w:p>
      <w:pPr>
        <w:jc w:val="both"/>
      </w:pPr>
      <w:r>
        <w:rPr>
          <w:b w:val="0"/>
          <w:sz w:val="22"/>
        </w:rPr>
        <w:t>Transactions with Related Parties during the year were reported as being on an arm's length basis and in the ordinary course of business, with no materially significant transactions identified as having a potential conflict with the Company's interest.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Ratio</w:t>
            </w:r>
          </w:p>
        </w:tc>
        <w:tc>
          <w:tcPr>
            <w:tcW w:type="dxa" w:w="2160"/>
          </w:tcPr>
          <w:p>
            <w:r>
              <w:rPr>
                <w:b/>
              </w:rPr>
              <w:t>Fy25</w:t>
            </w:r>
          </w:p>
        </w:tc>
        <w:tc>
          <w:tcPr>
            <w:tcW w:type="dxa" w:w="2160"/>
          </w:tcPr>
          <w:p>
            <w:r>
              <w:rPr>
                <w:b/>
              </w:rPr>
              <w:t>Fy24</w:t>
            </w:r>
          </w:p>
        </w:tc>
        <w:tc>
          <w:tcPr>
            <w:tcW w:type="dxa" w:w="2160"/>
          </w:tcPr>
          <w:p>
            <w:r>
              <w:rPr>
                <w:b/>
              </w:rPr>
              <w:t>Trend</w:t>
            </w:r>
          </w:p>
        </w:tc>
      </w:tr>
      <w:tr>
        <w:tc>
          <w:tcPr>
            <w:tcW w:type="dxa" w:w="2160"/>
          </w:tcPr>
          <w:p>
            <w:r>
              <w:t>Current Ratio</w:t>
            </w:r>
          </w:p>
        </w:tc>
        <w:tc>
          <w:tcPr>
            <w:tcW w:type="dxa" w:w="2160"/>
          </w:tcPr>
          <w:p>
            <w:r>
              <w:t>1.85</w:t>
            </w:r>
          </w:p>
        </w:tc>
        <w:tc>
          <w:tcPr>
            <w:tcW w:type="dxa" w:w="2160"/>
          </w:tcPr>
          <w:p>
            <w:r>
              <w:t>1.34</w:t>
            </w:r>
          </w:p>
        </w:tc>
        <w:tc>
          <w:tcPr>
            <w:tcW w:type="dxa" w:w="2160"/>
          </w:tcPr>
          <w:p>
            <w:r>
              <w:t>+38.06%</w:t>
            </w:r>
          </w:p>
        </w:tc>
      </w:tr>
      <w:tr>
        <w:tc>
          <w:tcPr>
            <w:tcW w:type="dxa" w:w="2160"/>
          </w:tcPr>
          <w:p>
            <w:r>
              <w:t>Debt-Equity Ratio</w:t>
            </w:r>
          </w:p>
        </w:tc>
        <w:tc>
          <w:tcPr>
            <w:tcW w:type="dxa" w:w="2160"/>
          </w:tcPr>
          <w:p>
            <w:r>
              <w:t>0.79</w:t>
            </w:r>
          </w:p>
        </w:tc>
        <w:tc>
          <w:tcPr>
            <w:tcW w:type="dxa" w:w="2160"/>
          </w:tcPr>
          <w:p>
            <w:r>
              <w:t>2.81</w:t>
            </w:r>
          </w:p>
        </w:tc>
        <w:tc>
          <w:tcPr>
            <w:tcW w:type="dxa" w:w="2160"/>
          </w:tcPr>
          <w:p>
            <w:r>
              <w:t>-71.69%</w:t>
            </w:r>
          </w:p>
        </w:tc>
      </w:tr>
      <w:tr>
        <w:tc>
          <w:tcPr>
            <w:tcW w:type="dxa" w:w="2160"/>
          </w:tcPr>
          <w:p>
            <w:r>
              <w:t>Debt Service Coverage Ratio</w:t>
            </w:r>
          </w:p>
        </w:tc>
        <w:tc>
          <w:tcPr>
            <w:tcW w:type="dxa" w:w="2160"/>
          </w:tcPr>
          <w:p>
            <w:r>
              <w:t>0.34</w:t>
            </w:r>
          </w:p>
        </w:tc>
        <w:tc>
          <w:tcPr>
            <w:tcW w:type="dxa" w:w="2160"/>
          </w:tcPr>
          <w:p>
            <w:r>
              <w:t>0.27</w:t>
            </w:r>
          </w:p>
        </w:tc>
        <w:tc>
          <w:tcPr>
            <w:tcW w:type="dxa" w:w="2160"/>
          </w:tcPr>
          <w:p>
            <w:r>
              <w:t>+27.91%</w:t>
            </w:r>
          </w:p>
        </w:tc>
      </w:tr>
      <w:tr>
        <w:tc>
          <w:tcPr>
            <w:tcW w:type="dxa" w:w="2160"/>
          </w:tcPr>
          <w:p>
            <w:r>
              <w:t>Return on Equity Ratio</w:t>
            </w:r>
          </w:p>
        </w:tc>
        <w:tc>
          <w:tcPr>
            <w:tcW w:type="dxa" w:w="2160"/>
          </w:tcPr>
          <w:p>
            <w:r>
              <w:t>0.19</w:t>
            </w:r>
          </w:p>
        </w:tc>
        <w:tc>
          <w:tcPr>
            <w:tcW w:type="dxa" w:w="2160"/>
          </w:tcPr>
          <w:p>
            <w:r>
              <w:t>0.20</w:t>
            </w:r>
          </w:p>
        </w:tc>
        <w:tc>
          <w:tcPr>
            <w:tcW w:type="dxa" w:w="2160"/>
          </w:tcPr>
          <w:p>
            <w:r>
              <w:t>-7.26%</w:t>
            </w:r>
          </w:p>
        </w:tc>
      </w:tr>
      <w:tr>
        <w:tc>
          <w:tcPr>
            <w:tcW w:type="dxa" w:w="2160"/>
          </w:tcPr>
          <w:p>
            <w:r>
              <w:t>Inventory turnover ratio</w:t>
            </w:r>
          </w:p>
        </w:tc>
        <w:tc>
          <w:tcPr>
            <w:tcW w:type="dxa" w:w="2160"/>
          </w:tcPr>
          <w:p>
            <w:r>
              <w:t>1.98</w:t>
            </w:r>
          </w:p>
        </w:tc>
        <w:tc>
          <w:tcPr>
            <w:tcW w:type="dxa" w:w="2160"/>
          </w:tcPr>
          <w:p>
            <w:r>
              <w:t>1.70</w:t>
            </w:r>
          </w:p>
        </w:tc>
        <w:tc>
          <w:tcPr>
            <w:tcW w:type="dxa" w:w="2160"/>
          </w:tcPr>
          <w:p>
            <w:r>
              <w:t>+16.43%</w:t>
            </w:r>
          </w:p>
        </w:tc>
      </w:tr>
      <w:tr>
        <w:tc>
          <w:tcPr>
            <w:tcW w:type="dxa" w:w="2160"/>
          </w:tcPr>
          <w:p>
            <w:r>
              <w:t>Trade Receivables turnover ratio</w:t>
            </w:r>
          </w:p>
        </w:tc>
        <w:tc>
          <w:tcPr>
            <w:tcW w:type="dxa" w:w="2160"/>
          </w:tcPr>
          <w:p>
            <w:r>
              <w:t>3.77</w:t>
            </w:r>
          </w:p>
        </w:tc>
        <w:tc>
          <w:tcPr>
            <w:tcW w:type="dxa" w:w="2160"/>
          </w:tcPr>
          <w:p>
            <w:r>
              <w:t>3.95</w:t>
            </w:r>
          </w:p>
        </w:tc>
        <w:tc>
          <w:tcPr>
            <w:tcW w:type="dxa" w:w="2160"/>
          </w:tcPr>
          <w:p>
            <w:r>
              <w:t>-4.63%</w:t>
            </w:r>
          </w:p>
        </w:tc>
      </w:tr>
    </w:tbl>
    <w:p/>
    <w:p>
      <w:pPr>
        <w:pStyle w:val="Heading1"/>
        <w:jc w:val="left"/>
      </w:pPr>
      <w:r>
        <w:rPr>
          <w:b/>
          <w:sz w:val="28"/>
        </w:rPr>
        <w:t>Collateral</w:t>
      </w:r>
    </w:p>
    <w:p>
      <w:pPr>
        <w:jc w:val="both"/>
      </w:pPr>
      <w:r>
        <w:rPr>
          <w:b/>
          <w:sz w:val="22"/>
        </w:rPr>
        <w:t>Collateral</w:t>
      </w:r>
    </w:p>
    <w:p>
      <w:pPr>
        <w:jc w:val="both"/>
      </w:pPr>
      <w:r>
        <w:rPr>
          <w:b w:val="0"/>
          <w:sz w:val="22"/>
        </w:rPr>
        <w:t>The Company is legally empowered to provide security for its borrowings. Pursuant to Section 180(1)(a) of the Companies Act, 2013, the Board, through special resolution, is authorized to hypothecate, mortgage, pledge, and/or create a charge on all or any immovable and movable properties of the Company, both present and future. This authorization extends to the whole or substantially the whole of the Company's undertaking(s). This power is exercisable as and when necessary to secure borrowings, including loans (in rupee currency and/or foreign currency) and securities (comprising fully/partly convertible debentures and/or non-convertible debentures).</w:t>
      </w:r>
    </w:p>
    <w:p>
      <w:pPr>
        <w:jc w:val="both"/>
      </w:pPr>
      <w:r>
        <w:rPr>
          <w:b w:val="0"/>
          <w:sz w:val="22"/>
        </w:rPr>
        <w:t>Such charges are intended to secure financial assistance provided by various lenders (including multilateral agencies and other creditors) for principal amounts, interest, fees, costs, charges, and expenses arising out of financing documents. The creation of these charges is subject to an overall ceiling approved by the Members of the Company, in accordance with Section 180(1)(c) of the Companies Act, 2013. Consent from members is proposed to be sought for this purpose.</w:t>
      </w:r>
    </w:p>
    <w:p>
      <w:pPr>
        <w:jc w:val="both"/>
      </w:pPr>
      <w:r>
        <w:rPr>
          <w:b w:val="0"/>
          <w:sz w:val="22"/>
        </w:rPr>
        <w:t>Specific details regarding existing collateral securing the Company's current long-term borrowings of 667.11 as at March 31, 2025 (2,070.88 as at March 31, 2024) and short-term borrowings of 3,916.56 as at March 31, 2025 (3,999.83 as at March 31, 2024) are not explicitly detailed in the provided evidence. The overall ceiling approved by the Members under Section 180(1)(c) is also not specified.</w:t>
      </w:r>
    </w:p>
    <w:p>
      <w:pPr>
        <w:pStyle w:val="Heading1"/>
      </w:pPr>
      <w:r>
        <w:rPr>
          <w:b/>
          <w:sz w:val="28"/>
        </w:rPr>
        <w:t>Data Consistency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Database Value (Cr)</w:t>
            </w:r>
          </w:p>
        </w:tc>
        <w:tc>
          <w:tcPr>
            <w:tcW w:type="dxa" w:w="2160"/>
          </w:tcPr>
          <w:p>
            <w:r>
              <w:rPr>
                <w:b/>
              </w:rPr>
              <w:t>Evidence Found</w:t>
            </w:r>
          </w:p>
        </w:tc>
        <w:tc>
          <w:tcPr>
            <w:tcW w:type="dxa" w:w="2160"/>
          </w:tcPr>
          <w:p>
            <w:r>
              <w:rPr>
                <w:b/>
              </w:rPr>
              <w:t>Status</w:t>
            </w:r>
          </w:p>
        </w:tc>
      </w:tr>
      <w:tr>
        <w:tc>
          <w:tcPr>
            <w:tcW w:type="dxa" w:w="2160"/>
          </w:tcPr>
          <w:p>
            <w:r>
              <w:t>Revenue</w:t>
            </w:r>
          </w:p>
        </w:tc>
        <w:tc>
          <w:tcPr>
            <w:tcW w:type="dxa" w:w="2160"/>
          </w:tcPr>
          <w:p>
            <w:r>
              <w:t>122.56</w:t>
            </w:r>
          </w:p>
        </w:tc>
        <w:tc>
          <w:tcPr>
            <w:tcW w:type="dxa" w:w="2160"/>
          </w:tcPr>
          <w:p>
            <w:r>
              <w:t>FOUND</w:t>
            </w:r>
          </w:p>
        </w:tc>
        <w:tc>
          <w:tcPr>
            <w:tcW w:type="dxa" w:w="2160"/>
          </w:tcPr>
          <w:p>
            <w:r>
              <w:t>MATCH</w:t>
            </w:r>
          </w:p>
        </w:tc>
      </w:tr>
      <w:tr>
        <w:tc>
          <w:tcPr>
            <w:tcW w:type="dxa" w:w="2160"/>
          </w:tcPr>
          <w:p>
            <w:r>
              <w:t>Net Profit</w:t>
            </w:r>
          </w:p>
        </w:tc>
        <w:tc>
          <w:tcPr>
            <w:tcW w:type="dxa" w:w="2160"/>
          </w:tcPr>
          <w:p>
            <w:r>
              <w:t>7.50</w:t>
            </w:r>
          </w:p>
        </w:tc>
        <w:tc>
          <w:tcPr>
            <w:tcW w:type="dxa" w:w="2160"/>
          </w:tcPr>
          <w:p>
            <w:r>
              <w:t>FOUND</w:t>
            </w:r>
          </w:p>
        </w:tc>
        <w:tc>
          <w:tcPr>
            <w:tcW w:type="dxa" w:w="2160"/>
          </w:tcPr>
          <w:p>
            <w:r>
              <w:t>MATCH</w:t>
            </w:r>
          </w:p>
        </w:tc>
      </w:tr>
      <w:tr>
        <w:tc>
          <w:tcPr>
            <w:tcW w:type="dxa" w:w="2160"/>
          </w:tcPr>
          <w:p>
            <w:r>
              <w:t>Borrowings</w:t>
            </w:r>
          </w:p>
        </w:tc>
        <w:tc>
          <w:tcPr>
            <w:tcW w:type="dxa" w:w="2160"/>
          </w:tcPr>
          <w:p>
            <w:r>
              <w:t>45.84</w:t>
            </w:r>
          </w:p>
        </w:tc>
        <w:tc>
          <w:tcPr>
            <w:tcW w:type="dxa" w:w="2160"/>
          </w:tcPr>
          <w:p>
            <w:r>
              <w:t>FOUND</w:t>
            </w:r>
          </w:p>
        </w:tc>
        <w:tc>
          <w:tcPr>
            <w:tcW w:type="dxa" w:w="2160"/>
          </w:tcPr>
          <w:p>
            <w:r>
              <w:t>MATCH</w:t>
            </w:r>
          </w:p>
        </w:tc>
      </w:tr>
      <w:tr>
        <w:tc>
          <w:tcPr>
            <w:tcW w:type="dxa" w:w="2160"/>
          </w:tcPr>
          <w:p>
            <w:r>
              <w:t>Cash And Bank</w:t>
            </w:r>
          </w:p>
        </w:tc>
        <w:tc>
          <w:tcPr>
            <w:tcW w:type="dxa" w:w="2160"/>
          </w:tcPr>
          <w:p>
            <w:r>
              <w:t>1.15</w:t>
            </w:r>
          </w:p>
        </w:tc>
        <w:tc>
          <w:tcPr>
            <w:tcW w:type="dxa" w:w="2160"/>
          </w:tcPr>
          <w:p>
            <w:r>
              <w:t>FOUND</w:t>
            </w:r>
          </w:p>
        </w:tc>
        <w:tc>
          <w:tcPr>
            <w:tcW w:type="dxa" w:w="2160"/>
          </w:tcPr>
          <w:p>
            <w:r>
              <w:t>MATCH</w:t>
            </w:r>
          </w:p>
        </w:tc>
      </w:tr>
      <w:tr>
        <w:tc>
          <w:tcPr>
            <w:tcW w:type="dxa" w:w="2160"/>
          </w:tcPr>
          <w:p>
            <w:r>
              <w:t>Inventory</w:t>
            </w:r>
          </w:p>
        </w:tc>
        <w:tc>
          <w:tcPr>
            <w:tcW w:type="dxa" w:w="2160"/>
          </w:tcPr>
          <w:p>
            <w:r>
              <w:t>49.94</w:t>
            </w:r>
          </w:p>
        </w:tc>
        <w:tc>
          <w:tcPr>
            <w:tcW w:type="dxa" w:w="2160"/>
          </w:tcPr>
          <w:p>
            <w:r>
              <w:t>FOUND</w:t>
            </w:r>
          </w:p>
        </w:tc>
        <w:tc>
          <w:tcPr>
            <w:tcW w:type="dxa" w:w="2160"/>
          </w:tcPr>
          <w:p>
            <w:r>
              <w:t>MATCH</w:t>
            </w:r>
          </w:p>
        </w:tc>
      </w:tr>
      <w:tr>
        <w:tc>
          <w:tcPr>
            <w:tcW w:type="dxa" w:w="2160"/>
          </w:tcPr>
          <w:p>
            <w:r>
              <w:t>Trade Receivables</w:t>
            </w:r>
          </w:p>
        </w:tc>
        <w:tc>
          <w:tcPr>
            <w:tcW w:type="dxa" w:w="2160"/>
          </w:tcPr>
          <w:p>
            <w:r>
              <w:t>35.03</w:t>
            </w:r>
          </w:p>
        </w:tc>
        <w:tc>
          <w:tcPr>
            <w:tcW w:type="dxa" w:w="2160"/>
          </w:tcPr>
          <w:p>
            <w:r>
              <w:t>FOUND</w:t>
            </w:r>
          </w:p>
        </w:tc>
        <w:tc>
          <w:tcPr>
            <w:tcW w:type="dxa" w:w="2160"/>
          </w:tcPr>
          <w:p>
            <w:r>
              <w:t>MATCH</w:t>
            </w:r>
          </w:p>
        </w:tc>
      </w:tr>
      <w:tr>
        <w:tc>
          <w:tcPr>
            <w:tcW w:type="dxa" w:w="2160"/>
          </w:tcPr>
          <w:p>
            <w:r>
              <w:t>Cfo</w:t>
            </w:r>
          </w:p>
        </w:tc>
        <w:tc>
          <w:tcPr>
            <w:tcW w:type="dxa" w:w="2160"/>
          </w:tcPr>
          <w:p>
            <w:r>
              <w:t>-6.78</w:t>
            </w:r>
          </w:p>
        </w:tc>
        <w:tc>
          <w:tcPr>
            <w:tcW w:type="dxa" w:w="2160"/>
          </w:tcPr>
          <w:p>
            <w:r>
              <w:t>FOUND</w:t>
            </w:r>
          </w:p>
        </w:tc>
        <w:tc>
          <w:tcPr>
            <w:tcW w:type="dxa" w:w="2160"/>
          </w:tcPr>
          <w:p>
            <w:r>
              <w:t>MATCH</w:t>
            </w:r>
          </w:p>
        </w:tc>
      </w:tr>
      <w:tr>
        <w:tc>
          <w:tcPr>
            <w:tcW w:type="dxa" w:w="2160"/>
          </w:tcPr>
          <w:p>
            <w:r>
              <w:t>Net Cash Flow</w:t>
            </w:r>
          </w:p>
        </w:tc>
        <w:tc>
          <w:tcPr>
            <w:tcW w:type="dxa" w:w="2160"/>
          </w:tcPr>
          <w:p>
            <w:r>
              <w:t>0.02</w:t>
            </w:r>
          </w:p>
        </w:tc>
        <w:tc>
          <w:tcPr>
            <w:tcW w:type="dxa" w:w="2160"/>
          </w:tcPr>
          <w:p>
            <w:r>
              <w:t>FOUND</w:t>
            </w:r>
          </w:p>
        </w:tc>
        <w:tc>
          <w:tcPr>
            <w:tcW w:type="dxa" w:w="2160"/>
          </w:tcPr>
          <w:p>
            <w:r>
              <w:t>MATCH</w:t>
            </w:r>
          </w:p>
        </w:tc>
      </w:tr>
    </w:tbl>
    <w:p/>
    <w:p>
      <w:pPr>
        <w:pStyle w:val="Heading1"/>
        <w:jc w:val="left"/>
      </w:pPr>
      <w:r>
        <w:rPr>
          <w:b/>
          <w:sz w:val="28"/>
        </w:rPr>
        <w:t>Recommendation</w:t>
      </w:r>
    </w:p>
    <w:p>
      <w:pPr>
        <w:jc w:val="both"/>
      </w:pPr>
      <w:r>
        <w:rPr>
          <w:b/>
          <w:sz w:val="22"/>
        </w:rPr>
        <w:t>Recommendation</w:t>
      </w:r>
    </w:p>
    <w:p>
      <w:pPr>
        <w:jc w:val="both"/>
      </w:pPr>
      <w:r>
        <w:rPr>
          <w:b w:val="0"/>
          <w:sz w:val="22"/>
        </w:rPr>
        <w:t>The company's ability to service its debt from operational cash flows is a significant concern. For the financial year ended 31st March, 2025, Net Cash Flow from Operating Activities remained negative at -678.25 lakhs. While this represents an improvement from -1,660.47 lakhs as at 31st March, 2024, operational cash generation continues to be insufficient to meet debt obligations.</w:t>
      </w:r>
    </w:p>
    <w:p>
      <w:pPr>
        <w:jc w:val="both"/>
      </w:pPr>
      <w:r>
        <w:rPr>
          <w:b w:val="0"/>
          <w:sz w:val="22"/>
        </w:rPr>
        <w:t>The Debt Service Coverage Ratio (DSCR) for the financial year ended 31st March, 2025, stands at 0.34, an increase from 0.27 in the prior year. Despite this improvement, the DSCR remains substantially below 1.0, indicating that the company's operational earnings are currently inadequate to cover its debt service obligations. While the company has not defaulted on repayment of secured/unsecured loans and interest during the year, this ability is not demonstrated through its operational cash generation.</w:t>
      </w:r>
    </w:p>
    <w:p>
      <w:pPr>
        <w:jc w:val="both"/>
      </w:pPr>
      <w:r>
        <w:rPr>
          <w:b w:val="0"/>
          <w:sz w:val="22"/>
        </w:rPr>
        <w:t>The company's liquidity position has improved, with the Current Ratio increasing to 1.85 as at 31st March, 2025, from 1.34 as at 31st March, 2024. Furthermore, the Debt-Equity Ratio has significantly reduced to 0.79 from 2.81 over the same period, attributed to a reduction in debt and an increase in equity capital from infusion. While these balance sheet improvements are noted, they do not mitigate the fundamental issue of negative operating cash flow and a DSCR below 1.0, which are critical indicators of sustainable debt serviceability from core operations.</w:t>
      </w:r>
    </w:p>
    <w:p>
      <w:pPr>
        <w:jc w:val="both"/>
      </w:pPr>
      <w:r>
        <w:rPr>
          <w:b w:val="0"/>
          <w:sz w:val="22"/>
        </w:rPr>
        <w:t>The company also faces contingent liabilities totaling Rs. 1,84,52,971/- for unfulfilled export obligations (extended to 28.04.2026) and Rs. 85,69,301/- awaiting DGFT closure letters. The Board is seeking approval to increase borrowing powers up to Rs 200 Crores for proposed new projects and businesses, which would add to future debt obligations.</w:t>
      </w:r>
    </w:p>
    <w:p>
      <w:pPr>
        <w:jc w:val="both"/>
      </w:pPr>
      <w:r>
        <w:rPr>
          <w:b w:val="0"/>
          <w:sz w:val="22"/>
        </w:rPr>
        <w:t>Based on the consistently negative operational cash flow and a Debt Service Coverage Ratio significantly below 1.0, the company currently lacks the internal financial strength to service its existing and future debt obligations from its core operations. Therefore, a cautious approach to new credit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