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41691" w:rsidR="004C0072" w:rsidP="000C5759" w:rsidRDefault="00941691" w14:paraId="39C53433" w14:textId="1C9D3B01">
      <w:pPr>
        <w:spacing w:line="240" w:lineRule="auto"/>
        <w:rPr>
          <w:b/>
          <w:bCs/>
          <w:u w:val="single"/>
          <w:lang w:val="nl-NL"/>
        </w:rPr>
      </w:pPr>
      <w:r w:rsidRPr="00941691">
        <w:rPr>
          <w:b/>
          <w:bCs/>
          <w:u w:val="single"/>
          <w:lang w:val="nl-NL"/>
        </w:rPr>
        <w:t>Annotatie-instructie ten behoeve van segmenteren gerechtelijke uitspraken</w:t>
      </w:r>
    </w:p>
    <w:p w:rsidRPr="00941691" w:rsidR="00941691" w:rsidP="000C5759" w:rsidRDefault="00941691" w14:paraId="71CC1E0D" w14:textId="1F1A80ED">
      <w:pPr>
        <w:spacing w:line="240" w:lineRule="auto"/>
        <w:rPr>
          <w:lang w:val="nl-NL"/>
        </w:rPr>
      </w:pPr>
      <w:r w:rsidRPr="00941691">
        <w:rPr>
          <w:lang w:val="nl-NL"/>
        </w:rPr>
        <w:t>Annoteer een</w:t>
      </w:r>
      <w:r>
        <w:rPr>
          <w:lang w:val="nl-NL"/>
        </w:rPr>
        <w:t xml:space="preserve"> gerechtelijke</w:t>
      </w:r>
      <w:r w:rsidRPr="00941691">
        <w:rPr>
          <w:lang w:val="nl-NL"/>
        </w:rPr>
        <w:t xml:space="preserve"> uitspraak, of een onderdeel ervan,</w:t>
      </w:r>
      <w:r>
        <w:rPr>
          <w:lang w:val="nl-NL"/>
        </w:rPr>
        <w:t xml:space="preserve"> enkel</w:t>
      </w:r>
      <w:r w:rsidRPr="00941691">
        <w:rPr>
          <w:lang w:val="nl-NL"/>
        </w:rPr>
        <w:t xml:space="preserve"> </w:t>
      </w:r>
      <w:proofErr w:type="gramStart"/>
      <w:r>
        <w:rPr>
          <w:lang w:val="nl-NL"/>
        </w:rPr>
        <w:t>indien</w:t>
      </w:r>
      <w:proofErr w:type="gramEnd"/>
      <w:r>
        <w:rPr>
          <w:lang w:val="nl-NL"/>
        </w:rPr>
        <w:t xml:space="preserve"> deze gaat over de (1) materiële feiten, (2) beoordeling en (3) beslissing. Deze (en andere) categorieën kunnen als volgt worden omschreven:</w:t>
      </w:r>
    </w:p>
    <w:p w:rsidR="00A95F37" w:rsidP="00A95F37" w:rsidRDefault="00506E37" w14:paraId="0B92F570" w14:textId="3777311A">
      <w:pPr>
        <w:pStyle w:val="ListParagraph"/>
        <w:numPr>
          <w:ilvl w:val="0"/>
          <w:numId w:val="4"/>
        </w:numPr>
        <w:spacing w:line="240" w:lineRule="auto"/>
        <w:rPr>
          <w:lang w:val="nl-NL"/>
        </w:rPr>
      </w:pPr>
      <w:r w:rsidRPr="70CE58B4" w:rsidR="00506E37">
        <w:rPr>
          <w:lang w:val="nl-NL"/>
        </w:rPr>
        <w:t>Materiële feiten.</w:t>
      </w:r>
      <w:r w:rsidRPr="70CE58B4" w:rsidR="00A95F37">
        <w:rPr>
          <w:lang w:val="nl-NL"/>
        </w:rPr>
        <w:t xml:space="preserve"> F</w:t>
      </w:r>
      <w:r w:rsidRPr="70CE58B4" w:rsidR="00A95F37">
        <w:rPr>
          <w:lang w:val="nl-NL"/>
        </w:rPr>
        <w:t xml:space="preserve">eiten die rechtstreeks verband houden met de inhoudelijke beoordeling. Ze vormen de feitelijke grondslag van </w:t>
      </w:r>
      <w:r w:rsidRPr="70CE58B4" w:rsidR="00A95F37">
        <w:rPr>
          <w:lang w:val="nl-NL"/>
        </w:rPr>
        <w:t>een vordering of verweer, zijn relevant voor</w:t>
      </w:r>
      <w:r w:rsidRPr="70CE58B4" w:rsidR="16287FF8">
        <w:rPr>
          <w:lang w:val="nl-NL"/>
        </w:rPr>
        <w:t xml:space="preserve"> de vraag</w:t>
      </w:r>
      <w:r w:rsidRPr="70CE58B4" w:rsidR="00A95F37">
        <w:rPr>
          <w:lang w:val="nl-NL"/>
        </w:rPr>
        <w:t xml:space="preserve"> of een </w:t>
      </w:r>
      <w:r w:rsidRPr="70CE58B4" w:rsidR="6B654820">
        <w:rPr>
          <w:lang w:val="nl-NL"/>
        </w:rPr>
        <w:t xml:space="preserve">bepaalde </w:t>
      </w:r>
      <w:r w:rsidRPr="70CE58B4" w:rsidR="00A95F37">
        <w:rPr>
          <w:lang w:val="nl-NL"/>
        </w:rPr>
        <w:t>regel van toepassing is</w:t>
      </w:r>
      <w:r w:rsidRPr="70CE58B4" w:rsidR="3AA0CF98">
        <w:rPr>
          <w:lang w:val="nl-NL"/>
        </w:rPr>
        <w:t xml:space="preserve"> en zijn </w:t>
      </w:r>
      <w:r w:rsidRPr="70CE58B4" w:rsidR="3AA0CF98">
        <w:rPr>
          <w:lang w:val="nl-NL"/>
        </w:rPr>
        <w:t xml:space="preserve">redengevend </w:t>
      </w:r>
      <w:r w:rsidRPr="70CE58B4" w:rsidR="00A95F37">
        <w:rPr>
          <w:lang w:val="nl-NL"/>
        </w:rPr>
        <w:t>voor</w:t>
      </w:r>
      <w:r w:rsidRPr="70CE58B4" w:rsidR="00A95F37">
        <w:rPr>
          <w:lang w:val="nl-NL"/>
        </w:rPr>
        <w:t xml:space="preserve"> de </w:t>
      </w:r>
      <w:r w:rsidRPr="70CE58B4" w:rsidR="7E0ACDD2">
        <w:rPr>
          <w:lang w:val="nl-NL"/>
        </w:rPr>
        <w:t xml:space="preserve">inhoudelijke </w:t>
      </w:r>
      <w:r w:rsidRPr="70CE58B4" w:rsidR="00A95F37">
        <w:rPr>
          <w:lang w:val="nl-NL"/>
        </w:rPr>
        <w:t xml:space="preserve">beoordeling en beslissing van de rechter. </w:t>
      </w:r>
    </w:p>
    <w:p w:rsidR="00506E37" w:rsidP="00A95F37" w:rsidRDefault="00506E37" w14:paraId="412D54ED" w14:textId="17DC8A0B">
      <w:pPr>
        <w:pStyle w:val="ListParagraph"/>
        <w:numPr>
          <w:ilvl w:val="0"/>
          <w:numId w:val="4"/>
        </w:numPr>
        <w:spacing w:line="240" w:lineRule="auto"/>
        <w:rPr>
          <w:lang w:val="nl-NL"/>
        </w:rPr>
      </w:pPr>
      <w:r>
        <w:rPr>
          <w:lang w:val="nl-NL"/>
        </w:rPr>
        <w:t>Beoordeling.</w:t>
      </w:r>
      <w:r w:rsidR="00A95F37">
        <w:rPr>
          <w:lang w:val="nl-NL"/>
        </w:rPr>
        <w:t xml:space="preserve"> D</w:t>
      </w:r>
      <w:r w:rsidRPr="00A95F37" w:rsidR="00A95F37">
        <w:rPr>
          <w:lang w:val="nl-NL"/>
        </w:rPr>
        <w:t xml:space="preserve">e juridische analyse en motivering waarin de rechter uitlegt hoe en waarom </w:t>
      </w:r>
      <w:r w:rsidR="00A95F37">
        <w:rPr>
          <w:lang w:val="nl-NL"/>
        </w:rPr>
        <w:t>deze</w:t>
      </w:r>
      <w:r w:rsidRPr="00A95F37" w:rsidR="00A95F37">
        <w:rPr>
          <w:lang w:val="nl-NL"/>
        </w:rPr>
        <w:t xml:space="preserve"> tot een bepaalde beslissing komt</w:t>
      </w:r>
      <w:r w:rsidR="00A95F37">
        <w:rPr>
          <w:lang w:val="nl-NL"/>
        </w:rPr>
        <w:t>.</w:t>
      </w:r>
    </w:p>
    <w:p w:rsidR="00506E37" w:rsidP="00506E37" w:rsidRDefault="00506E37" w14:paraId="17BCCB36" w14:textId="3F94A9E9">
      <w:pPr>
        <w:pStyle w:val="ListParagraph"/>
        <w:numPr>
          <w:ilvl w:val="0"/>
          <w:numId w:val="4"/>
        </w:numPr>
        <w:spacing w:line="240" w:lineRule="auto"/>
        <w:rPr>
          <w:lang w:val="nl-NL"/>
        </w:rPr>
      </w:pPr>
      <w:r>
        <w:rPr>
          <w:lang w:val="nl-NL"/>
        </w:rPr>
        <w:t xml:space="preserve">Beslissing. </w:t>
      </w:r>
      <w:r w:rsidRPr="00506E37" w:rsidR="00755C62">
        <w:rPr>
          <w:lang w:val="nl-NL"/>
        </w:rPr>
        <w:t xml:space="preserve">Geeft de beslissing of uitspraak van </w:t>
      </w:r>
      <w:r w:rsidR="00755C62">
        <w:rPr>
          <w:lang w:val="nl-NL"/>
        </w:rPr>
        <w:t>de rechter.</w:t>
      </w:r>
    </w:p>
    <w:p w:rsidR="00A95F37" w:rsidP="00A95F37" w:rsidRDefault="00506E37" w14:paraId="42A4ACEE" w14:textId="18725CAB">
      <w:pPr>
        <w:pStyle w:val="ListParagraph"/>
        <w:numPr>
          <w:ilvl w:val="0"/>
          <w:numId w:val="4"/>
        </w:numPr>
        <w:spacing w:line="240" w:lineRule="auto"/>
        <w:rPr>
          <w:lang w:val="nl-NL"/>
        </w:rPr>
      </w:pPr>
      <w:r w:rsidRPr="00A95F37">
        <w:rPr>
          <w:lang w:val="nl-NL"/>
        </w:rPr>
        <w:t>Procesverloop</w:t>
      </w:r>
      <w:r w:rsidR="00A95F37">
        <w:rPr>
          <w:lang w:val="nl-NL"/>
        </w:rPr>
        <w:t>/proceshandelingen</w:t>
      </w:r>
      <w:r w:rsidRPr="00A95F37">
        <w:rPr>
          <w:lang w:val="nl-NL"/>
        </w:rPr>
        <w:t xml:space="preserve">. </w:t>
      </w:r>
      <w:r w:rsidRPr="00A95F37" w:rsidR="00A95F37">
        <w:rPr>
          <w:lang w:val="nl-NL"/>
        </w:rPr>
        <w:t>P</w:t>
      </w:r>
      <w:r w:rsidRPr="00A95F37" w:rsidR="00A95F37">
        <w:rPr>
          <w:lang w:val="nl-NL"/>
        </w:rPr>
        <w:t>rocesstappen en formele handelingen</w:t>
      </w:r>
      <w:r w:rsidRPr="00A95F37" w:rsidR="00A95F37">
        <w:rPr>
          <w:lang w:val="nl-NL"/>
        </w:rPr>
        <w:t xml:space="preserve">, inclusief </w:t>
      </w:r>
      <w:r w:rsidR="00A95F37">
        <w:rPr>
          <w:lang w:val="nl-NL"/>
        </w:rPr>
        <w:t xml:space="preserve">de standpunten van partijen, </w:t>
      </w:r>
      <w:r w:rsidRPr="00A95F37" w:rsidR="00A95F37">
        <w:rPr>
          <w:lang w:val="nl-NL"/>
        </w:rPr>
        <w:t xml:space="preserve">wat </w:t>
      </w:r>
      <w:r w:rsidR="00A95F37">
        <w:rPr>
          <w:lang w:val="nl-NL"/>
        </w:rPr>
        <w:t>zij hebben gevorderd, verzocht, verweerd, tenlastegelegd, onderbouwd, of wat zij aan stukken hebben ingebracht, d</w:t>
      </w:r>
      <w:r w:rsidRPr="00A95F37" w:rsidR="00A95F37">
        <w:rPr>
          <w:lang w:val="nl-NL"/>
        </w:rPr>
        <w:t xml:space="preserve">ie </w:t>
      </w:r>
      <w:r w:rsidRPr="00A95F37" w:rsidR="00A95F37">
        <w:rPr>
          <w:u w:val="single"/>
          <w:lang w:val="nl-NL"/>
        </w:rPr>
        <w:t>niet</w:t>
      </w:r>
      <w:r w:rsidRPr="00A95F37" w:rsidR="00A95F37">
        <w:rPr>
          <w:lang w:val="nl-NL"/>
        </w:rPr>
        <w:t xml:space="preserve"> inhoudelijk ingrijpen op de beoordeling van het geschi</w:t>
      </w:r>
      <w:r w:rsidR="00A95F37">
        <w:rPr>
          <w:lang w:val="nl-NL"/>
        </w:rPr>
        <w:t>l.</w:t>
      </w:r>
    </w:p>
    <w:p w:rsidR="00A95F37" w:rsidP="00A95F37" w:rsidRDefault="00A95F37" w14:paraId="102E50DF" w14:textId="6CC8C631">
      <w:pPr>
        <w:pStyle w:val="ListParagraph"/>
        <w:numPr>
          <w:ilvl w:val="0"/>
          <w:numId w:val="4"/>
        </w:numPr>
        <w:spacing w:line="240" w:lineRule="auto"/>
        <w:rPr>
          <w:lang w:val="nl-NL"/>
        </w:rPr>
      </w:pPr>
      <w:r w:rsidRPr="70CE58B4" w:rsidR="00A95F37">
        <w:rPr>
          <w:lang w:val="nl-NL"/>
        </w:rPr>
        <w:t>Beslissingen in eerdere instanties. W</w:t>
      </w:r>
      <w:r w:rsidRPr="70CE58B4" w:rsidR="00A95F37">
        <w:rPr>
          <w:lang w:val="nl-NL"/>
        </w:rPr>
        <w:t xml:space="preserve">at </w:t>
      </w:r>
      <w:r w:rsidRPr="70CE58B4" w:rsidR="00A95F37">
        <w:rPr>
          <w:lang w:val="nl-NL"/>
        </w:rPr>
        <w:t xml:space="preserve">rechters in eerdere instanties </w:t>
      </w:r>
      <w:r w:rsidRPr="70CE58B4" w:rsidR="00941691">
        <w:rPr>
          <w:lang w:val="nl-NL"/>
        </w:rPr>
        <w:t>van de zaak</w:t>
      </w:r>
      <w:r w:rsidRPr="70CE58B4" w:rsidR="5C07D495">
        <w:rPr>
          <w:lang w:val="nl-NL"/>
        </w:rPr>
        <w:t xml:space="preserve"> </w:t>
      </w:r>
      <w:r w:rsidRPr="70CE58B4" w:rsidR="5C07D495">
        <w:rPr>
          <w:color w:val="FF0000"/>
          <w:lang w:val="nl-NL"/>
        </w:rPr>
        <w:t>(of gevoegde</w:t>
      </w:r>
      <w:r w:rsidRPr="70CE58B4" w:rsidR="5C07D495">
        <w:rPr>
          <w:color w:val="FF0000"/>
          <w:lang w:val="nl-NL"/>
        </w:rPr>
        <w:t>(?))</w:t>
      </w:r>
      <w:r w:rsidRPr="70CE58B4" w:rsidR="5C07D495">
        <w:rPr>
          <w:lang w:val="nl-NL"/>
        </w:rPr>
        <w:t xml:space="preserve"> </w:t>
      </w:r>
      <w:r w:rsidRPr="70CE58B4" w:rsidR="00A95F37">
        <w:rPr>
          <w:lang w:val="nl-NL"/>
        </w:rPr>
        <w:t>hebben</w:t>
      </w:r>
      <w:r w:rsidRPr="70CE58B4" w:rsidR="00A95F37">
        <w:rPr>
          <w:lang w:val="nl-NL"/>
        </w:rPr>
        <w:t xml:space="preserve"> beslist</w:t>
      </w:r>
      <w:r w:rsidRPr="70CE58B4" w:rsidR="00A95F37">
        <w:rPr>
          <w:lang w:val="nl-NL"/>
        </w:rPr>
        <w:t>.</w:t>
      </w:r>
    </w:p>
    <w:p w:rsidRPr="00A95F37" w:rsidR="00506E37" w:rsidP="00A95F37" w:rsidRDefault="00506E37" w14:paraId="756917C0" w14:textId="10330408">
      <w:pPr>
        <w:pStyle w:val="ListParagraph"/>
        <w:numPr>
          <w:ilvl w:val="0"/>
          <w:numId w:val="4"/>
        </w:numPr>
        <w:spacing w:line="240" w:lineRule="auto"/>
        <w:rPr>
          <w:lang w:val="nl-NL"/>
        </w:rPr>
      </w:pPr>
      <w:r w:rsidRPr="00A95F37">
        <w:rPr>
          <w:lang w:val="nl-NL"/>
        </w:rPr>
        <w:t>Wettelijk kader. Hieronder vallen de toepasselijke wetsbepalingen, relevante jurisprudentie en andere toepasselijke regels.</w:t>
      </w:r>
    </w:p>
    <w:p w:rsidR="00755C62" w:rsidP="00755C62" w:rsidRDefault="00755C62" w14:paraId="554EB462" w14:textId="155438DC">
      <w:pPr>
        <w:pStyle w:val="ListParagraph"/>
        <w:numPr>
          <w:ilvl w:val="0"/>
          <w:numId w:val="4"/>
        </w:numPr>
        <w:spacing w:line="240" w:lineRule="auto"/>
        <w:rPr>
          <w:lang w:val="nl-NL"/>
        </w:rPr>
      </w:pPr>
      <w:r>
        <w:rPr>
          <w:lang w:val="nl-NL"/>
        </w:rPr>
        <w:t>Proceskosten. Het gaat hierbij over de beslissing wie welke proceskosten dient te dragen.</w:t>
      </w:r>
    </w:p>
    <w:p w:rsidR="00755C62" w:rsidP="00755C62" w:rsidRDefault="00755C62" w14:paraId="7FA41137" w14:textId="013E22DF">
      <w:pPr>
        <w:pStyle w:val="ListParagraph"/>
        <w:numPr>
          <w:ilvl w:val="0"/>
          <w:numId w:val="4"/>
        </w:numPr>
        <w:spacing w:line="240" w:lineRule="auto"/>
        <w:rPr>
          <w:lang w:val="nl-NL"/>
        </w:rPr>
      </w:pPr>
      <w:r>
        <w:rPr>
          <w:lang w:val="nl-NL"/>
        </w:rPr>
        <w:t>Overig.</w:t>
      </w:r>
      <w:r w:rsidR="00A95F37">
        <w:rPr>
          <w:lang w:val="nl-NL"/>
        </w:rPr>
        <w:t xml:space="preserve"> Informatie die niet onder een van bovenstaande categorieën kan worden gebracht.</w:t>
      </w:r>
    </w:p>
    <w:p w:rsidRPr="00755C62" w:rsidR="00755C62" w:rsidP="00755C62" w:rsidRDefault="00A95F37" w14:paraId="1921AF18" w14:textId="29282779">
      <w:pPr>
        <w:spacing w:line="240" w:lineRule="auto"/>
        <w:rPr>
          <w:lang w:val="nl-NL"/>
        </w:rPr>
      </w:pPr>
      <w:r w:rsidRPr="00A95F37">
        <w:rPr>
          <w:lang w:val="nl-NL"/>
        </w:rPr>
        <w:t>Afhankelijk van de aard van de zaak, kan informatie die normaal gesproken tot het procesverloop of tot proceshandelingen behoort, toch als materieel feit worden aangemerkt</w:t>
      </w:r>
      <w:r w:rsidRPr="00755C62" w:rsidR="00755C62">
        <w:rPr>
          <w:lang w:val="nl-NL"/>
        </w:rPr>
        <w:t xml:space="preserve">. </w:t>
      </w:r>
      <w:r>
        <w:rPr>
          <w:lang w:val="nl-NL"/>
        </w:rPr>
        <w:t>Bijvoorbeeld</w:t>
      </w:r>
      <w:r w:rsidRPr="00755C62" w:rsidR="00755C62">
        <w:rPr>
          <w:lang w:val="nl-NL"/>
        </w:rPr>
        <w:t xml:space="preserve">: </w:t>
      </w:r>
    </w:p>
    <w:p w:rsidRPr="000C5759" w:rsidR="00755C62" w:rsidP="00755C62" w:rsidRDefault="00755C62" w14:paraId="3C46F0E1" w14:textId="5032B4D7">
      <w:pPr>
        <w:pStyle w:val="ListParagraph"/>
        <w:numPr>
          <w:ilvl w:val="0"/>
          <w:numId w:val="2"/>
        </w:numPr>
        <w:spacing w:line="240" w:lineRule="auto"/>
        <w:rPr>
          <w:lang w:val="nl-NL"/>
        </w:rPr>
      </w:pPr>
      <w:r w:rsidRPr="000C5759">
        <w:rPr>
          <w:lang w:val="nl-NL"/>
        </w:rPr>
        <w:t xml:space="preserve">“De dagvaarding is niet ontvangen”. </w:t>
      </w:r>
      <w:r w:rsidRPr="000C5759">
        <w:rPr>
          <w:lang w:val="nl-NL"/>
        </w:rPr>
        <w:br/>
      </w:r>
      <w:r w:rsidRPr="000C5759">
        <w:rPr>
          <w:lang w:val="nl-NL"/>
        </w:rPr>
        <w:t>Normaal gesproken gaat dit over een vormfout in de procedure (</w:t>
      </w:r>
      <w:r>
        <w:rPr>
          <w:lang w:val="nl-NL"/>
        </w:rPr>
        <w:t>=procesverloop</w:t>
      </w:r>
      <w:r w:rsidRPr="000C5759">
        <w:rPr>
          <w:lang w:val="nl-NL"/>
        </w:rPr>
        <w:t xml:space="preserve">). In een klacht over schending van het recht op verdediging, kan het een materieel feit zijn (want </w:t>
      </w:r>
      <w:r>
        <w:rPr>
          <w:lang w:val="nl-NL"/>
        </w:rPr>
        <w:t>de procedurele stappen bepalen de inhoudelijke beoordeling)</w:t>
      </w:r>
      <w:r w:rsidRPr="000C5759">
        <w:rPr>
          <w:lang w:val="nl-NL"/>
        </w:rPr>
        <w:t>.</w:t>
      </w:r>
    </w:p>
    <w:p w:rsidRPr="000C5759" w:rsidR="00755C62" w:rsidP="00755C62" w:rsidRDefault="00755C62" w14:paraId="0893B452" w14:textId="77777777">
      <w:pPr>
        <w:pStyle w:val="ListParagraph"/>
        <w:numPr>
          <w:ilvl w:val="0"/>
          <w:numId w:val="2"/>
        </w:numPr>
        <w:spacing w:line="240" w:lineRule="auto"/>
        <w:rPr>
          <w:lang w:val="nl-NL"/>
        </w:rPr>
      </w:pPr>
      <w:r w:rsidRPr="000C5759">
        <w:rPr>
          <w:lang w:val="nl-NL"/>
        </w:rPr>
        <w:t xml:space="preserve">“Op 19 mei 2009 heeft Het Regionaal Tuchtcollege de maatregel van een waarschuwing opgelegd.” </w:t>
      </w:r>
      <w:r w:rsidRPr="000C5759">
        <w:rPr>
          <w:lang w:val="nl-NL"/>
        </w:rPr>
        <w:br/>
      </w:r>
      <w:r w:rsidRPr="000C5759">
        <w:rPr>
          <w:lang w:val="nl-NL"/>
        </w:rPr>
        <w:t>Dit kan een procedureel feit zijn, maar in een zaak over de aansprakelijkheid van een ziekenhuis/arts is dit feit van belang voor de beoordeling van het geschil.</w:t>
      </w:r>
    </w:p>
    <w:p w:rsidRPr="000C5759" w:rsidR="00755C62" w:rsidP="00755C62" w:rsidRDefault="00755C62" w14:paraId="25795355" w14:textId="77777777">
      <w:pPr>
        <w:pStyle w:val="ListParagraph"/>
        <w:numPr>
          <w:ilvl w:val="0"/>
          <w:numId w:val="2"/>
        </w:numPr>
        <w:spacing w:line="240" w:lineRule="auto"/>
        <w:rPr>
          <w:lang w:val="nl-NL"/>
        </w:rPr>
      </w:pPr>
      <w:r w:rsidRPr="000C5759">
        <w:rPr>
          <w:lang w:val="nl-NL"/>
        </w:rPr>
        <w:t xml:space="preserve">“Het Hof Amsterdam heeft gedaagde </w:t>
      </w:r>
      <w:r>
        <w:rPr>
          <w:lang w:val="nl-NL"/>
        </w:rPr>
        <w:t xml:space="preserve">in de strafzaak </w:t>
      </w:r>
      <w:r w:rsidRPr="000C5759">
        <w:rPr>
          <w:lang w:val="nl-NL"/>
        </w:rPr>
        <w:t>veroordeeld.”</w:t>
      </w:r>
      <w:r w:rsidRPr="000C5759">
        <w:rPr>
          <w:lang w:val="nl-NL"/>
        </w:rPr>
        <w:br/>
      </w:r>
      <w:r w:rsidRPr="000C5759">
        <w:rPr>
          <w:lang w:val="nl-NL"/>
        </w:rPr>
        <w:t>Dit kan een procedureel feit zijn (bv. in cassatie), maar als het gaat om de aansprakelijkheid van de verdachte, is het een materieel feit (want de veroordeling is relevant voor de aansprakelijkheid).</w:t>
      </w:r>
    </w:p>
    <w:p w:rsidRPr="000C5759" w:rsidR="00F05DC0" w:rsidP="000C5759" w:rsidRDefault="00941691" w14:paraId="15318FDA" w14:textId="7A321396">
      <w:pPr>
        <w:spacing w:line="240" w:lineRule="auto"/>
        <w:rPr>
          <w:lang w:val="nl-NL"/>
        </w:rPr>
      </w:pPr>
      <w:r>
        <w:rPr>
          <w:lang w:val="nl-NL"/>
        </w:rPr>
        <w:t>Het annoteren dient te gebeuren door een of meerdere zinnen te annoteren.</w:t>
      </w:r>
    </w:p>
    <w:sectPr w:rsidRPr="000C5759" w:rsidR="00F05DC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614"/>
    <w:multiLevelType w:val="multilevel"/>
    <w:tmpl w:val="BF4C5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F8A2380"/>
    <w:multiLevelType w:val="hybridMultilevel"/>
    <w:tmpl w:val="43F4604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3520543E"/>
    <w:multiLevelType w:val="hybridMultilevel"/>
    <w:tmpl w:val="FD0C4A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58131D07"/>
    <w:multiLevelType w:val="hybridMultilevel"/>
    <w:tmpl w:val="1620434A"/>
    <w:lvl w:ilvl="0" w:tplc="D2F468E2">
      <w:numFmt w:val="bullet"/>
      <w:lvlText w:val="-"/>
      <w:lvlJc w:val="left"/>
      <w:pPr>
        <w:ind w:left="360" w:hanging="360"/>
      </w:pPr>
      <w:rPr>
        <w:rFonts w:hint="default" w:ascii="Aptos" w:hAnsi="Aptos" w:eastAsiaTheme="minorHAnsi" w:cstheme="minorBidi"/>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num w:numId="1" w16cid:durableId="67850541">
    <w:abstractNumId w:val="0"/>
  </w:num>
  <w:num w:numId="2" w16cid:durableId="1728795605">
    <w:abstractNumId w:val="3"/>
  </w:num>
  <w:num w:numId="3" w16cid:durableId="2104059903">
    <w:abstractNumId w:val="2"/>
  </w:num>
  <w:num w:numId="4" w16cid:durableId="199112867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C0"/>
    <w:rsid w:val="00097EFA"/>
    <w:rsid w:val="000C5759"/>
    <w:rsid w:val="00153BC7"/>
    <w:rsid w:val="002E6858"/>
    <w:rsid w:val="004C0072"/>
    <w:rsid w:val="00506E37"/>
    <w:rsid w:val="005B4957"/>
    <w:rsid w:val="00755C62"/>
    <w:rsid w:val="00767127"/>
    <w:rsid w:val="00941691"/>
    <w:rsid w:val="00A06D59"/>
    <w:rsid w:val="00A95F37"/>
    <w:rsid w:val="00D000CC"/>
    <w:rsid w:val="00F0200A"/>
    <w:rsid w:val="00F05DC0"/>
    <w:rsid w:val="16287FF8"/>
    <w:rsid w:val="3AA0CF98"/>
    <w:rsid w:val="43A8F33F"/>
    <w:rsid w:val="54D21B9C"/>
    <w:rsid w:val="5C07D495"/>
    <w:rsid w:val="6B654820"/>
    <w:rsid w:val="70CE58B4"/>
    <w:rsid w:val="7C7CF237"/>
    <w:rsid w:val="7E0AC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41192"/>
  <w15:chartTrackingRefBased/>
  <w15:docId w15:val="{32C58BED-B315-4F11-A139-F21026E830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55C62"/>
  </w:style>
  <w:style w:type="paragraph" w:styleId="Heading1">
    <w:name w:val="heading 1"/>
    <w:basedOn w:val="Normal"/>
    <w:next w:val="Normal"/>
    <w:link w:val="Heading1Char"/>
    <w:uiPriority w:val="9"/>
    <w:qFormat/>
    <w:rsid w:val="00F05DC0"/>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05DC0"/>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05DC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05DC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05DC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5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D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05DC0"/>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semiHidden/>
    <w:rsid w:val="00F05DC0"/>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F05DC0"/>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F05DC0"/>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F05DC0"/>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F05D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05D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05D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05DC0"/>
    <w:rPr>
      <w:rFonts w:eastAsiaTheme="majorEastAsia" w:cstheme="majorBidi"/>
      <w:color w:val="272727" w:themeColor="text1" w:themeTint="D8"/>
    </w:rPr>
  </w:style>
  <w:style w:type="paragraph" w:styleId="Title">
    <w:name w:val="Title"/>
    <w:basedOn w:val="Normal"/>
    <w:next w:val="Normal"/>
    <w:link w:val="TitleChar"/>
    <w:uiPriority w:val="10"/>
    <w:qFormat/>
    <w:rsid w:val="00F05D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05D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05D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05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DC0"/>
    <w:pPr>
      <w:spacing w:before="160"/>
      <w:jc w:val="center"/>
    </w:pPr>
    <w:rPr>
      <w:i/>
      <w:iCs/>
      <w:color w:val="404040" w:themeColor="text1" w:themeTint="BF"/>
    </w:rPr>
  </w:style>
  <w:style w:type="character" w:styleId="QuoteChar" w:customStyle="1">
    <w:name w:val="Quote Char"/>
    <w:basedOn w:val="DefaultParagraphFont"/>
    <w:link w:val="Quote"/>
    <w:uiPriority w:val="29"/>
    <w:rsid w:val="00F05DC0"/>
    <w:rPr>
      <w:i/>
      <w:iCs/>
      <w:color w:val="404040" w:themeColor="text1" w:themeTint="BF"/>
    </w:rPr>
  </w:style>
  <w:style w:type="paragraph" w:styleId="ListParagraph">
    <w:name w:val="List Paragraph"/>
    <w:basedOn w:val="Normal"/>
    <w:uiPriority w:val="34"/>
    <w:qFormat/>
    <w:rsid w:val="00F05DC0"/>
    <w:pPr>
      <w:ind w:left="720"/>
      <w:contextualSpacing/>
    </w:pPr>
  </w:style>
  <w:style w:type="character" w:styleId="IntenseEmphasis">
    <w:name w:val="Intense Emphasis"/>
    <w:basedOn w:val="DefaultParagraphFont"/>
    <w:uiPriority w:val="21"/>
    <w:qFormat/>
    <w:rsid w:val="00F05DC0"/>
    <w:rPr>
      <w:i/>
      <w:iCs/>
      <w:color w:val="2E74B5" w:themeColor="accent1" w:themeShade="BF"/>
    </w:rPr>
  </w:style>
  <w:style w:type="paragraph" w:styleId="IntenseQuote">
    <w:name w:val="Intense Quote"/>
    <w:basedOn w:val="Normal"/>
    <w:next w:val="Normal"/>
    <w:link w:val="IntenseQuoteChar"/>
    <w:uiPriority w:val="30"/>
    <w:qFormat/>
    <w:rsid w:val="00F05DC0"/>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F05DC0"/>
    <w:rPr>
      <w:i/>
      <w:iCs/>
      <w:color w:val="2E74B5" w:themeColor="accent1" w:themeShade="BF"/>
    </w:rPr>
  </w:style>
  <w:style w:type="character" w:styleId="IntenseReference">
    <w:name w:val="Intense Reference"/>
    <w:basedOn w:val="DefaultParagraphFont"/>
    <w:uiPriority w:val="32"/>
    <w:qFormat/>
    <w:rsid w:val="00F05DC0"/>
    <w:rPr>
      <w:b/>
      <w:bCs/>
      <w:smallCaps/>
      <w:color w:val="2E74B5" w:themeColor="accent1" w:themeShade="BF"/>
      <w:spacing w:val="5"/>
    </w:rPr>
  </w:style>
  <w:style w:type="paragraph" w:styleId="NormalWeb">
    <w:name w:val="Normal (Web)"/>
    <w:basedOn w:val="Normal"/>
    <w:uiPriority w:val="99"/>
    <w:semiHidden/>
    <w:unhideWhenUsed/>
    <w:rsid w:val="00A95F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5335">
      <w:bodyDiv w:val="1"/>
      <w:marLeft w:val="0"/>
      <w:marRight w:val="0"/>
      <w:marTop w:val="0"/>
      <w:marBottom w:val="0"/>
      <w:divBdr>
        <w:top w:val="none" w:sz="0" w:space="0" w:color="auto"/>
        <w:left w:val="none" w:sz="0" w:space="0" w:color="auto"/>
        <w:bottom w:val="none" w:sz="0" w:space="0" w:color="auto"/>
        <w:right w:val="none" w:sz="0" w:space="0" w:color="auto"/>
      </w:divBdr>
    </w:div>
    <w:div w:id="491792945">
      <w:bodyDiv w:val="1"/>
      <w:marLeft w:val="0"/>
      <w:marRight w:val="0"/>
      <w:marTop w:val="0"/>
      <w:marBottom w:val="0"/>
      <w:divBdr>
        <w:top w:val="none" w:sz="0" w:space="0" w:color="auto"/>
        <w:left w:val="none" w:sz="0" w:space="0" w:color="auto"/>
        <w:bottom w:val="none" w:sz="0" w:space="0" w:color="auto"/>
        <w:right w:val="none" w:sz="0" w:space="0" w:color="auto"/>
      </w:divBdr>
    </w:div>
    <w:div w:id="552892620">
      <w:bodyDiv w:val="1"/>
      <w:marLeft w:val="0"/>
      <w:marRight w:val="0"/>
      <w:marTop w:val="0"/>
      <w:marBottom w:val="0"/>
      <w:divBdr>
        <w:top w:val="none" w:sz="0" w:space="0" w:color="auto"/>
        <w:left w:val="none" w:sz="0" w:space="0" w:color="auto"/>
        <w:bottom w:val="none" w:sz="0" w:space="0" w:color="auto"/>
        <w:right w:val="none" w:sz="0" w:space="0" w:color="auto"/>
      </w:divBdr>
    </w:div>
    <w:div w:id="1321884366">
      <w:bodyDiv w:val="1"/>
      <w:marLeft w:val="0"/>
      <w:marRight w:val="0"/>
      <w:marTop w:val="0"/>
      <w:marBottom w:val="0"/>
      <w:divBdr>
        <w:top w:val="none" w:sz="0" w:space="0" w:color="auto"/>
        <w:left w:val="none" w:sz="0" w:space="0" w:color="auto"/>
        <w:bottom w:val="none" w:sz="0" w:space="0" w:color="auto"/>
        <w:right w:val="none" w:sz="0" w:space="0" w:color="auto"/>
      </w:divBdr>
    </w:div>
    <w:div w:id="186366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Maastricht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Gijs van Dijck</dc:creator>
  <keywords/>
  <dc:description/>
  <lastModifiedBy>Hoeben-Kuil, Lyra (PR)</lastModifiedBy>
  <revision>2</revision>
  <dcterms:created xsi:type="dcterms:W3CDTF">2025-05-27T10:45:00.0000000Z</dcterms:created>
  <dcterms:modified xsi:type="dcterms:W3CDTF">2025-05-28T13:26:14.4955020Z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04ba8c98-e566-4e8a-b0c0-e239a2450242</vt:lpwstr>
  </property>
</Properties>
</file>