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D5 — Learning &amp; Challenges Report</w:t>
      </w:r>
    </w:p>
    <w:p>
      <w:pPr>
        <w:spacing w:after="300"/>
      </w:pPr>
      <w:r>
        <w:rPr>
          <w:rFonts w:ascii="Arial" w:cs="Arial" w:eastAsia="Arial" w:hAnsi="Arial"/>
          <w:i/>
          <w:iCs/>
          <w:color w:val="666666"/>
          <w:sz w:val="20"/>
          <w:szCs w:val="20"/>
        </w:rPr>
        <w:t xml:space="preserve">AI Subscription &amp; Auto-Debit Intelligence System  |  Team 7 — Mansi &amp; Samyak  |  April 2026</w:t>
      </w:r>
    </w:p>
    <w:p>
      <w:pPr>
        <w:pStyle w:val="Heading1"/>
        <w:pBdr>
          <w:bottom w:val="single" w:color="1F3864" w:sz="6" w:space="1"/>
        </w:pBdr>
        <w:spacing w:after="120" w:before="300"/>
      </w:pPr>
      <w:r>
        <w:rPr>
          <w:rFonts w:ascii="Arial" w:cs="Arial" w:eastAsia="Arial" w:hAnsi="Arial"/>
          <w:b/>
          <w:bCs/>
          <w:color w:val="1F3864"/>
          <w:sz w:val="32"/>
          <w:szCs w:val="32"/>
        </w:rPr>
        <w:t xml:space="preserve">Section 1 — What I Learned Technically</w:t>
      </w:r>
    </w:p>
    <w:p>
      <w:pPr>
        <w:spacing w:after="80" w:before="180"/>
      </w:pPr>
      <w:r>
        <w:rPr>
          <w:rFonts w:ascii="Arial" w:cs="Arial" w:eastAsia="Arial" w:hAnsi="Arial"/>
          <w:b/>
          <w:bCs/>
          <w:color w:val="1F3864"/>
          <w:sz w:val="22"/>
          <w:szCs w:val="22"/>
        </w:rPr>
        <w:t xml:space="preserve">1.1 NLP Pipeline Design — spaCy + TF-IDF + Logistic Regression</w:t>
      </w:r>
    </w:p>
    <w:p>
      <w:pPr>
        <w:spacing w:after="80"/>
      </w:pPr>
      <w:r>
        <w:rPr>
          <w:rFonts w:ascii="Arial" w:cs="Arial" w:eastAsia="Arial" w:hAnsi="Arial"/>
          <w:sz w:val="22"/>
          <w:szCs w:val="22"/>
        </w:rPr>
        <w:t xml:space="preserve">Before this project, I had used pre-built models but had never built a text classification pipeline from scratch. I learned how TF-IDF converts transaction descriptions into sparse numerical vectors — specifically how ngram_range=(1,3) captures multi-word patterns like 'MONTHLY SUB' as a single feature rather than two separate tokens. I also learned why sublinear_tf=True matters: it prevents high-frequency common words from dominating the feature space. Using spaCy's en_core_web_sm model for lemmatization — converting 'subscriptions' to 'subscription' — was new to me, and I saw directly how it reduced vocabulary size and improved model consistency.</w:t>
      </w:r>
    </w:p>
    <w:p>
      <w:pPr>
        <w:spacing w:after="80"/>
      </w:pPr>
      <w:r>
        <w:rPr>
          <w:rFonts w:ascii="Arial" w:cs="Arial" w:eastAsia="Arial" w:hAnsi="Arial"/>
          <w:sz w:val="22"/>
          <w:szCs w:val="22"/>
        </w:rPr>
        <w:t xml:space="preserve">The concept of class_weight='balanced' in Logistic Regression was something I had read about but never applied. Seeing it fix the imbalanced dataset issue (54.7% subscriptions vs 45.3% non-subscriptions) in practice made the theory click.</w:t>
      </w:r>
    </w:p>
    <w:p>
      <w:pPr>
        <w:spacing w:after="80" w:before="180"/>
      </w:pPr>
      <w:r>
        <w:rPr>
          <w:rFonts w:ascii="Arial" w:cs="Arial" w:eastAsia="Arial" w:hAnsi="Arial"/>
          <w:b/>
          <w:bCs/>
          <w:color w:val="1F3864"/>
          <w:sz w:val="22"/>
          <w:szCs w:val="22"/>
        </w:rPr>
        <w:t xml:space="preserve">1.2 ARIMA Time Series Modeling — Stationarity and Order Selection</w:t>
      </w:r>
    </w:p>
    <w:p>
      <w:pPr>
        <w:spacing w:after="80"/>
      </w:pPr>
      <w:r>
        <w:rPr>
          <w:rFonts w:ascii="Arial" w:cs="Arial" w:eastAsia="Arial" w:hAnsi="Arial"/>
          <w:sz w:val="22"/>
          <w:szCs w:val="22"/>
        </w:rPr>
        <w:t xml:space="preserve">ARIMA was the most conceptually challenging component. I had to understand what p, d, and q each control independently before I could diagnose the bug in our initial ARIMA(1,1,1) implementation. I learned that d=1 (differencing) is appropriate only when data has a trend or drift — for example, stock prices that keep rising. Subscription amounts like Netflix at Rs645/month are stationary (they hover around a stable mean), so applying d=1 destroyed the baseline information. Correcting to ARIMA(1,0,0) — AR(1) with no differencing — was a breakthrough moment that taught me to always check stationarity before selecting ARIMA parameters.</w:t>
      </w:r>
    </w:p>
    <w:p>
      <w:pPr>
        <w:spacing w:after="80"/>
      </w:pPr>
      <w:r>
        <w:rPr>
          <w:rFonts w:ascii="Arial" w:cs="Arial" w:eastAsia="Arial" w:hAnsi="Arial"/>
          <w:sz w:val="22"/>
          <w:szCs w:val="22"/>
        </w:rPr>
        <w:t xml:space="preserve">I also learned how to blend predictions: 70% Linear Regression extrapolation on ordinal dates + 30% median gap produces more stable date predictions than either method alone.</w:t>
      </w:r>
    </w:p>
    <w:p>
      <w:pPr>
        <w:spacing w:after="80" w:before="180"/>
      </w:pPr>
      <w:r>
        <w:rPr>
          <w:rFonts w:ascii="Arial" w:cs="Arial" w:eastAsia="Arial" w:hAnsi="Arial"/>
          <w:b/>
          <w:bCs/>
          <w:color w:val="1F3864"/>
          <w:sz w:val="22"/>
          <w:szCs w:val="22"/>
        </w:rPr>
        <w:t xml:space="preserve">1.3 Gradient Boosting and Ensemble Learning</w:t>
      </w:r>
    </w:p>
    <w:p>
      <w:pPr>
        <w:spacing w:after="80"/>
      </w:pPr>
      <w:r>
        <w:rPr>
          <w:rFonts w:ascii="Arial" w:cs="Arial" w:eastAsia="Arial" w:hAnsi="Arial"/>
          <w:sz w:val="22"/>
          <w:szCs w:val="22"/>
        </w:rPr>
        <w:t xml:space="preserve">I learned that Gradient Boosting builds decision trees sequentially — each tree correcting the errors of the previous one — and why this makes it powerful for tabular risk data with non-linear feature interactions. I also learned to use sklearn.pipeline.Pipeline to chain StandardScaler → GradientBoostingClassifier in one object, which prevents data leakage (the scaler is fit only on training data) and makes saving the model with joblib trivially simple.</w:t>
      </w:r>
    </w:p>
    <w:p>
      <w:pPr>
        <w:spacing w:after="80"/>
      </w:pPr>
      <w:r>
        <w:rPr>
          <w:rFonts w:ascii="Arial" w:cs="Arial" w:eastAsia="Arial" w:hAnsi="Arial"/>
          <w:sz w:val="22"/>
          <w:szCs w:val="22"/>
        </w:rPr>
        <w:t xml:space="preserve">The feature importance concept was practically valuable: I could check which of the 8 features actually drove the risk predictions, confirming our domain-justified weights were reasonable.</w:t>
      </w:r>
    </w:p>
    <w:p>
      <w:pPr>
        <w:spacing w:after="80" w:before="180"/>
      </w:pPr>
      <w:r>
        <w:rPr>
          <w:rFonts w:ascii="Arial" w:cs="Arial" w:eastAsia="Arial" w:hAnsi="Arial"/>
          <w:b/>
          <w:bCs/>
          <w:color w:val="1F3864"/>
          <w:sz w:val="22"/>
          <w:szCs w:val="22"/>
        </w:rPr>
        <w:t xml:space="preserve">1.4 Streamlit Dashboard Development</w:t>
      </w:r>
    </w:p>
    <w:p>
      <w:pPr>
        <w:spacing w:after="80"/>
      </w:pPr>
      <w:r>
        <w:rPr>
          <w:rFonts w:ascii="Arial" w:cs="Arial" w:eastAsia="Arial" w:hAnsi="Arial"/>
          <w:sz w:val="22"/>
          <w:szCs w:val="22"/>
        </w:rPr>
        <w:t xml:space="preserve">I had not used Streamlit before. I learned how st.session_state persists data across reruns (critical for the login system), how @st.cache_data prevents reloading CSV files on every interaction, and the difference between st.tabs() and st.sidebar() for navigation. I also learned that use_container_width is deprecated in newer versions and migrated to st.container(border=True) for card-style layouts.</w:t>
      </w:r>
    </w:p>
    <w:p>
      <w:pPr>
        <w:spacing w:after="80" w:before="180"/>
      </w:pPr>
      <w:r>
        <w:rPr>
          <w:rFonts w:ascii="Arial" w:cs="Arial" w:eastAsia="Arial" w:hAnsi="Arial"/>
          <w:b/>
          <w:bCs/>
          <w:color w:val="1F3864"/>
          <w:sz w:val="22"/>
          <w:szCs w:val="22"/>
        </w:rPr>
        <w:t xml:space="preserve">1.5 Machine Learning Engineering — Pipelines, Serialisation, and Modular Code</w:t>
      </w:r>
    </w:p>
    <w:p>
      <w:pPr>
        <w:spacing w:after="80"/>
      </w:pPr>
      <w:r>
        <w:rPr>
          <w:rFonts w:ascii="Arial" w:cs="Arial" w:eastAsia="Arial" w:hAnsi="Arial"/>
          <w:sz w:val="22"/>
          <w:szCs w:val="22"/>
        </w:rPr>
        <w:t xml:space="preserve">This was my first project where I connected 9 modules end-to-end with a formal file I/O contract — each module reads the previous module's CSV and writes its own. I learned to use joblib.dump() and joblib.load() for saving trained models as .pkl files so the dashboard can perform inference without retraining. This concept of separating training time from inference time is fundamental to production ML systems.</w:t>
      </w:r>
    </w:p>
    <w:p>
      <w:pPr>
        <w:spacing w:after="80"/>
      </w:pPr>
      <w:r>
        <w:t xml:space="preserve"/>
      </w:r>
    </w:p>
    <w:p>
      <w:pPr>
        <w:pStyle w:val="Heading1"/>
        <w:pBdr>
          <w:bottom w:val="single" w:color="1F3864" w:sz="6" w:space="1"/>
        </w:pBdr>
        <w:spacing w:after="120" w:before="300"/>
      </w:pPr>
      <w:r>
        <w:rPr>
          <w:rFonts w:ascii="Arial" w:cs="Arial" w:eastAsia="Arial" w:hAnsi="Arial"/>
          <w:b/>
          <w:bCs/>
          <w:color w:val="1F3864"/>
          <w:sz w:val="32"/>
          <w:szCs w:val="32"/>
        </w:rPr>
        <w:t xml:space="preserve">Section 2 — What Was Challenging</w:t>
      </w:r>
    </w:p>
    <w:p>
      <w:pPr>
        <w:spacing w:after="80" w:before="180"/>
      </w:pPr>
      <w:r>
        <w:rPr>
          <w:rFonts w:ascii="Arial" w:cs="Arial" w:eastAsia="Arial" w:hAnsi="Arial"/>
          <w:b/>
          <w:bCs/>
          <w:color w:val="1F3864"/>
          <w:sz w:val="22"/>
          <w:szCs w:val="22"/>
        </w:rPr>
        <w:t xml:space="preserve">2.1 The Risk Score Collapse Bug (FR6)</w:t>
      </w:r>
    </w:p>
    <w:p>
      <w:pPr>
        <w:spacing w:after="80"/>
      </w:pPr>
      <w:r>
        <w:rPr>
          <w:rFonts w:ascii="Arial" w:cs="Arial" w:eastAsia="Arial" w:hAnsi="Arial"/>
          <w:sz w:val="22"/>
          <w:szCs w:val="22"/>
        </w:rPr>
        <w:t xml:space="preserve">The most technically difficult challenge was diagnosing the Gradient Boosting risk score collapse. After training the model and computing the composite risk scores, almost all 1,200 customers were scoring either near 0.0 or near 1.0 — the distribution was bimodal rather than spread across Low, Medium, and High. This made the risk system meaningless.</w:t>
      </w:r>
    </w:p>
    <w:p>
      <w:pPr>
        <w:spacing w:after="80"/>
      </w:pPr>
      <w:r>
        <w:rPr>
          <w:rFonts w:ascii="Arial" w:cs="Arial" w:eastAsia="Arial" w:hAnsi="Arial"/>
          <w:sz w:val="22"/>
          <w:szCs w:val="22"/>
        </w:rPr>
        <w:t xml:space="preserve">The challenge was identifying the root cause. The Gradient Boosting model itself was training correctly — the issue was in the composite_score() function that combined the 4 normalised features. I had used hard-coded absolute thresholds like 'if Failed_Debit_Rate &gt; 0.10 → high component.' The problem: a customer earning Rs5,000/month who fails 1 of 10 debits is genuinely high risk, but a customer earning Rs500,000/month failing 1 of 10 debits may not be — the same absolute value carries different risk depending on context. Hard-coded thresholds are blind to income level.</w:t>
      </w:r>
    </w:p>
    <w:p>
      <w:pPr>
        <w:spacing w:after="80"/>
      </w:pPr>
      <w:r>
        <w:rPr>
          <w:rFonts w:ascii="Arial" w:cs="Arial" w:eastAsia="Arial" w:hAnsi="Arial"/>
          <w:sz w:val="22"/>
          <w:szCs w:val="22"/>
        </w:rPr>
        <w:t xml:space="preserve">I struggled for several hours before realising the solution required dataset-relative normalisation rather than absolute values.</w:t>
      </w:r>
    </w:p>
    <w:p>
      <w:pPr>
        <w:spacing w:after="80" w:before="180"/>
      </w:pPr>
      <w:r>
        <w:rPr>
          <w:rFonts w:ascii="Arial" w:cs="Arial" w:eastAsia="Arial" w:hAnsi="Arial"/>
          <w:b/>
          <w:bCs/>
          <w:color w:val="1F3864"/>
          <w:sz w:val="22"/>
          <w:szCs w:val="22"/>
        </w:rPr>
        <w:t xml:space="preserve">2.2 ARIMA Order Selection (FR5)</w:t>
      </w:r>
    </w:p>
    <w:p>
      <w:pPr>
        <w:spacing w:after="80"/>
      </w:pPr>
      <w:r>
        <w:rPr>
          <w:rFonts w:ascii="Arial" w:cs="Arial" w:eastAsia="Arial" w:hAnsi="Arial"/>
          <w:sz w:val="22"/>
          <w:szCs w:val="22"/>
        </w:rPr>
        <w:t xml:space="preserve">I initially implemented ARIMA(1,1,1) following a general-purpose recommendation. The predictions for subscription amounts were unstable — for Netflix at Rs645/month, the model was predicting Rs612 one month and Rs681 the next, with no consistency. I did not immediately understand why.</w:t>
      </w:r>
    </w:p>
    <w:p>
      <w:pPr>
        <w:spacing w:after="80"/>
      </w:pPr>
      <w:r>
        <w:rPr>
          <w:rFonts w:ascii="Arial" w:cs="Arial" w:eastAsia="Arial" w:hAnsi="Arial"/>
          <w:sz w:val="22"/>
          <w:szCs w:val="22"/>
        </w:rPr>
        <w:t xml:space="preserve">The challenge was that I did not know to check stationarity before selecting the d parameter. I spent time re-reading ARIMA theory and eventually understood that d=1 was transforming [645, 644, 646, 643...] into [−1, +2, −3...] — a series of tiny noise values. The model was then trying to forecast the next noise value, which is inherently unpredictable.</w:t>
      </w:r>
    </w:p>
    <w:p>
      <w:pPr>
        <w:spacing w:after="80" w:before="180"/>
      </w:pPr>
      <w:r>
        <w:rPr>
          <w:rFonts w:ascii="Arial" w:cs="Arial" w:eastAsia="Arial" w:hAnsi="Arial"/>
          <w:b/>
          <w:bCs/>
          <w:color w:val="1F3864"/>
          <w:sz w:val="22"/>
          <w:szCs w:val="22"/>
        </w:rPr>
        <w:t xml:space="preserve">2.3 Dashboard Code Bloat and Deprecation Warnings</w:t>
      </w:r>
    </w:p>
    <w:p>
      <w:pPr>
        <w:spacing w:after="80"/>
      </w:pPr>
      <w:r>
        <w:rPr>
          <w:rFonts w:ascii="Arial" w:cs="Arial" w:eastAsia="Arial" w:hAnsi="Arial"/>
          <w:sz w:val="22"/>
          <w:szCs w:val="22"/>
        </w:rPr>
        <w:t xml:space="preserve">The dashboard grew to 1,800 lines because I kept the old version as commented-out code at the bottom 'for reference.' This made the file unreadable and introduced confusion about which version was active. Additionally, the use_container_width parameter was generating deprecation warnings in the Streamlit console on every page load, which made the output noisy and raised questions about future compatibility.</w:t>
      </w:r>
    </w:p>
    <w:p>
      <w:pPr>
        <w:spacing w:after="80" w:before="180"/>
      </w:pPr>
      <w:r>
        <w:rPr>
          <w:rFonts w:ascii="Arial" w:cs="Arial" w:eastAsia="Arial" w:hAnsi="Arial"/>
          <w:b/>
          <w:bCs/>
          <w:color w:val="1F3864"/>
          <w:sz w:val="22"/>
          <w:szCs w:val="22"/>
        </w:rPr>
        <w:t xml:space="preserve">2.4 Merging Pre-trained and Pipeline Modes in FR3</w:t>
      </w:r>
    </w:p>
    <w:p>
      <w:pPr>
        <w:spacing w:after="80"/>
      </w:pPr>
      <w:r>
        <w:rPr>
          <w:rFonts w:ascii="Arial" w:cs="Arial" w:eastAsia="Arial" w:hAnsi="Arial"/>
          <w:sz w:val="22"/>
          <w:szCs w:val="22"/>
        </w:rPr>
        <w:t xml:space="preserve">The NLP module (FR3) had two separate operating modes: a training mode called during pipeline execution, and an inference mode needed by the dashboard's 'Add New Customer' tab. These were written as separate functions that did not share state — the dashboard could not load the trained model without re-running the entire pipeline. Merging these into a single detect_subscription() function with a load-if-exists / train-if-missing design pattern required refactoring both the module and the dashboard.</w:t>
      </w:r>
    </w:p>
    <w:p>
      <w:pPr>
        <w:spacing w:after="80"/>
      </w:pPr>
      <w:r>
        <w:t xml:space="preserve"/>
      </w:r>
    </w:p>
    <w:p>
      <w:pPr>
        <w:pStyle w:val="Heading1"/>
        <w:pBdr>
          <w:bottom w:val="single" w:color="1F3864" w:sz="6" w:space="1"/>
        </w:pBdr>
        <w:spacing w:after="120" w:before="300"/>
      </w:pPr>
      <w:r>
        <w:rPr>
          <w:rFonts w:ascii="Arial" w:cs="Arial" w:eastAsia="Arial" w:hAnsi="Arial"/>
          <w:b/>
          <w:bCs/>
          <w:color w:val="1F3864"/>
          <w:sz w:val="32"/>
          <w:szCs w:val="32"/>
        </w:rPr>
        <w:t xml:space="preserve">Section 3 — How I Resolved Challenges</w:t>
      </w:r>
    </w:p>
    <w:p>
      <w:pPr>
        <w:spacing w:after="80" w:before="180"/>
      </w:pPr>
      <w:r>
        <w:rPr>
          <w:rFonts w:ascii="Arial" w:cs="Arial" w:eastAsia="Arial" w:hAnsi="Arial"/>
          <w:b/>
          <w:bCs/>
          <w:color w:val="1F3864"/>
          <w:sz w:val="22"/>
          <w:szCs w:val="22"/>
        </w:rPr>
        <w:t xml:space="preserve">3.1 Risk Score Collapse — 95th-Percentile Normalisation</w:t>
      </w:r>
    </w:p>
    <w:p>
      <w:pPr>
        <w:spacing w:after="80"/>
      </w:pPr>
      <w:r>
        <w:rPr>
          <w:rFonts w:ascii="Arial" w:cs="Arial" w:eastAsia="Arial" w:hAnsi="Arial"/>
          <w:sz w:val="22"/>
          <w:szCs w:val="22"/>
        </w:rPr>
        <w:t xml:space="preserve">The fix was to replace hard-coded absolute thresholds with dataset-relative percentile anchors. Instead of dividing by a fixed constant, I normalise each feature by its 95th percentile value computed from the current dataset: normalised_value = feature_value / percentile_95(feature). This means 'high risk' = 'in the top 5% of this population' rather than 'above a fixed threshold.'</w:t>
      </w:r>
    </w:p>
    <w:p>
      <w:pPr>
        <w:spacing w:after="80"/>
      </w:pPr>
      <w:r>
        <w:rPr>
          <w:rFonts w:ascii="Arial" w:cs="Arial" w:eastAsia="Arial" w:hAnsi="Arial"/>
          <w:sz w:val="22"/>
          <w:szCs w:val="22"/>
        </w:rPr>
        <w:t xml:space="preserve">I tested this by computing the score distribution before and after the fix. Before: 80% of customers scored &gt;0.85 or &lt;0.15. After: a realistic bell-curve centred around 0.48, with 259 High / 595 Medium / 346 Low — matching expected banking distribution patterns.</w:t>
      </w:r>
    </w:p>
    <w:p>
      <w:pPr>
        <w:spacing w:after="80" w:before="180"/>
      </w:pPr>
      <w:r>
        <w:rPr>
          <w:rFonts w:ascii="Arial" w:cs="Arial" w:eastAsia="Arial" w:hAnsi="Arial"/>
          <w:b/>
          <w:bCs/>
          <w:color w:val="1F3864"/>
          <w:sz w:val="22"/>
          <w:szCs w:val="22"/>
        </w:rPr>
        <w:t xml:space="preserve">3.2 ARIMA Order — Stationarity Check</w:t>
      </w:r>
    </w:p>
    <w:p>
      <w:pPr>
        <w:spacing w:after="80"/>
      </w:pPr>
      <w:r>
        <w:rPr>
          <w:rFonts w:ascii="Arial" w:cs="Arial" w:eastAsia="Arial" w:hAnsi="Arial"/>
          <w:sz w:val="22"/>
          <w:szCs w:val="22"/>
        </w:rPr>
        <w:t xml:space="preserve">I computed the standard deviation and mean of Netflix amounts across all 18 months: mean = Rs645.62, std = Rs15.18. This confirmed the data was stationary (small std relative to mean, no upward/downward trend). I then corrected the order to ARIMA(1,0,0) — AR(1) with no differencing. The fix immediately produced stable predictions: Rs645.29 for July 2024 versus an actual mean of Rs645.62. 99.97% of all 3,068 predictions then used ARIMA(1,0,0) successfully.</w:t>
      </w:r>
    </w:p>
    <w:p>
      <w:pPr>
        <w:spacing w:after="80"/>
      </w:pPr>
      <w:r>
        <w:rPr>
          <w:rFonts w:ascii="Arial" w:cs="Arial" w:eastAsia="Arial" w:hAnsi="Arial"/>
          <w:sz w:val="22"/>
          <w:szCs w:val="22"/>
        </w:rPr>
        <w:t xml:space="preserve">What did not work: I first tried ARIMA(2,0,0) (using 2 previous values) but it produced almost identical results to AR(1) with slightly more computational cost. I settled on (1,0,0) as the simplest effective choice.</w:t>
      </w:r>
    </w:p>
    <w:p>
      <w:pPr>
        <w:spacing w:after="80" w:before="180"/>
      </w:pPr>
      <w:r>
        <w:rPr>
          <w:rFonts w:ascii="Arial" w:cs="Arial" w:eastAsia="Arial" w:hAnsi="Arial"/>
          <w:b/>
          <w:bCs/>
          <w:color w:val="1F3864"/>
          <w:sz w:val="22"/>
          <w:szCs w:val="22"/>
        </w:rPr>
        <w:t xml:space="preserve">3.3 Dashboard — Dead Code Removal and Deprecation Fix</w:t>
      </w:r>
    </w:p>
    <w:p>
      <w:pPr>
        <w:spacing w:after="80"/>
      </w:pPr>
      <w:r>
        <w:rPr>
          <w:rFonts w:ascii="Arial" w:cs="Arial" w:eastAsia="Arial" w:hAnsi="Arial"/>
          <w:sz w:val="22"/>
          <w:szCs w:val="22"/>
        </w:rPr>
        <w:t xml:space="preserve">I deleted the entire commented-out old version at the bottom of the file — removing approximately 800 lines of dead code. I replaced use_container_width in st.plotly_chart() calls where it triggered warnings with the updated API. I also replaced custom HTML card divs with st.container(border=True), which is Streamlit's native bordered container. Result: dashboard reduced from 1,800 to 370 lines with identical functionality.</w:t>
      </w:r>
    </w:p>
    <w:p>
      <w:pPr>
        <w:spacing w:after="80" w:before="180"/>
      </w:pPr>
      <w:r>
        <w:rPr>
          <w:rFonts w:ascii="Arial" w:cs="Arial" w:eastAsia="Arial" w:hAnsi="Arial"/>
          <w:b/>
          <w:bCs/>
          <w:color w:val="1F3864"/>
          <w:sz w:val="22"/>
          <w:szCs w:val="22"/>
        </w:rPr>
        <w:t xml:space="preserve">3.4 FR3 Merge — Load-if-Exists Pattern</w:t>
      </w:r>
    </w:p>
    <w:p>
      <w:pPr>
        <w:spacing w:after="80"/>
      </w:pPr>
      <w:r>
        <w:rPr>
          <w:rFonts w:ascii="Arial" w:cs="Arial" w:eastAsia="Arial" w:hAnsi="Arial"/>
          <w:sz w:val="22"/>
          <w:szCs w:val="22"/>
        </w:rPr>
        <w:t xml:space="preserve">I restructured detect_subscription() to first check if subscription_model.pkl exists in the models/ directory. If it does, it loads and uses the saved model for instant inference. If it does not exist, it trains the model from scratch and saves it. This single change allowed the dashboard to perform real-time NLP classification in the 'Add New Customer' tab without requiring a pipeline re-run.</w:t>
      </w:r>
    </w:p>
    <w:p>
      <w:pPr>
        <w:spacing w:after="80"/>
      </w:pPr>
      <w:r>
        <w:t xml:space="preserve"/>
      </w:r>
    </w:p>
    <w:p>
      <w:pPr>
        <w:pStyle w:val="Heading1"/>
        <w:pBdr>
          <w:bottom w:val="single" w:color="1F3864" w:sz="6" w:space="1"/>
        </w:pBdr>
        <w:spacing w:after="120" w:before="300"/>
      </w:pPr>
      <w:r>
        <w:rPr>
          <w:rFonts w:ascii="Arial" w:cs="Arial" w:eastAsia="Arial" w:hAnsi="Arial"/>
          <w:b/>
          <w:bCs/>
          <w:color w:val="1F3864"/>
          <w:sz w:val="32"/>
          <w:szCs w:val="32"/>
        </w:rPr>
        <w:t xml:space="preserve">Section 4 — What I Would Do Differently</w:t>
      </w:r>
    </w:p>
    <w:p>
      <w:pPr>
        <w:spacing w:after="80" w:before="180"/>
      </w:pPr>
      <w:r>
        <w:rPr>
          <w:rFonts w:ascii="Arial" w:cs="Arial" w:eastAsia="Arial" w:hAnsi="Arial"/>
          <w:b/>
          <w:bCs/>
          <w:color w:val="1F3864"/>
          <w:sz w:val="22"/>
          <w:szCs w:val="22"/>
        </w:rPr>
        <w:t xml:space="preserve">4.1 Check Stationarity Before Choosing ARIMA Parameters</w:t>
      </w:r>
    </w:p>
    <w:p>
      <w:pPr>
        <w:spacing w:after="80"/>
      </w:pPr>
      <w:r>
        <w:rPr>
          <w:rFonts w:ascii="Arial" w:cs="Arial" w:eastAsia="Arial" w:hAnsi="Arial"/>
          <w:sz w:val="22"/>
          <w:szCs w:val="22"/>
        </w:rPr>
        <w:t xml:space="preserve">I would run an Augmented Dickey-Fuller test on each subscription's amount series before selecting ARIMA parameters, rather than using a general-purpose (1,1,1) from documentation. This would have saved several hours of debugging and would be standard practice in a production setting.</w:t>
      </w:r>
    </w:p>
    <w:p>
      <w:pPr>
        <w:spacing w:after="80" w:before="180"/>
      </w:pPr>
      <w:r>
        <w:rPr>
          <w:rFonts w:ascii="Arial" w:cs="Arial" w:eastAsia="Arial" w:hAnsi="Arial"/>
          <w:b/>
          <w:bCs/>
          <w:color w:val="1F3864"/>
          <w:sz w:val="22"/>
          <w:szCs w:val="22"/>
        </w:rPr>
        <w:t xml:space="preserve">4.2 Plan the Module Interface Contract Early</w:t>
      </w:r>
    </w:p>
    <w:p>
      <w:pPr>
        <w:spacing w:after="80"/>
      </w:pPr>
      <w:r>
        <w:rPr>
          <w:rFonts w:ascii="Arial" w:cs="Arial" w:eastAsia="Arial" w:hAnsi="Arial"/>
          <w:sz w:val="22"/>
          <w:szCs w:val="22"/>
        </w:rPr>
        <w:t xml:space="preserve">I would define the input/output CSV schema for each module before writing a single line of code. The integration problems between FR3 and FR9 (the pre-trained model merge) happened because the two modes were designed independently. An explicit contract — 'FR3 must accept a Description_Clean column and return NLP_Sub_Pred and NLP_Sub_Prob' — defined upfront would have prevented this.</w:t>
      </w:r>
    </w:p>
    <w:p>
      <w:pPr>
        <w:spacing w:after="80" w:before="180"/>
      </w:pPr>
      <w:r>
        <w:rPr>
          <w:rFonts w:ascii="Arial" w:cs="Arial" w:eastAsia="Arial" w:hAnsi="Arial"/>
          <w:b/>
          <w:bCs/>
          <w:color w:val="1F3864"/>
          <w:sz w:val="22"/>
          <w:szCs w:val="22"/>
        </w:rPr>
        <w:t xml:space="preserve">4.3 Write Tests for Each Module</w:t>
      </w:r>
    </w:p>
    <w:p>
      <w:pPr>
        <w:spacing w:after="80"/>
      </w:pPr>
      <w:r>
        <w:rPr>
          <w:rFonts w:ascii="Arial" w:cs="Arial" w:eastAsia="Arial" w:hAnsi="Arial"/>
          <w:sz w:val="22"/>
          <w:szCs w:val="22"/>
        </w:rPr>
        <w:t xml:space="preserve">I did not write unit tests. When the risk score collapse bug appeared, I had no automated way to check whether changes to compute_score() fixed the issue without re-running the entire 126-second pipeline. A simple pytest test checking that risk score distribution has at least 10% of customers in each level would have caught the bug immediately.</w:t>
      </w:r>
    </w:p>
    <w:p>
      <w:pPr>
        <w:spacing w:after="80" w:before="180"/>
      </w:pPr>
      <w:r>
        <w:rPr>
          <w:rFonts w:ascii="Arial" w:cs="Arial" w:eastAsia="Arial" w:hAnsi="Arial"/>
          <w:b/>
          <w:bCs/>
          <w:color w:val="1F3864"/>
          <w:sz w:val="22"/>
          <w:szCs w:val="22"/>
        </w:rPr>
        <w:t xml:space="preserve">4.4 Use a Config File for All Thresholds</w:t>
      </w:r>
    </w:p>
    <w:p>
      <w:pPr>
        <w:spacing w:after="80"/>
      </w:pPr>
      <w:r>
        <w:rPr>
          <w:rFonts w:ascii="Arial" w:cs="Arial" w:eastAsia="Arial" w:hAnsi="Arial"/>
          <w:sz w:val="22"/>
          <w:szCs w:val="22"/>
        </w:rPr>
        <w:t xml:space="preserve">The risk score thresholds (HIGH=0.65, MEDIUM=0.35), the ARIMA order (1,0,0), the TF-IDF max_features (8000), and the minimum recurring occurrences (3) are scattered across different module files. I would centralise these in a single config.py or config.yaml so they can be changed in one place.</w:t>
      </w:r>
    </w:p>
    <w:p>
      <w:pPr>
        <w:spacing w:after="80"/>
      </w:pPr>
      <w:r>
        <w:t xml:space="preserve"/>
      </w:r>
    </w:p>
    <w:p>
      <w:pPr>
        <w:pStyle w:val="Heading1"/>
        <w:pBdr>
          <w:bottom w:val="single" w:color="1F3864" w:sz="6" w:space="1"/>
        </w:pBdr>
        <w:spacing w:after="120" w:before="300"/>
      </w:pPr>
      <w:r>
        <w:rPr>
          <w:rFonts w:ascii="Arial" w:cs="Arial" w:eastAsia="Arial" w:hAnsi="Arial"/>
          <w:b/>
          <w:bCs/>
          <w:color w:val="1F3864"/>
          <w:sz w:val="32"/>
          <w:szCs w:val="32"/>
        </w:rPr>
        <w:t xml:space="preserve">Section 5 — Key Takeaway</w:t>
      </w:r>
    </w:p>
    <w:p>
      <w:pPr>
        <w:spacing w:after="80"/>
      </w:pPr>
      <w:r>
        <w:rPr>
          <w:rFonts w:ascii="Arial" w:cs="Arial" w:eastAsia="Arial" w:hAnsi="Arial"/>
          <w:sz w:val="22"/>
          <w:szCs w:val="22"/>
        </w:rPr>
        <w:t xml:space="preserve">The most important thing this project taught me is that understanding your data's statistical properties is more valuable than knowing which model to use. I initially treated ARIMA as a black box — 'use (1,1,1) for time series' — and the risk model as a black box — 'Gradient Boosting will figure it out.' Both failures came from the same mistake: I applied tools without first understanding what the tools assume about the data.</w:t>
      </w:r>
    </w:p>
    <w:p>
      <w:pPr>
        <w:spacing w:after="80"/>
      </w:pPr>
      <w:r>
        <w:rPr>
          <w:rFonts w:ascii="Arial" w:cs="Arial" w:eastAsia="Arial" w:hAnsi="Arial"/>
          <w:sz w:val="22"/>
          <w:szCs w:val="22"/>
        </w:rPr>
        <w:t xml:space="preserve">ARIMA(1,1,1) assumes the data has a trend that needs differencing. Our data does not. Gradient Boosting's composite score assumed absolute thresholds would be comparable across customers. They were not. Both bugs were invisible until the output looked wrong — and both were fixed not by changing the algorithm, but by understanding the data better.</w:t>
      </w:r>
    </w:p>
    <w:p>
      <w:pPr>
        <w:spacing w:after="80"/>
      </w:pPr>
      <w:r>
        <w:rPr>
          <w:rFonts w:ascii="Arial" w:cs="Arial" w:eastAsia="Arial" w:hAnsi="Arial"/>
          <w:sz w:val="22"/>
          <w:szCs w:val="22"/>
        </w:rPr>
        <w:t xml:space="preserve">In a real banking system, the risk score collapse would have surfaced as every customer being flagged as either perfectly safe or critically high-risk — a catastrophic failure that would destroy trust in the system immediately. The lesson is that model evaluation must include distribution analysis, not just overall accuracy. A model can have 97% accuracy while having a broken output distribution, and the accuracy metric alone will never tell you that.</w:t>
      </w:r>
    </w:p>
    <w:p>
      <w:pPr>
        <w:spacing w:after="80"/>
      </w:pPr>
      <w:r>
        <w:rPr>
          <w:rFonts w:ascii="Arial" w:cs="Arial" w:eastAsia="Arial" w:hAnsi="Arial"/>
          <w:sz w:val="22"/>
          <w:szCs w:val="22"/>
        </w:rPr>
        <w:t xml:space="preserve">I will carry this principle into every future AI project: spend as much time understanding the data as building the model. The model is only as good as your understanding of what the numbers actually mean.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2026-04-02T17:40:31.619Z</dcterms:created>
  <dcterms:modified xsi:type="dcterms:W3CDTF">2026-04-02T17:40:31.619Z</dcterms:modified>
</cp:coreProperties>
</file>

<file path=docProps/custom.xml><?xml version="1.0" encoding="utf-8"?>
<Properties xmlns="http://schemas.openxmlformats.org/officeDocument/2006/custom-properties" xmlns:vt="http://schemas.openxmlformats.org/officeDocument/2006/docPropsVTypes"/>
</file>