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CAHIER DE CONCEPTION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Ce cahier détaille les fonctionnalités élémentaires implémentées, explique les raisons qui ont conduit à leurs implémentations (fonctionnalité élémentaire, fondamentale, . . . ) et expose d’éventuelles spécificités d’implémentation (un algorithme ou une structure de donnée particulière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Notre modèle se base sur deux architectures: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“DAO” (Data Access Object) qui permet d’arranger son code de manière à en n’avoir qu’un minimum à modifier pour changer de solution de stockage. Ici nous utilisons des fichiers XML, mais dans le futur, notre client pourrait-être amené à migrer vers un système de base de données tel que MySQL ou Postgres.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MVC (Model View Controller) pour “ranger” notre code, sa division permet de simplifier la reprise de celui-ci après un laps de temps élevé ou par une équipe de développeurs différente de celle ayant initialement lancé le projet.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Compléments: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page index.php situé à la racine du site appel le fichier “controller”, celui-ci va agir comme un dispatcheur en chargeant le contrôleur et la vue approprié.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y a un fichier VO par type d’objet contenant les données. Il y a un fichier DAO par type de VO contenant tout les objets VO du type concerné, il s’occupe de tous les traitement sur ces objets. Les services servent  à réaliser des actions sur plusieurs DAO (traitement sur des objets de différents types).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le projet rendu, aucun service n’a été utilisé, une partie du code pourrait en constituer un (“emprunt”) à l’avenir.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la partie DAO, les fichiers DAO héritent de la classe “implementationObjectDAO_Dummy” qui contient des fonctions génériques appelée par ces derniers.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Schéma de la conception: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669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