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tbl>
      <w:tblPr>
        <w:tblW w:type="dxa" w:w="4824"/>
        <w:jc w:val="center"/>
        <w:tblLayout w:type="fixed"/>
        <w:tblLook w:firstColumn="1" w:firstRow="1" w:lastColumn="0" w:lastRow="0" w:noHBand="0" w:noVBand="1" w:val="04A0"/>
        <w:tblInd w:w="0" w:type="dxa"/>
      </w:tblPr>
      <w:tblGrid>
        <w:gridCol w:w="4824"/>
      </w:tblGrid>
      <w:tr>
        <w:trPr>
          <w:tblHeader w:val="true"/>
        </w:trPr>
        <w:tc>
          <w:tcPr>
            <w:tcW w:type="dxa" w:w="4824"/>
            <w:shd w:fill="E5F3F1"/>
            <w:tcMar>
              <w:top w:w="70" w:type="dxa"/>
              <w:start w:w="120" w:type="dxa"/>
              <w:bottom w:w="70" w:type="dxa"/>
              <w:end w:w="120" w:type="dxa"/>
            </w:tcMar>
          </w:tcPr>
          <w:p>
            <w:pPr>
              <w:spacing w:after="0"/>
              <w:jc w:val="center"/>
            </w:pPr>
            <w:r>
              <w:rPr>
                <w:b/>
                <w:color w:val="188F87"/>
                <w:sz w:val="17"/>
              </w:rPr>
              <w:t>RESULTS ARTICLE  ·  FALSIFICATION FIRST</w:t>
            </w:r>
          </w:p>
        </w:tc>
      </w:tr>
    </w:tbl>
    <w:p>
      <w:pPr>
        <w:pStyle w:val="Title"/>
        <w:spacing w:before="600"/>
      </w:pPr>
      <w:r>
        <w:t>Exact Real Controls Overturn an Apparent Complex-Valued Robustness Advantage</w:t>
      </w:r>
    </w:p>
    <w:p>
      <w:pPr>
        <w:pStyle w:val="PaperSubtitle"/>
        <w:ind w:left="648" w:right="648"/>
      </w:pPr>
      <w:r>
        <w:t>A preregistered falsification study across synthetic sequential task families</w:t>
      </w:r>
    </w:p>
    <w:p>
      <w:pPr>
        <w:spacing w:before="160" w:after="60"/>
        <w:jc w:val="center"/>
      </w:pPr>
      <w:r>
        <w:rPr>
          <w:b/>
          <w:color w:val="193552"/>
          <w:sz w:val="24"/>
        </w:rPr>
        <w:t>Samyar Shafiee</w:t>
      </w:r>
    </w:p>
    <w:p>
      <w:pPr>
        <w:spacing w:after="360"/>
        <w:jc w:val="center"/>
      </w:pPr>
      <w:r>
        <w:rPr>
          <w:color w:val="5E6C78"/>
          <w:sz w:val="20"/>
        </w:rPr>
        <w:t>Independent Researcher · Toronto, Canada</w:t>
      </w:r>
    </w:p>
    <w:p>
      <w:pPr>
        <w:spacing w:after="560"/>
        <w:jc w:val="center"/>
      </w:pPr>
      <w:r>
        <w:rPr>
          <w:color w:val="5E6C78"/>
          <w:sz w:val="18"/>
        </w:rPr>
        <w:t>Research manuscript · v1.0.0 · 14 August 2026</w:t>
      </w:r>
    </w:p>
    <w:tbl>
      <w:tblPr>
        <w:tblW w:type="dxa" w:w="8352"/>
        <w:jc w:val="center"/>
        <w:tblLayout w:type="fixed"/>
        <w:tblLook w:firstColumn="1" w:firstRow="1" w:lastColumn="0" w:lastRow="0" w:noHBand="0" w:noVBand="1" w:val="04A0"/>
        <w:tblInd w:w="0" w:type="dxa"/>
      </w:tblPr>
      <w:tblGrid>
        <w:gridCol w:w="8352"/>
      </w:tblGrid>
      <w:tr>
        <w:trPr>
          <w:tblHeader w:val="true"/>
        </w:trPr>
        <w:tc>
          <w:tcPr>
            <w:tcW w:type="dxa" w:w="8352"/>
            <w:shd w:fill="F8ECE9"/>
            <w:tcMar>
              <w:top w:w="150" w:type="dxa"/>
              <w:start w:w="180" w:type="dxa"/>
              <w:bottom w:w="150" w:type="dxa"/>
              <w:end w:w="180" w:type="dxa"/>
            </w:tcMar>
          </w:tcPr>
          <w:p>
            <w:pPr>
              <w:spacing w:after="0"/>
              <w:jc w:val="center"/>
            </w:pPr>
            <w:r>
              <w:rPr>
                <w:b/>
                <w:color w:val="D95C4B"/>
                <w:sz w:val="18"/>
              </w:rPr>
              <w:t>EVIDENCE BOUNDARY  ·  Synthetic experiments only. No patient data, clinical validity, physical quantum computation, or claim of universal model superiority.</w:t>
            </w:r>
          </w:p>
        </w:tc>
      </w:tr>
    </w:tbl>
    <w:p>
      <w:pPr>
        <w:spacing w:before="480" w:after="0"/>
        <w:jc w:val="center"/>
      </w:pPr>
      <w:r>
        <w:rPr>
          <w:b/>
          <w:color w:val="1F4D78"/>
          <w:sz w:val="17"/>
        </w:rPr>
        <w:t>4,800 INDEPENDENT-TASK EFFECT CELLS   ·   1 FROZEN LAW TEST   ·   GRAND BENCHMARK SEALED</w:t>
      </w:r>
    </w:p>
    <w:p>
      <w:r>
        <w:br w:type="page"/>
      </w:r>
    </w:p>
    <w:p>
      <w:pPr>
        <w:pStyle w:val="Heading1"/>
        <w:spacing w:before="0"/>
      </w:pPr>
      <w:r>
        <w:t>Contents</w:t>
      </w:r>
    </w:p>
    <w:p>
      <w:pPr>
        <w:spacing w:after="280"/>
      </w:pPr>
      <w:r>
        <w:t>A structured map of the manuscript. Word's Navigation pane uses the same semantic heading hierarchy throughout the document.</w:t>
      </w:r>
    </w:p>
    <w:tbl>
      <w:tblPr>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120" w:type="dxa"/>
              <w:start w:w="150" w:type="dxa"/>
              <w:bottom w:w="120" w:type="dxa"/>
              <w:end w:w="150" w:type="dxa"/>
            </w:tcMar>
            <w:shd w:fill="F4F6F9"/>
          </w:tcPr>
          <w:p>
            <w:pPr>
              <w:spacing w:after="0"/>
              <w:jc w:val="left"/>
            </w:pPr>
            <w:r>
              <w:rPr>
                <w:b/>
                <w:color w:val="188F87"/>
              </w:rPr>
              <w:t xml:space="preserve">01  </w:t>
            </w:r>
            <w:r>
              <w:rPr>
                <w:b/>
                <w:color w:val="193552"/>
              </w:rPr>
              <w:t>Abstract</w:t>
            </w:r>
          </w:p>
        </w:tc>
        <w:tc>
          <w:tcPr>
            <w:tcW w:type="dxa" w:w="4680"/>
            <w:tcMar>
              <w:top w:w="120" w:type="dxa"/>
              <w:start w:w="150" w:type="dxa"/>
              <w:bottom w:w="120" w:type="dxa"/>
              <w:end w:w="150" w:type="dxa"/>
            </w:tcMar>
            <w:shd w:fill="F4F6F9"/>
          </w:tcPr>
          <w:p>
            <w:pPr>
              <w:spacing w:after="0"/>
              <w:jc w:val="left"/>
            </w:pPr>
            <w:r>
              <w:rPr>
                <w:b/>
                <w:color w:val="188F87"/>
              </w:rPr>
              <w:t xml:space="preserve">09  </w:t>
            </w:r>
            <w:r>
              <w:rPr>
                <w:b/>
                <w:color w:val="193552"/>
              </w:rPr>
              <w:t>Results</w:t>
            </w:r>
          </w:p>
        </w:tc>
      </w:tr>
      <w:tr>
        <w:trPr>
          <w:cantSplit/>
        </w:trPr>
        <w:tc>
          <w:tcPr>
            <w:tcW w:type="dxa" w:w="4680"/>
            <w:tcMar>
              <w:top w:w="120" w:type="dxa"/>
              <w:start w:w="150" w:type="dxa"/>
              <w:bottom w:w="120" w:type="dxa"/>
              <w:end w:w="150" w:type="dxa"/>
            </w:tcMar>
          </w:tcPr>
          <w:p>
            <w:pPr>
              <w:spacing w:after="0"/>
              <w:jc w:val="left"/>
            </w:pPr>
            <w:r>
              <w:rPr>
                <w:b/>
                <w:color w:val="188F87"/>
              </w:rPr>
              <w:t xml:space="preserve">02  </w:t>
            </w:r>
            <w:r>
              <w:rPr>
                <w:b/>
                <w:color w:val="193552"/>
              </w:rPr>
              <w:t>Introduction</w:t>
            </w:r>
          </w:p>
        </w:tc>
        <w:tc>
          <w:tcPr>
            <w:tcW w:type="dxa" w:w="4680"/>
            <w:tcMar>
              <w:top w:w="120" w:type="dxa"/>
              <w:start w:w="150" w:type="dxa"/>
              <w:bottom w:w="120" w:type="dxa"/>
              <w:end w:w="150" w:type="dxa"/>
            </w:tcMar>
          </w:tcPr>
          <w:p>
            <w:pPr>
              <w:spacing w:after="0"/>
              <w:jc w:val="left"/>
            </w:pPr>
            <w:r>
              <w:rPr>
                <w:b/>
                <w:color w:val="188F87"/>
              </w:rPr>
              <w:t xml:space="preserve">10  </w:t>
            </w:r>
            <w:r>
              <w:rPr>
                <w:b/>
                <w:color w:val="193552"/>
              </w:rPr>
              <w:t>Ablations</w:t>
            </w:r>
          </w:p>
        </w:tc>
      </w:tr>
      <w:tr>
        <w:trPr>
          <w:cantSplit/>
        </w:trPr>
        <w:tc>
          <w:tcPr>
            <w:tcW w:type="dxa" w:w="4680"/>
            <w:tcMar>
              <w:top w:w="120" w:type="dxa"/>
              <w:start w:w="150" w:type="dxa"/>
              <w:bottom w:w="120" w:type="dxa"/>
              <w:end w:w="150" w:type="dxa"/>
            </w:tcMar>
            <w:shd w:fill="F4F6F9"/>
          </w:tcPr>
          <w:p>
            <w:pPr>
              <w:spacing w:after="0"/>
              <w:jc w:val="left"/>
            </w:pPr>
            <w:r>
              <w:rPr>
                <w:b/>
                <w:color w:val="188F87"/>
              </w:rPr>
              <w:t xml:space="preserve">03  </w:t>
            </w:r>
            <w:r>
              <w:rPr>
                <w:b/>
                <w:color w:val="193552"/>
              </w:rPr>
              <w:t>Related work</w:t>
            </w:r>
          </w:p>
        </w:tc>
        <w:tc>
          <w:tcPr>
            <w:tcW w:type="dxa" w:w="4680"/>
            <w:tcMar>
              <w:top w:w="120" w:type="dxa"/>
              <w:start w:w="150" w:type="dxa"/>
              <w:bottom w:w="120" w:type="dxa"/>
              <w:end w:w="150" w:type="dxa"/>
            </w:tcMar>
            <w:shd w:fill="F4F6F9"/>
          </w:tcPr>
          <w:p>
            <w:pPr>
              <w:spacing w:after="0"/>
              <w:jc w:val="left"/>
            </w:pPr>
            <w:r>
              <w:rPr>
                <w:b/>
                <w:color w:val="188F87"/>
              </w:rPr>
              <w:t xml:space="preserve">11  </w:t>
            </w:r>
            <w:r>
              <w:rPr>
                <w:b/>
                <w:color w:val="193552"/>
              </w:rPr>
              <w:t>Interpretability and state audit</w:t>
            </w:r>
          </w:p>
        </w:tc>
      </w:tr>
      <w:tr>
        <w:trPr>
          <w:cantSplit/>
        </w:trPr>
        <w:tc>
          <w:tcPr>
            <w:tcW w:type="dxa" w:w="4680"/>
            <w:tcMar>
              <w:top w:w="120" w:type="dxa"/>
              <w:start w:w="150" w:type="dxa"/>
              <w:bottom w:w="120" w:type="dxa"/>
              <w:end w:w="150" w:type="dxa"/>
            </w:tcMar>
          </w:tcPr>
          <w:p>
            <w:pPr>
              <w:spacing w:after="0"/>
              <w:jc w:val="left"/>
            </w:pPr>
            <w:r>
              <w:rPr>
                <w:b/>
                <w:color w:val="188F87"/>
              </w:rPr>
              <w:t xml:space="preserve">04  </w:t>
            </w:r>
            <w:r>
              <w:rPr>
                <w:b/>
                <w:color w:val="193552"/>
              </w:rPr>
              <w:t>Mathematical framework</w:t>
            </w:r>
          </w:p>
        </w:tc>
        <w:tc>
          <w:tcPr>
            <w:tcW w:type="dxa" w:w="4680"/>
            <w:tcMar>
              <w:top w:w="120" w:type="dxa"/>
              <w:start w:w="150" w:type="dxa"/>
              <w:bottom w:w="120" w:type="dxa"/>
              <w:end w:w="150" w:type="dxa"/>
            </w:tcMar>
          </w:tcPr>
          <w:p>
            <w:pPr>
              <w:spacing w:after="0"/>
              <w:jc w:val="left"/>
            </w:pPr>
            <w:r>
              <w:rPr>
                <w:b/>
                <w:color w:val="188F87"/>
              </w:rPr>
              <w:t xml:space="preserve">12  </w:t>
            </w:r>
            <w:r>
              <w:rPr>
                <w:b/>
                <w:color w:val="193552"/>
              </w:rPr>
              <w:t>Limitations</w:t>
            </w:r>
          </w:p>
        </w:tc>
      </w:tr>
      <w:tr>
        <w:trPr>
          <w:cantSplit/>
        </w:trPr>
        <w:tc>
          <w:tcPr>
            <w:tcW w:type="dxa" w:w="4680"/>
            <w:tcMar>
              <w:top w:w="120" w:type="dxa"/>
              <w:start w:w="150" w:type="dxa"/>
              <w:bottom w:w="120" w:type="dxa"/>
              <w:end w:w="150" w:type="dxa"/>
            </w:tcMar>
            <w:shd w:fill="F4F6F9"/>
          </w:tcPr>
          <w:p>
            <w:pPr>
              <w:spacing w:after="0"/>
              <w:jc w:val="left"/>
            </w:pPr>
            <w:r>
              <w:rPr>
                <w:b/>
                <w:color w:val="188F87"/>
              </w:rPr>
              <w:t xml:space="preserve">05  </w:t>
            </w:r>
            <w:r>
              <w:rPr>
                <w:b/>
                <w:color w:val="193552"/>
              </w:rPr>
              <w:t>Architecture and controls</w:t>
            </w:r>
          </w:p>
        </w:tc>
        <w:tc>
          <w:tcPr>
            <w:tcW w:type="dxa" w:w="4680"/>
            <w:tcMar>
              <w:top w:w="120" w:type="dxa"/>
              <w:start w:w="150" w:type="dxa"/>
              <w:bottom w:w="120" w:type="dxa"/>
              <w:end w:w="150" w:type="dxa"/>
            </w:tcMar>
            <w:shd w:fill="F4F6F9"/>
          </w:tcPr>
          <w:p>
            <w:pPr>
              <w:spacing w:after="0"/>
              <w:jc w:val="left"/>
            </w:pPr>
            <w:r>
              <w:rPr>
                <w:b/>
                <w:color w:val="188F87"/>
              </w:rPr>
              <w:t xml:space="preserve">13  </w:t>
            </w:r>
            <w:r>
              <w:rPr>
                <w:b/>
                <w:color w:val="193552"/>
              </w:rPr>
              <w:t>Safety and responsible use</w:t>
            </w:r>
          </w:p>
        </w:tc>
      </w:tr>
      <w:tr>
        <w:trPr>
          <w:cantSplit/>
        </w:trPr>
        <w:tc>
          <w:tcPr>
            <w:tcW w:type="dxa" w:w="4680"/>
            <w:tcMar>
              <w:top w:w="120" w:type="dxa"/>
              <w:start w:w="150" w:type="dxa"/>
              <w:bottom w:w="120" w:type="dxa"/>
              <w:end w:w="150" w:type="dxa"/>
            </w:tcMar>
          </w:tcPr>
          <w:p>
            <w:pPr>
              <w:spacing w:after="0"/>
              <w:jc w:val="left"/>
            </w:pPr>
            <w:r>
              <w:rPr>
                <w:b/>
                <w:color w:val="188F87"/>
              </w:rPr>
              <w:t xml:space="preserve">06  </w:t>
            </w:r>
            <w:r>
              <w:rPr>
                <w:b/>
                <w:color w:val="193552"/>
              </w:rPr>
              <w:t>Training and selection</w:t>
            </w:r>
          </w:p>
        </w:tc>
        <w:tc>
          <w:tcPr>
            <w:tcW w:type="dxa" w:w="4680"/>
            <w:tcMar>
              <w:top w:w="120" w:type="dxa"/>
              <w:start w:w="150" w:type="dxa"/>
              <w:bottom w:w="120" w:type="dxa"/>
              <w:end w:w="150" w:type="dxa"/>
            </w:tcMar>
          </w:tcPr>
          <w:p>
            <w:pPr>
              <w:spacing w:after="0"/>
              <w:jc w:val="left"/>
            </w:pPr>
            <w:r>
              <w:rPr>
                <w:b/>
                <w:color w:val="188F87"/>
              </w:rPr>
              <w:t xml:space="preserve">14  </w:t>
            </w:r>
            <w:r>
              <w:rPr>
                <w:b/>
                <w:color w:val="193552"/>
              </w:rPr>
              <w:t>Discussion</w:t>
            </w:r>
          </w:p>
        </w:tc>
      </w:tr>
      <w:tr>
        <w:trPr>
          <w:cantSplit/>
        </w:trPr>
        <w:tc>
          <w:tcPr>
            <w:tcW w:type="dxa" w:w="4680"/>
            <w:tcMar>
              <w:top w:w="120" w:type="dxa"/>
              <w:start w:w="150" w:type="dxa"/>
              <w:bottom w:w="120" w:type="dxa"/>
              <w:end w:w="150" w:type="dxa"/>
            </w:tcMar>
            <w:shd w:fill="F4F6F9"/>
          </w:tcPr>
          <w:p>
            <w:pPr>
              <w:spacing w:after="0"/>
              <w:jc w:val="left"/>
            </w:pPr>
            <w:r>
              <w:rPr>
                <w:b/>
                <w:color w:val="188F87"/>
              </w:rPr>
              <w:t xml:space="preserve">07  </w:t>
            </w:r>
            <w:r>
              <w:rPr>
                <w:b/>
                <w:color w:val="193552"/>
              </w:rPr>
              <w:t>Synthetic task systems</w:t>
            </w:r>
          </w:p>
        </w:tc>
        <w:tc>
          <w:tcPr>
            <w:tcW w:type="dxa" w:w="4680"/>
            <w:tcMar>
              <w:top w:w="120" w:type="dxa"/>
              <w:start w:w="150" w:type="dxa"/>
              <w:bottom w:w="120" w:type="dxa"/>
              <w:end w:w="150" w:type="dxa"/>
            </w:tcMar>
            <w:shd w:fill="F4F6F9"/>
          </w:tcPr>
          <w:p>
            <w:pPr>
              <w:spacing w:after="0"/>
              <w:jc w:val="left"/>
            </w:pPr>
            <w:r>
              <w:rPr>
                <w:b/>
                <w:color w:val="188F87"/>
              </w:rPr>
              <w:t xml:space="preserve">15  </w:t>
            </w:r>
            <w:r>
              <w:rPr>
                <w:b/>
                <w:color w:val="193552"/>
              </w:rPr>
              <w:t>Conclusion</w:t>
            </w:r>
          </w:p>
        </w:tc>
      </w:tr>
      <w:tr>
        <w:trPr>
          <w:cantSplit/>
        </w:trPr>
        <w:tc>
          <w:tcPr>
            <w:tcW w:type="dxa" w:w="4680"/>
            <w:tcMar>
              <w:top w:w="120" w:type="dxa"/>
              <w:start w:w="150" w:type="dxa"/>
              <w:bottom w:w="120" w:type="dxa"/>
              <w:end w:w="150" w:type="dxa"/>
            </w:tcMar>
          </w:tcPr>
          <w:p>
            <w:pPr>
              <w:spacing w:after="0"/>
              <w:jc w:val="left"/>
            </w:pPr>
            <w:r>
              <w:rPr>
                <w:b/>
                <w:color w:val="188F87"/>
              </w:rPr>
              <w:t xml:space="preserve">08  </w:t>
            </w:r>
            <w:r>
              <w:rPr>
                <w:b/>
                <w:color w:val="193552"/>
              </w:rPr>
              <w:t>Experimental design</w:t>
            </w:r>
          </w:p>
        </w:tc>
        <w:tc>
          <w:tcPr>
            <w:tcW w:type="dxa" w:w="4680"/>
            <w:tcMar>
              <w:top w:w="120" w:type="dxa"/>
              <w:start w:w="150" w:type="dxa"/>
              <w:bottom w:w="120" w:type="dxa"/>
              <w:end w:w="150" w:type="dxa"/>
            </w:tcMar>
          </w:tcPr>
          <w:p>
            <w:pPr>
              <w:spacing w:after="0"/>
              <w:jc w:val="left"/>
            </w:pPr>
            <w:r>
              <w:rPr>
                <w:b/>
                <w:color w:val="188F87"/>
              </w:rPr>
              <w:t xml:space="preserve">16  </w:t>
            </w:r>
            <w:r>
              <w:rPr>
                <w:b/>
                <w:color w:val="193552"/>
              </w:rPr>
              <w:t>Extended methods and results</w:t>
            </w:r>
          </w:p>
        </w:tc>
      </w:tr>
    </w:tbl>
    <w:p>
      <w:pPr>
        <w:pStyle w:val="TableNote"/>
        <w:spacing w:before="240"/>
      </w:pPr>
      <w:r>
        <w:t>References follow the supplementary results. Figures and tables are numbered in order of appearance and are generated from registered artifacts.</w:t>
      </w:r>
    </w:p>
    <w:p>
      <w:r>
        <w:br w:type="page"/>
      </w:r>
    </w:p>
    <w:p>
      <w:pPr>
        <w:pStyle w:val="Heading1"/>
      </w:pPr>
      <w:r>
        <w:t>Abstract</w:t>
      </w:r>
    </w:p>
    <w:p>
      <w:r>
        <w:t>Structured complex-valued networks are often evaluated against real-valued controls that share an output format but not the candidate model's exact computation. We show how this comparator choice can reverse a scientific conclusion. In an initial synthetic chronology benchmark, a complex recurrent operator exceeded a two-channel real control by 0.0602 top-1 accuracy under moderate shift (five worlds; interval 0.0529 to 0.0674). We then introduced the structured real block that exactly implements complex multiplication, expanded the comparison to a cellwise best-real envelope, and prospectively separated discovery from untouched task families. The exact real block reproduced the complex model's predictions in all 1,920 held-out family-world-seed-severity cells, with maximum NLL difference 3.58 x 10^-7. In reduced independent-task discovery, none of 2,880 complex-minus-best-real effects was positive (mean -0.0370). In four untouched generator families, none of 1,920 effects was positive; the family/world/seed hierarchical mean was -0.00916 (95% bootstrap interval -0.01325 to -0.00457). A quadratic relationship selected before outcome access fit 12 discovery aggregates (R2 0.949; MAE 0.00260) but failed unchanged on 12 held-out aggregates (R2 -30.94; MAE 0.0313). The single-use grand experiment was not executed because six mandatory readiness gates failed, and its sealed benchmark remains unopened. These studies do not show that complex parameterizations are universally ineffective. They falsify the narrower claim that the implemented complex arithmetic has an intrinsic robustness advantage over its exact and strongest tested real controls. The result is synthetic, compute-reduced, nonclinical, and not evidence of medical utility or quantum cognition. The primary contribution is a preregistered, artifact-backed workflow for converting an apparent architectural advantage into a falsifiable comparator claim.</w:t>
      </w:r>
    </w:p>
    <w:p>
      <w:pPr>
        <w:pStyle w:val="Heading1"/>
      </w:pPr>
      <w:r>
        <w:t>Introduction</w:t>
      </w:r>
    </w:p>
    <w:p>
      <w:r>
        <w:t>Claims about a new neural representation are only as strong as the control that could have produced the same computation. This is especially important for complex-valued models. Their states can express magnitude and phase compactly, and complex multiplication naturally represents rotations and ordered transformations. Yet a complex linear map also has an exact structured representation over twice as many real coordinates. A comparison against an ordinary real recurrent cell, or against two real channels that are not coupled by the corresponding block matrix, cannot identify whether any observed advantage comes from complex arithmetic, from a structured constraint, from optimization, or simply from an underpowered control.</w:t>
      </w:r>
    </w:p>
    <w:p>
      <w:r>
        <w:t>Q-Neuro began with a positive result. In a family of synthetic sequential reasoning environments called NeuroWorld, an ordered complex operator was more robust under declared causal shifts than several then-tested controls. At moderate shift the mean complex-minus-two-channel-real difference was +0.0602 top-1 accuracy across five worlds. The result replicated within that simulator, and destructive phase interventions showed that the trained model used its phase degrees of freedom. Neither observation established that complex arithmetic was necessary. Both remained compatible with a real structured implementation and with stronger real sequence models.</w:t>
      </w:r>
    </w:p>
    <w:p>
      <w:r>
        <w:t xml:space="preserve">We therefore reorganized the project around a falsification-first question: </w:t>
      </w:r>
      <w:r>
        <w:rPr>
          <w:b/>
        </w:rPr>
        <w:t>does the complex operator retain a practically relevant advantage when compared with an exact real implementation and a cellwise best-real envelope on task families not used to formulate the claim?</w:t>
      </w:r>
      <w:r>
        <w:t xml:space="preserve"> The answer within the executed scope is no. The exact real block matches the complex computation at numerical precision. Once it is admitted to the comparator set, the sign of the performance gap reverses in a power pilot, in reduced discovery, and in held-out reduced confirmation. A quantitative candidate law that appeared accurate in discovery fails its frozen held-out thresholds. Finally, the preregistered grand benchmark is not opened because the program has not completed the full comparator, search-budget, compute-accounting, shift-grid, and raw-prediction requirements.</w:t>
      </w:r>
    </w:p>
    <w:p>
      <w:r>
        <w:t>This paper makes four bounded contributions. First, it gives an implementation-level exact-real falsifier for the Q-Neuro operator and verifies mapped equivalence across independent task families. Second, it constructs eight nonmedical sequential generator families and a severity-indexed shift surface so that discovery and confirmation can be separated by generator family rather than by random examples alone. Third, it preserves a prospective law failure without refitting and a grand-experiment stop decision without weakening the gates. Fourth, it releases a machine-readable claim ledger that pairs every conclusion with counterevidence, scope, uncertainty, and a prospective falsifier.</w:t>
      </w:r>
    </w:p>
    <w:p>
      <w:r>
        <w:t>The work does not claim clinical validity, universal superiority of real networks, or evidence for a physical quantum process in cognition. The independent studies are deliberately reduced relative to the full preregistration: only five model families were trained, search used one configuration per model, training sizes were restricted, per-trial FLOPs and optimizer steps were not preserved, and raw predictions were not stored. These limitations block the grand experiment and external-validity claims. They do not alter the exact algebraic control or the observed absence of a complex advantage in the executed cells. The resulting paper is a case study in how a project can become scientifically stronger when its favored hypothesis fails.</w:t>
      </w:r>
    </w:p>
    <w:p>
      <w:pPr>
        <w:pStyle w:val="Heading1"/>
      </w:pPr>
      <w:r>
        <w:t>Related work</w:t>
      </w:r>
    </w:p>
    <w:p>
      <w:pPr>
        <w:pStyle w:val="Heading2"/>
      </w:pPr>
      <w:r>
        <w:t>Complex and structured recurrence</w:t>
      </w:r>
    </w:p>
    <w:p>
      <w:r>
        <w:t>Trainable complex-valued neural networks, including complex initialization, normalization, convolution, and recurrent components, are established methods rather than a Q-Neuro invention [1]. Complex and unitary recurrent networks were developed to stabilize long-range dynamics and represent rotations efficiently [2,3]. Real orthogonal recurrence offers a closely related norm-preserving alternative and has shown that carefully structured real models can outperform some unitary controls with fewer parameters [4]. These precedents make a broad complex-versus-real comparison scientifically insufficient.</w:t>
      </w:r>
    </w:p>
    <w:p>
      <w:r>
        <w:t>Arjovsky and colleagues explicitly describe the real two-channel representation of a complex unitary matrix [2]. For the present study, that known identity is not a novelty claim; it is an adversarial control. More recent theory reinforces why arithmetic, parameterization, and optimization should be separated. Infinite-width analyses show that common real-valued backpropagation can collapse many complex-network training dynamics toward ordinary real dynamics [5]. Conversely, theoretical settings exist in which a complex neuron represents functions unavailable to a finite-width two-layer real network while learning some real targets more slowly [6]. Capacity bounds for modReLU networks also begin from the standard identification of complex coordinates with paired real coordinates [7]. Our negative result is therefore architecture-specific, not a theorem that complex models can never help.</w:t>
      </w:r>
    </w:p>
    <w:p>
      <w:pPr>
        <w:pStyle w:val="Heading2"/>
      </w:pPr>
      <w:r>
        <w:t>Quantum-inspired state and order effects</w:t>
      </w:r>
    </w:p>
    <w:p>
      <w:r>
        <w:t>Quantum probability has been used to model human question-order and causal-reasoning effects through noncommuting projections and contextual state updates [8,9]. Hidden quantum Markov models and density-matrix-inspired language models further demonstrate that quantum-mathematical state representations can be useful without implementing physical quantum hardware [11,10]. Q-Neuro uses related mathematical motifs - ordered updates, phase-sensitive state, and magnitude-squared readout - but makes no inference about physical quantum cognition. Noncommutativity is a property of the computation, not evidence about its substrate.</w:t>
      </w:r>
    </w:p>
    <w:p>
      <w:pPr>
        <w:pStyle w:val="Heading2"/>
      </w:pPr>
      <w:r>
        <w:t>Modern sequence controls and uncertainty</w:t>
      </w:r>
    </w:p>
    <w:p>
      <w:r>
        <w:t>Structured state-space models provide efficient long-sequence dynamics and form an important real-valued comparator family [12]. Gated recurrent units, orthogonal recurrence, and unrestricted real operators address different inductive biases and optimization surfaces. Calibration and out-of-distribution detection require separate evaluation because high top-1 accuracy does not imply reliable confidence [13,14]. Q-Neuro consequently records negative log-likelihood, expected calibration error, and Brier score alongside top-1 accuracy, although the present primary falsifier is top-1 performance against the cellwise best-real envelope.</w:t>
      </w:r>
    </w:p>
    <w:p>
      <w:pPr>
        <w:pStyle w:val="Heading2"/>
      </w:pPr>
      <w:r>
        <w:t>Position of the present work</w:t>
      </w:r>
    </w:p>
    <w:p>
      <w:r>
        <w:t>The publishable object is not a new complex algebra. It is a fully traceable reversal of an architectural interpretation. A positive within-simulator result is retained, its insufficient comparator is named, an exact control is implemented, new task families are generated before confirmation, a candidate relationship is frozen, and failed readiness gates stop a sealed test. This sequence differs from an ordinary ablation study because the unfavorable result controls which claims are permitted and which experiment may legally execute. Whether that workflow is novel in the literature requires peer review; no priority claim is made here.</w:t>
      </w:r>
    </w:p>
    <w:p>
      <w:pPr>
        <w:pStyle w:val="Heading1"/>
      </w:pPr>
      <w:r>
        <w:t>Mathematical framework</w:t>
      </w:r>
    </w:p>
    <w:p>
      <w:pPr>
        <w:pStyle w:val="Heading2"/>
      </w:pPr>
      <w:r>
        <w:t>Complex hypothesis-state update</w:t>
      </w:r>
    </w:p>
    <w:p>
      <w:r>
        <w:t>Let a tokenized observation at step t be embedded as a real vector x_t. The implemented complex operator maintains h_t in C^d and applies a token-conditioned update followed by a phase-compatible nonlinearity and a magnitude-sensitive readout. Suppressing low-rank factorization and bias terms, the linear part is</w:t>
      </w:r>
    </w:p>
    <w:p>
      <w:pPr>
        <w:pStyle w:val="PaperEquation"/>
        <w:pBdr>
          <w:bottom w:val="single" w:sz="4" w:space="8" w:color="D9E3EA"/>
        </w:pBdr>
      </w:pPr>
      <w:r>
        <w:t>h_t = W_t h_(t-1) + U x_t.</w:t>
      </w:r>
    </w:p>
    <w:p>
      <w:r>
        <w:t>Write h = a + ib and W = A + iB, with a, b real vectors and A, B real matrices. Then the same multiplication is</w:t>
      </w:r>
    </w:p>
    <w:p>
      <w:pPr>
        <w:pStyle w:val="PaperEquation"/>
        <w:pBdr>
          <w:bottom w:val="single" w:sz="4" w:space="8" w:color="D9E3EA"/>
        </w:pBdr>
      </w:pPr>
      <w:r>
        <w:t>[Re(Wh); Im(Wh)] = [[A, -B], [B, A]] [a; b].</w:t>
      </w:r>
    </w:p>
    <w:p>
      <w:r>
        <w:t>This is an identity, not an approximation. The exact real block has the same real degrees of freedom as W because the four blocks are tied by A and B. When initialization, token order, loss, and optimizer policy are mapped consistently, any prediction difference beyond numerical tolerance is an implementation failure or a consequence of a non-mapped operation, not evidence for uniquely complex capacity.</w:t>
      </w:r>
    </w:p>
    <w:p>
      <w:pPr>
        <w:pStyle w:val="Heading2"/>
      </w:pPr>
      <w:r>
        <w:t>Three distinct hypotheses</w:t>
      </w:r>
    </w:p>
    <w:p>
      <w:r>
        <w:t>The comparator audit separates three hypotheses that are often conflated.</w:t>
      </w:r>
    </w:p>
    <w:p>
      <w:pPr>
        <w:pStyle w:val="ListBullet"/>
        <w:spacing w:after="80" w:line="290" w:lineRule="auto"/>
        <w:ind w:left="540" w:hanging="279"/>
      </w:pPr>
      <w:r>
        <w:rPr>
          <w:b/>
        </w:rPr>
        <w:t>Representational uniqueness:</w:t>
      </w:r>
      <w:r>
        <w:t xml:space="preserve"> the complex model computes a function unavailable to the exact structured real block.</w:t>
      </w:r>
    </w:p>
    <w:p>
      <w:pPr>
        <w:pStyle w:val="ListBullet"/>
        <w:spacing w:after="80" w:line="290" w:lineRule="auto"/>
        <w:ind w:left="540" w:hanging="279"/>
      </w:pPr>
      <w:r>
        <w:rPr>
          <w:b/>
        </w:rPr>
        <w:t>Parameterization advantage:</w:t>
      </w:r>
      <w:r>
        <w:t xml:space="preserve"> the complex coordinates create a more useful inductive bias or optimization trajectory even though the represented mapped function class overlaps.</w:t>
      </w:r>
    </w:p>
    <w:p>
      <w:pPr>
        <w:pStyle w:val="ListBullet"/>
        <w:spacing w:after="80" w:line="290" w:lineRule="auto"/>
        <w:ind w:left="540" w:hanging="279"/>
      </w:pPr>
      <w:r>
        <w:rPr>
          <w:b/>
        </w:rPr>
        <w:t>Architecture advantage:</w:t>
      </w:r>
      <w:r>
        <w:t xml:space="preserve"> the complete complex operator outperforms all parameter- and compute-matched real sequence architectures on the prespecified outcome.</w:t>
      </w:r>
    </w:p>
    <w:p>
      <w:r>
        <w:t>The algebra directly falsifies representational uniqueness for the mapped linear complex operations. Empirical mapped runs test whether the implementation preserves that identity through the complete network. The best-real envelope tests architecture advantage over the real models actually evaluated. Parameterization advantage remains a legitimate possibility in other objectives, initializations, nonlinearities, or training regimes; it is not supported by the present top-1 results.</w:t>
      </w:r>
    </w:p>
    <w:p>
      <w:pPr>
        <w:pStyle w:val="Heading2"/>
      </w:pPr>
      <w:r>
        <w:t>Primary estimand</w:t>
      </w:r>
    </w:p>
    <w:p>
      <w:r>
        <w:t>For family f, training size n, training seed s, world w, and severity q, let A_C(f,n,s,w,q) be complex top-1 accuracy. Let R be the prespecified set of evaluated real controls. The nested effect is</w:t>
      </w:r>
    </w:p>
    <w:p>
      <w:pPr>
        <w:pStyle w:val="PaperEquation"/>
        <w:pBdr>
          <w:bottom w:val="single" w:sz="4" w:space="8" w:color="D9E3EA"/>
        </w:pBdr>
      </w:pPr>
      <w:r>
        <w:t>Delta = complex top-1 - maximum real-control top-1 in the same cell.</w:t>
      </w:r>
    </w:p>
    <w:p>
      <w:r>
        <w:t>This cellwise envelope is intentionally adversarial. It asks whether the candidate beats the strongest real alternative in each matched condition, not whether it beats a conveniently chosen average control. It also creates selection optimism for the real side, which is acceptable for a falsifier but must be acknowledged when interpreting magnitude.</w:t>
      </w:r>
    </w:p>
    <w:p>
      <w:pPr>
        <w:pStyle w:val="Heading2"/>
      </w:pPr>
      <w:r>
        <w:t>Structural predictors and candidate law</w:t>
      </w:r>
    </w:p>
    <w:p>
      <w:r>
        <w:t>Each generator world exposes two preregistered structural descriptors: empirical mutual information between observed order and the target, and shift severity q. Six candidate families were compared on discovery aggregates. The selected quadratic candidate was</w:t>
      </w:r>
    </w:p>
    <w:p>
      <w:pPr>
        <w:pStyle w:val="PaperEquation"/>
        <w:pBdr>
          <w:bottom w:val="single" w:sz="4" w:space="8" w:color="D9E3EA"/>
        </w:pBdr>
      </w:pPr>
      <w:r>
        <w:t>predicted Delta = b0 + b1 I + b2 q + b3 I^2 + b4 Iq + b5 q^2.</w:t>
      </w:r>
    </w:p>
    <w:p>
      <w:r>
        <w:t>The coefficients were frozen before held-out family evaluation. Passing required R2 at least 0.50, sign accuracy at least 0.80, and mean absolute error at most 0.015. A fit to discovery data was not itself treated as a law.</w:t>
      </w:r>
    </w:p>
    <w:p>
      <w:pPr>
        <w:pStyle w:val="Heading2"/>
      </w:pPr>
      <w:r>
        <w:t>Claim rule</w:t>
      </w:r>
    </w:p>
    <w:p>
      <w:r>
        <w:t>The preregistered practical threshold for a favorable complex effect was +0.02 top-1. Because the executed independent profiles deviate from the full protocol, they are outcome-ineligible for the strongest confirmatory category even if a threshold were crossed. Exact equivalence, empirical effect direction, and law failure are reported separately rather than collapsed into one verdict.</w:t>
      </w:r>
    </w:p>
    <w:p>
      <w:pPr>
        <w:pStyle w:val="Heading1"/>
      </w:pPr>
      <w:r>
        <w:t>Architecture and comparator envelope</w:t>
      </w:r>
    </w:p>
    <w:p>
      <w:pPr>
        <w:pStyle w:val="Heading2"/>
      </w:pPr>
      <w:r>
        <w:t>Candidate operator</w:t>
      </w:r>
    </w:p>
    <w:p>
      <w:r>
        <w:t>The Q-Neuro candidate is a low-rank complex recurrent operator with token-conditioned state transitions, explicit sequence order, and a real-valued class readout derived from its terminal state. The independent-task profile used operator rank 2, maximum sequence length 96, and an evaluated parameter budget of 20,304 real-valued degrees of freedom. The architecture was designed for sequential evidence integration, not for physical quantum computation.</w:t>
      </w:r>
    </w:p>
    <w:p>
      <w:pPr>
        <w:pStyle w:val="Heading2"/>
      </w:pPr>
      <w:r>
        <w:t>Exact real block</w:t>
      </w:r>
    </w:p>
    <w:p>
      <w:r>
        <w:t>The exact-real-block operator replaces every complex state with concatenated real and imaginary coordinates and every complex multiplication with the tied real block from the preceding section. It preserves the candidate's computation, parameter count, data order, initialization mapping, and training policy. This control is stronger than the historical two-channel operator, whose channels were real but were not constrained to implement the candidate's exact complex coupling.</w:t>
      </w:r>
    </w:p>
    <w:p>
      <w:r>
        <w:t>Across the four held-out task families, mapped complex and exact-real models produced identical top-1 values in all 1,920 nested evaluation cells. The maximum absolute difference was 3.58 x 10^-7 for NLL and 1.19 x 10^-7 for ECE. Earlier mechanism mapping found a maximum recorded metric difference of approximately 4.8 x 10^-7. These values are consistent with floating-point accumulation, not a material functional difference.</w:t>
      </w:r>
    </w:p>
    <w:p>
      <w:pPr>
        <w:pStyle w:val="Heading2"/>
      </w:pPr>
      <w:r>
        <w:t>Additional real controls</w:t>
      </w:r>
    </w:p>
    <w:p>
      <w:r>
        <w:t>The reduced discovery and held-out profiles also evaluated a structured state-space model, a gated recurrent unit, and a real polar operator. Together with the exact block, these form the executed best-real envelope. The complete preregistered envelope contained 14 real controls, including causal and conventional Transformers, LSTM and vanilla recurrence, orthogonal and residual-gated recurrence, unrestricted paired-real operators, and several additional operator parameterizations. Ten required real controls were not trained in the reduced profile.</w:t>
      </w:r>
    </w:p>
    <w:p>
      <w:r>
        <w:t xml:space="preserve">This distinction controls the manuscript's claims. The results strongly reject an advantage over the </w:t>
      </w:r>
      <w:r>
        <w:rPr>
          <w:b/>
        </w:rPr>
        <w:t>executed</w:t>
      </w:r>
      <w:r>
        <w:t xml:space="preserve"> best-real envelope and establish exact equivalence for the implemented mapping. They do not certify that the five-model reduced set is a complete survey of real sequence learning. The incompleteness is one reason QN-GRAND-001 was blocked.</w:t>
      </w:r>
    </w:p>
    <w:p>
      <w:pPr>
        <w:pStyle w:val="Heading2"/>
      </w:pPr>
      <w:r>
        <w:t>Matching policy</w:t>
      </w:r>
    </w:p>
    <w:p>
      <w:r>
        <w:t>Evaluated models shared a nominal parameter budget and the same source data, train/validation splits, training seeds, batch size, maximum epochs, and early-stopping policy. The reduced studies used one learning-rate choice per model rather than the preregistered eight trials for the candidate and ten for each real control. Per-trial FLOPs and optimizer-step counts were not recorded. Parameter matching is therefore documented; complete compute and search matching is not claimed.</w:t>
      </w:r>
    </w:p>
    <w:p>
      <w:pPr>
        <w:pStyle w:val="Heading1"/>
      </w:pPr>
      <w:r>
        <w:t>Training and model selection</w:t>
      </w:r>
    </w:p>
    <w:p>
      <w:pPr>
        <w:pStyle w:val="Heading2"/>
      </w:pPr>
      <w:r>
        <w:t>Shared optimization protocol</w:t>
      </w:r>
    </w:p>
    <w:p>
      <w:r>
        <w:t>Independent-task models were trained on CPU with AdamW, batch size 128, learning rate 0.001, weight decay 0.0001, at most six epochs, and patience three. Five fixed training seeds were used in discovery and five new seeds in held-out evaluation. Model selection used source-world validation data only. Each trained checkpoint was evaluated without adaptation across the registered shifted worlds and severities.</w:t>
      </w:r>
    </w:p>
    <w:p>
      <w:r>
        <w:t>Discovery used training sizes 250 and 1,000. Held-out evaluation used size 1,000. The original full protocol additionally required 5,000 and 25,000 examples, a primary grand-test size of 5,000, and a substantially larger hyperparameter search. Because those conditions were deferred, the independent studies are labeled reduced and outcome-ineligible throughout this paper.</w:t>
      </w:r>
    </w:p>
    <w:p>
      <w:pPr>
        <w:pStyle w:val="Heading2"/>
      </w:pPr>
      <w:r>
        <w:t>Comparator selection within evaluation cells</w:t>
      </w:r>
    </w:p>
    <w:p>
      <w:r>
        <w:t>For each family, training size, training seed, world seed, and severity, the best-real model was selected by top-1 accuracy within that same cell. Ties were resolved deterministically by model name. This procedure is transparent and reproducible, but it is more stringent than selecting a single real model globally. Its role is to challenge the complex-advantage claim, not to estimate the expected performance of a deployed model-selection procedure.</w:t>
      </w:r>
    </w:p>
    <w:p>
      <w:pPr>
        <w:pStyle w:val="Heading2"/>
      </w:pPr>
      <w:r>
        <w:t>Calibration and auxiliary metrics</w:t>
      </w:r>
    </w:p>
    <w:p>
      <w:r>
        <w:t>Each evaluation records top-1 accuracy, NLL, expected calibration error, Brier score, and separate accuracy for order-dependent and non-order-dependent examples where defined. Counterfactual order pairs were also generated for structural checks. The primary effect in the current falsification analysis is top-1 accuracy; calibration metrics are descriptive because no favorable complex primary effect survived to support a secondary claim.</w:t>
      </w:r>
    </w:p>
    <w:p>
      <w:pPr>
        <w:pStyle w:val="Heading2"/>
      </w:pPr>
      <w:r>
        <w:t>Reproducibility controls</w:t>
      </w:r>
    </w:p>
    <w:p>
      <w:r>
        <w:t>Every run reserved an immutable result directory, stored its configuration and environment record, and registered its hypothesis and preregistration identifiers in SQLite. The pipeline rejected dirty worktrees for evidence-generating runs unless an explicitly ineligible smoke mode was used. Discovery and confirmation used disjoint family names, world seeds, training seeds, and configuration files. The frozen law artifact stores code and configuration hashes as well as the commit preceding held-out execution.</w:t>
      </w:r>
    </w:p>
    <w:p>
      <w:pPr>
        <w:pStyle w:val="Heading2"/>
      </w:pPr>
      <w:r>
        <w:t>Deferred compute accounting</w:t>
      </w:r>
    </w:p>
    <w:p>
      <w:r>
        <w:t>The repository preserves CPU device selection and runtime environment, but the reduced studies do not contain per-trial FLOPs or optimizer-step records. Search budgets also favor neither side because each executed model received one configuration, yet this is not the prospectively required equal-or-real-favoring search. These missing records are reported as blockers rather than estimated after the fact.</w:t>
      </w:r>
    </w:p>
    <w:p>
      <w:pPr>
        <w:pStyle w:val="Heading1"/>
      </w:pPr>
      <w:r>
        <w:t>Synthetic task systems</w:t>
      </w:r>
    </w:p>
    <w:p>
      <w:pPr>
        <w:pStyle w:val="Heading2"/>
      </w:pPr>
      <w:r>
        <w:t>Historical NeuroWorld benchmark</w:t>
      </w:r>
    </w:p>
    <w:p>
      <w:r>
        <w:t>NeuroWorld is a project-designed simulator for ordered evidence integration. It generates disease-like but entirely fictional labels, observations, explicit missingness, negative findings, causal groups, and chronology twins whose aggregate evidence can be identical while their order changes the target. Declared shift operators alter mechanisms such as prevalence, observation process, sequence order, and local evidence reliability. The benchmark is useful for controlled falsification because causal factors and counterfactual pairs are known. It is not a patient dataset and does not establish medical validity.</w:t>
      </w:r>
    </w:p>
    <w:p>
      <w:r>
        <w:t>The historical positive result QN-000008 evaluated five unseen NeuroWorld worlds at four severities. Against the then-used two-channel real control, the complex operator's moderate-shift advantage was +0.0602 top-1, with a five-world interval from +0.0529 to +0.0674. This number is retained unchanged. Its interpretation changes because later work demonstrates that the comparator was not the exact real implementation and that stronger real controls eliminate the advantage elsewhere.</w:t>
      </w:r>
    </w:p>
    <w:p>
      <w:pPr>
        <w:pStyle w:val="Heading2"/>
      </w:pPr>
      <w:r>
        <w:t>Independent discovery generators</w:t>
      </w:r>
    </w:p>
    <w:p>
      <w:r>
        <w:t>The reduced discovery split contains four nonmedical generator families chosen to vary order dependence and latent structure.</w:t>
      </w:r>
    </w:p>
    <w:p>
      <w:pPr>
        <w:pStyle w:val="ListBullet"/>
        <w:spacing w:after="80" w:line="290" w:lineRule="auto"/>
        <w:ind w:left="540" w:hanging="279"/>
      </w:pPr>
      <w:r>
        <w:rPr>
          <w:b/>
        </w:rPr>
        <w:t>Analytic commutative:</w:t>
      </w:r>
      <w:r>
        <w:t xml:space="preserve"> event aggregation is order-insensitive by construction.</w:t>
      </w:r>
    </w:p>
    <w:p>
      <w:pPr>
        <w:pStyle w:val="ListBullet"/>
        <w:spacing w:after="80" w:line="290" w:lineRule="auto"/>
        <w:ind w:left="540" w:hanging="279"/>
      </w:pPr>
      <w:r>
        <w:rPr>
          <w:b/>
        </w:rPr>
        <w:t>Analytic noncommutative:</w:t>
      </w:r>
      <w:r>
        <w:t xml:space="preserve"> matrix-like update order determines the outcome.</w:t>
      </w:r>
    </w:p>
    <w:p>
      <w:pPr>
        <w:pStyle w:val="ListBullet"/>
        <w:spacing w:after="80" w:line="290" w:lineRule="auto"/>
        <w:ind w:left="540" w:hanging="279"/>
      </w:pPr>
      <w:r>
        <w:rPr>
          <w:b/>
        </w:rPr>
        <w:t>Hidden causal machine:</w:t>
      </w:r>
      <w:r>
        <w:t xml:space="preserve"> observations arise from a latent transition process with strong order dependence.</w:t>
      </w:r>
    </w:p>
    <w:p>
      <w:pPr>
        <w:pStyle w:val="ListBullet"/>
        <w:spacing w:after="80" w:line="290" w:lineRule="auto"/>
        <w:ind w:left="540" w:hanging="279"/>
      </w:pPr>
      <w:r>
        <w:rPr>
          <w:b/>
        </w:rPr>
        <w:t>Sequential detective:</w:t>
      </w:r>
      <w:r>
        <w:t xml:space="preserve"> clues update a hidden case state with partial chronology dependence.</w:t>
      </w:r>
    </w:p>
    <w:p>
      <w:r>
        <w:t>For each family, 24 registered world seeds were evaluated at severities 0.0, 0.5, and 1.0. Test sets contained 120 cases per world and counterfactual sets contained 40 paired cases. The discovery surface therefore changes generator mechanism, world realization, and severity rather than randomly partitioning one pooled dataset.</w:t>
      </w:r>
    </w:p>
    <w:p>
      <w:pPr>
        <w:pStyle w:val="Heading2"/>
      </w:pPr>
      <w:r>
        <w:t>Held-out generator families</w:t>
      </w:r>
    </w:p>
    <w:p>
      <w:r>
        <w:t>Before held-out outcome access, the candidate law and its coefficients were frozen. Four new families were then evaluated:</w:t>
      </w:r>
    </w:p>
    <w:p>
      <w:pPr>
        <w:pStyle w:val="ListBullet"/>
        <w:spacing w:after="80" w:line="290" w:lineRule="auto"/>
        <w:ind w:left="540" w:hanging="279"/>
      </w:pPr>
      <w:r>
        <w:rPr>
          <w:b/>
        </w:rPr>
        <w:t>Bayesian urn:</w:t>
      </w:r>
      <w:r>
        <w:t xml:space="preserve"> an order-insensitive evidence accumulation task.</w:t>
      </w:r>
    </w:p>
    <w:p>
      <w:pPr>
        <w:pStyle w:val="ListBullet"/>
        <w:spacing w:after="80" w:line="290" w:lineRule="auto"/>
        <w:ind w:left="540" w:hanging="279"/>
      </w:pPr>
      <w:r>
        <w:rPr>
          <w:b/>
        </w:rPr>
        <w:t>Hidden-rule relational:</w:t>
      </w:r>
      <w:r>
        <w:t xml:space="preserve"> a fully order-dependent latent relation task.</w:t>
      </w:r>
    </w:p>
    <w:p>
      <w:pPr>
        <w:pStyle w:val="ListBullet"/>
        <w:spacing w:after="80" w:line="290" w:lineRule="auto"/>
        <w:ind w:left="540" w:hanging="279"/>
      </w:pPr>
      <w:r>
        <w:rPr>
          <w:b/>
        </w:rPr>
        <w:t>Machine-fault diagnosis:</w:t>
      </w:r>
      <w:r>
        <w:t xml:space="preserve"> a nonmedical sequential fault-isolation task with moderate order dependence.</w:t>
      </w:r>
    </w:p>
    <w:p>
      <w:pPr>
        <w:pStyle w:val="ListBullet"/>
        <w:spacing w:after="80" w:line="290" w:lineRule="auto"/>
        <w:ind w:left="540" w:hanging="279"/>
      </w:pPr>
      <w:r>
        <w:rPr>
          <w:b/>
        </w:rPr>
        <w:t>Network-intrusion reasoning:</w:t>
      </w:r>
      <w:r>
        <w:t xml:space="preserve"> a nonmedical event-sequence task with strong order dependence.</w:t>
      </w:r>
    </w:p>
    <w:p>
      <w:r>
        <w:t>Each held-out family used 32 new world seeds, three severities, five new training seeds, and 120 cases per world. The split tests transfer across generator semantics, not merely across examples from an already observed family.</w:t>
      </w:r>
    </w:p>
    <w:p>
      <w:pPr>
        <w:pStyle w:val="Heading2"/>
      </w:pPr>
      <w:r>
        <w:t>ShiftGauntlet</w:t>
      </w:r>
    </w:p>
    <w:p>
      <w:r>
        <w:t>ShiftGauntlet is the broader preregistered stress surface. Its structural implementation spans 125 cells and passed schema and coverage checks, but the full model-outcome grid was not executed. The available QN-000031 pilot estimated power for a 32-world design and observed a mean complex-minus-best-real difference of -0.0552 at training size 1,000 across eight pilot cells. Pilot results informed design only and are not confirmatory evidence.</w:t>
      </w:r>
    </w:p>
    <w:p>
      <w:pPr>
        <w:pStyle w:val="Heading1"/>
      </w:pPr>
      <w:r>
        <w:t>Experimental design</w:t>
      </w:r>
    </w:p>
    <w:p>
      <w:pPr>
        <w:pStyle w:val="Heading2"/>
      </w:pPr>
      <w:r>
        <w:t>Evidence stages</w:t>
      </w:r>
    </w:p>
    <w:p>
      <w:r>
        <w:t>The next-phase program was organized so that later stages could not rescue earlier failures by changing the estimand.</w:t>
      </w:r>
    </w:p>
    <w:p>
      <w:pPr>
        <w:pStyle w:val="ListNumber"/>
        <w:spacing w:after="80" w:line="290" w:lineRule="auto"/>
        <w:ind w:left="540" w:hanging="279"/>
      </w:pPr>
      <w:r>
        <w:rPr>
          <w:b/>
        </w:rPr>
        <w:t>Comparator audit:</w:t>
      </w:r>
      <w:r>
        <w:t xml:space="preserve"> reconstruct the historical result and determine whether the two-channel control is algebraically equivalent.</w:t>
      </w:r>
    </w:p>
    <w:p>
      <w:pPr>
        <w:pStyle w:val="ListNumber"/>
        <w:spacing w:after="80" w:line="290" w:lineRule="auto"/>
        <w:ind w:left="540" w:hanging="279"/>
      </w:pPr>
      <w:r>
        <w:rPr>
          <w:b/>
        </w:rPr>
        <w:t>Exact-equivalence and mechanism tests:</w:t>
      </w:r>
      <w:r>
        <w:t xml:space="preserve"> map the complex operator into a tied real block and test forward and outcome agreement; apply destructive phase interventions only as mechanism probes.</w:t>
      </w:r>
    </w:p>
    <w:p>
      <w:pPr>
        <w:pStyle w:val="ListNumber"/>
        <w:spacing w:after="80" w:line="290" w:lineRule="auto"/>
        <w:ind w:left="540" w:hanging="279"/>
      </w:pPr>
      <w:r>
        <w:rPr>
          <w:b/>
        </w:rPr>
        <w:t>Power pilot:</w:t>
      </w:r>
      <w:r>
        <w:t xml:space="preserve"> estimate the number of worlds required for a minimum practical effect of 0.02 without making an outcome claim.</w:t>
      </w:r>
    </w:p>
    <w:p>
      <w:pPr>
        <w:pStyle w:val="ListNumber"/>
        <w:spacing w:after="80" w:line="290" w:lineRule="auto"/>
        <w:ind w:left="540" w:hanging="279"/>
      </w:pPr>
      <w:r>
        <w:rPr>
          <w:b/>
        </w:rPr>
        <w:t>Reduced discovery:</w:t>
      </w:r>
      <w:r>
        <w:t xml:space="preserve"> train five models on four independent generator families; compute cellwise best-real effects; select one law from six prespecified families.</w:t>
      </w:r>
    </w:p>
    <w:p>
      <w:pPr>
        <w:pStyle w:val="ListNumber"/>
        <w:spacing w:after="80" w:line="290" w:lineRule="auto"/>
        <w:ind w:left="540" w:hanging="279"/>
      </w:pPr>
      <w:r>
        <w:rPr>
          <w:b/>
        </w:rPr>
        <w:t>Freeze:</w:t>
      </w:r>
      <w:r>
        <w:t xml:space="preserve"> store coefficients, thresholds, hashes, family split, and a prohibition on using the candidate for the grand outcome.</w:t>
      </w:r>
    </w:p>
    <w:p>
      <w:pPr>
        <w:pStyle w:val="ListNumber"/>
        <w:spacing w:after="80" w:line="290" w:lineRule="auto"/>
        <w:ind w:left="540" w:hanging="279"/>
      </w:pPr>
      <w:r>
        <w:rPr>
          <w:b/>
        </w:rPr>
        <w:t>Held-out reduced confirmation:</w:t>
      </w:r>
      <w:r>
        <w:t xml:space="preserve"> evaluate the frozen law and architecture effect on four untouched families with new seeds.</w:t>
      </w:r>
    </w:p>
    <w:p>
      <w:pPr>
        <w:pStyle w:val="ListNumber"/>
        <w:spacing w:after="80" w:line="290" w:lineRule="auto"/>
        <w:ind w:left="540" w:hanging="279"/>
      </w:pPr>
      <w:r>
        <w:rPr>
          <w:b/>
        </w:rPr>
        <w:t>Grand preflight:</w:t>
      </w:r>
      <w:r>
        <w:t xml:space="preserve"> open no sealed outcome unless every readiness gate passes.</w:t>
      </w:r>
    </w:p>
    <w:p>
      <w:pPr>
        <w:pStyle w:val="Heading2"/>
      </w:pPr>
      <w:r>
        <w:t>Sample structure</w:t>
      </w:r>
    </w:p>
    <w:p>
      <w:r>
        <w:t>Discovery trained 200 model instances: four families x two training sizes x five training seeds x five models. Their evaluation generated 14,400 metric records and 2,880 complex-minus-best-real nested effects across 24 worlds and three severities. Held-out evaluation trained 100 instances: four families x one training size x five seeds x five models. It generated 9,600 records and 1,920 nested effects across 32 worlds and three severities.</w:t>
      </w:r>
    </w:p>
    <w:p>
      <w:r>
        <w:t>The hierarchical summary gives equal weight to generator family and treats world as the top-level resampling unit, with training-seed observations nested within world. The held-out analysis uses 20,000 bootstrap resamples over four families, 128 worlds, and 640 family-world-seed observations. A two-sided world-level sign-flip test is reported as exploratory because the reduced profile is outcome-ineligible.</w:t>
      </w:r>
    </w:p>
    <w:p>
      <w:pPr>
        <w:pStyle w:val="Heading2"/>
      </w:pPr>
      <w:r>
        <w:t>Frozen decision thresholds</w:t>
      </w:r>
    </w:p>
    <w:p>
      <w:r>
        <w:t>A favorable architecture result required a positive aggregate effect whose multiplicity-adjusted interval exceeded +0.02. Law confirmation required all three of R2 at least 0.50, effect-sign accuracy at least 0.80, and MAE at most 0.015. The grand experiment required all readiness gates, not a majority vote. The benchmark-access code therefore returned before execution when any mandatory gate failed.</w:t>
      </w:r>
    </w:p>
    <w:p>
      <w:pPr>
        <w:pStyle w:val="Heading2"/>
      </w:pPr>
      <w:r>
        <w:t>Outcome eligibility</w:t>
      </w:r>
    </w:p>
    <w:p>
      <w:r>
        <w:t>The discovery and held-out studies were intentionally useful but insufficient substitutes for the full program. Their protocol deviations were written into each result artifact: omitted training sizes, incomplete real envelope, one-trial search, incomplete ShiftGauntlet, and no authority to support the strongest outcome category or QN-GRAND-001. We report their numerical results because they are direct evidence about the candidate claim; we do not relabel them as the preregistered grand confirmation.</w:t>
      </w:r>
    </w:p>
    <w:p>
      <w:pPr>
        <w:pStyle w:val="Heading2"/>
      </w:pPr>
      <w:r>
        <w:t>Statistical estimands</w:t>
      </w:r>
    </w:p>
    <w:p>
      <w:r>
        <w:t>The principal descriptive estimand is mean complex top-1 minus cellwise best-real top-1. We also report the median, trimmed mean, worst decile, and probability of superiority. Exact-real checks use maximum absolute metric differences. The law uses 12 family-by-severity aggregate cells in discovery and 12 in held-out evaluation. All result directories, analysis code, claim text, and figure inputs are distributed with the repository.</w:t>
      </w:r>
    </w:p>
    <w:p>
      <w:pPr>
        <w:pStyle w:val="Heading1"/>
      </w:pPr>
      <w:r>
        <w:t>Results</w:t>
      </w:r>
    </w:p>
    <w:p>
      <w:pPr>
        <w:pStyle w:val="Heading2"/>
      </w:pPr>
      <w:r>
        <w:t>Comparator identity changes the conclusion</w:t>
      </w:r>
    </w:p>
    <w:p>
      <w:r>
        <w:t>The historical within-NeuroWorld comparison is positive: complex minus two-channel real at moderate shift is +0.0602 top-1. The stronger comparisons are all non-positive. The QN-000031 power pilot estimates -0.0552 at size 1,000. Reduced discovery estimates -0.0370 against the cellwise best-real envelope. Held-out reduced confirmation estimates -0.00916. These values arise from different task surfaces and are not combined as a meta-analysis. Their joint role is diagnostic: the sign of the conclusion depends on which real comparator and task family are named.</w:t>
      </w:r>
    </w:p>
    <w:p>
      <w:pPr>
        <w:pStyle w:val="Heading2"/>
      </w:pPr>
      <w:r>
        <w:t>Exact real computation reproduces the candidate</w:t>
      </w:r>
    </w:p>
    <w:p>
      <w:r>
        <w:t>In the held-out study, complex and exact-real top-1 accuracies match in every one of 1,920 nested cells. Maximum absolute differences are 0 for top-1, 3.58 x 10^-7 for NLL, and 1.19 x 10^-7 for ECE. The earlier mapped mechanism experiment found maximum metric disagreement of approximately 4.8 x 10^-7. This replication across four new generator families supports implementation-level equivalence at numerical precision.</w:t>
      </w:r>
    </w:p>
    <w:p>
      <w:r>
        <w:t>The exact-real control wins the best-real selection in 1,478 held-out cells, while the real polar operator wins 442. The complex operator wins none. Because the exact block is constrained to the same mapped structure, these results do not show that an unrestricted real model is inherently better. They show that explicitly complex arithmetic is not required to obtain the candidate's computation and does not create a favorable top-1 effect in the tested training pipeline.</w:t>
      </w:r>
    </w:p>
    <w:p>
      <w:pPr>
        <w:pStyle w:val="Heading2"/>
      </w:pPr>
      <w:r>
        <w:t>Reduced discovery yields no positive effects</w:t>
      </w:r>
    </w:p>
    <w:p>
      <w:r>
        <w:t>Across 2,880 nested discovery effects, zero are positive and the mean is -0.03695. The result spans four generator families, two training sizes, five training seeds, 24 worlds, and three severities. It is outcome-ineligible because only five models and one search configuration per model were executed. Nevertheless, it provides no empirical basis for advancing an intrinsic complex-advantage claim.</w:t>
      </w:r>
    </w:p>
    <w:p>
      <w:r>
        <w:t>Six structural relationship families were fit to 12 family-by-severity aggregates. The quadratic candidate minimized the prespecified selection proxy, with discovery R2 0.9487 and MAE 0.002604. Its predictors were empirical order-target mutual information and shift severity. The frozen artifact explicitly prohibited a general-law claim and use for the grand outcome.</w:t>
      </w:r>
    </w:p>
    <w:p>
      <w:pPr>
        <w:pStyle w:val="Heading2"/>
      </w:pPr>
      <w:r>
        <w:t>The frozen relationship fails untouched families</w:t>
      </w:r>
    </w:p>
    <w:p>
      <w:r>
        <w:t>Held-out evaluation contains 1,920 nested effects. Zero are positive, 1,538 are exactly zero at the recorded precision, and the remaining 382 are negative. The mean is -0.009158, median 0, standard deviation 0.02355, 10% trimmed mean -0.002485, and worst-decile mean -0.04167. Across 128 world summaries, the mean is again -0.009158 and the median is -0.008056.</w:t>
      </w:r>
    </w:p>
    <w:p>
      <w:r>
        <w:t>The hierarchical bootstrap interval is -0.01325 to -0.00457. The exploratory two-sided world sign-flip p value is approximately 5.0 x 10^-6. Because the profile is outcome-ineligible, this p value cannot promote the study into the preregistered grand category. It instead quantifies the consistency of a non-positive effect within the executed scope.</w:t>
      </w:r>
    </w:p>
    <w:p>
      <w:r>
        <w:t>The frozen quadratic relationship transfers only the sign. Held-out sign accuracy is 1.0 because both predicted and observed aggregates are non-positive. Magnitude prediction fails: R2 is -30.94 and MAE is 0.03126, violating the frozen R2 and MAE thresholds. No coefficients were changed after this result. QN-LAW-001 is therefore a failed candidate, not a general computational law.</w:t>
      </w:r>
    </w:p>
    <w:p>
      <w:pPr>
        <w:keepNext/>
        <w:spacing w:before="100" w:after="40"/>
        <w:jc w:val="center"/>
      </w:pPr>
      <w:r>
        <w:drawing>
          <wp:inline xmlns:a="http://schemas.openxmlformats.org/drawingml/2006/main" xmlns:pic="http://schemas.openxmlformats.org/drawingml/2006/picture">
            <wp:extent cx="5333017" cy="3794760"/>
            <wp:docPr id="1" name="Picture 1" descr="Four-stage evidence figure showing a positive historical effect, negative best-real comparisons, failed held-out law prediction, and an unopened grand benchmark." title="Q-Neuro research figure"/>
            <wp:cNvGraphicFramePr>
              <a:graphicFrameLocks noChangeAspect="1"/>
            </wp:cNvGraphicFramePr>
            <a:graphic>
              <a:graphicData uri="http://schemas.openxmlformats.org/drawingml/2006/picture">
                <pic:pic>
                  <pic:nvPicPr>
                    <pic:cNvPr id="0" name="falsification_phase.png"/>
                    <pic:cNvPicPr/>
                  </pic:nvPicPr>
                  <pic:blipFill>
                    <a:blip r:embed="rId11"/>
                    <a:stretch>
                      <a:fillRect/>
                    </a:stretch>
                  </pic:blipFill>
                  <pic:spPr>
                    <a:xfrm>
                      <a:off x="0" y="0"/>
                      <a:ext cx="5333017" cy="3794760"/>
                    </a:xfrm>
                    <a:prstGeom prst="rect"/>
                  </pic:spPr>
                </pic:pic>
              </a:graphicData>
            </a:graphic>
          </wp:inline>
        </w:drawing>
      </w:r>
    </w:p>
    <w:p>
      <w:pPr>
        <w:pStyle w:val="Caption"/>
      </w:pPr>
      <w:r>
        <w:rPr>
          <w:b/>
        </w:rPr>
        <w:t xml:space="preserve">Figure 1 | </w:t>
      </w:r>
      <w:r>
        <w:t>Comparator-sensitive effects and prospective stop decisions. The historical positive estimate compares the complex operator with a non-equivalent two-channel real model. Pilot, discovery, and held-out estimates use a best-real envelope that includes the exact block. The held-out interval is a family/world/seed hierarchical bootstrap. The final panel records the failed frozen law and the blocked sealed experiment.</w:t>
      </w:r>
    </w:p>
    <w:p>
      <w:pPr>
        <w:pStyle w:val="Heading2"/>
      </w:pPr>
      <w:r>
        <w:t>The grand benchmark remains sealed</w:t>
      </w:r>
    </w:p>
    <w:p>
      <w:r>
        <w:t>QN-GRAND-001 passed eight readiness checks, including the repaired shortcut audit, exact-real equivalence, power planning, frozen-law presence, held-out family separation, and nonmedical scope. It failed six mandatory gates: only 4 of 14 required real controls were present; each evaluated model had one search trial instead of the required 8 or 10; FLOPs and optimizer-step records were missing; the full ShiftGauntlet outcome grid was absent; discovery was reduced rather than full; and raw predictions were not preserved.</w:t>
      </w:r>
    </w:p>
    <w:p>
      <w:r>
        <w:t xml:space="preserve">The preflight returned </w:t>
      </w:r>
      <w:r>
        <w:rPr>
          <w:rFonts w:ascii="Courier New" w:hAnsi="Courier New"/>
          <w:sz w:val="19"/>
        </w:rPr>
        <w:t>blocked_before_execution</w:t>
      </w:r>
      <w:r>
        <w:t xml:space="preserve">. It records </w:t>
      </w:r>
      <w:r>
        <w:rPr>
          <w:rFonts w:ascii="Courier New" w:hAnsi="Courier New"/>
          <w:sz w:val="19"/>
        </w:rPr>
        <w:t>executed=false</w:t>
      </w:r>
      <w:r>
        <w:t xml:space="preserve"> and </w:t>
      </w:r>
      <w:r>
        <w:rPr>
          <w:rFonts w:ascii="Courier New" w:hAnsi="Courier New"/>
          <w:sz w:val="19"/>
        </w:rPr>
        <w:t>sealed_benchmark_opened=false</w:t>
      </w:r>
      <w:r>
        <w:t>, with no primary effect estimate. The stop is a result of the protocol, not an operational accident. Opening the benchmark after a failed gate would convert a prospective test into an exploratory analysis and is deliberately unsupported by the release code.</w:t>
      </w:r>
    </w:p>
    <w:p>
      <w:pPr>
        <w:pStyle w:val="Heading1"/>
      </w:pPr>
      <w:r>
        <w:t>Mechanism and falsification tests</w:t>
      </w:r>
    </w:p>
    <w:p>
      <w:pPr>
        <w:pStyle w:val="Heading2"/>
      </w:pPr>
      <w:r>
        <w:t>Phase interventions are destructive but not identifying</w:t>
      </w:r>
    </w:p>
    <w:p>
      <w:r>
        <w:t>Earlier Q-Neuro studies set learned phases to zero, randomized them, or otherwise disrupted phase-sensitive paths after training. Large accuracy drops show that the trained complex parameterization uses those coordinates. They do not show that a real model cannot implement the same function. Any trained representation can be damaged by an off-manifold intervention to parameters on which it depends.</w:t>
      </w:r>
    </w:p>
    <w:p>
      <w:r>
        <w:t>The mapped exact-real experiment resolves this ambiguity. It preserves the phase-equivalent information in paired real coordinates and reproduces the complete computation. Phase use is therefore a mechanism description of one parameterization, not evidence of unique representational capacity.</w:t>
      </w:r>
    </w:p>
    <w:p>
      <w:pPr>
        <w:pStyle w:val="Heading2"/>
      </w:pPr>
      <w:r>
        <w:t>Stronger real controls dominate weak ablations</w:t>
      </w:r>
    </w:p>
    <w:p>
      <w:r>
        <w:t>A two-channel real model is useful only if its coupling constraints are stated. Independent channels, unconstrained mixing, and the tied block [[A, -B], [B, A]] are different hypotheses. The historical control did not isolate the structured coupling. The exact block does, and the broader best-real envelope tests whether other sequential biases perform still better.</w:t>
      </w:r>
    </w:p>
    <w:p>
      <w:pPr>
        <w:pStyle w:val="Heading2"/>
      </w:pPr>
      <w:r>
        <w:t>Shortcut red-team</w:t>
      </w:r>
    </w:p>
    <w:p>
      <w:r>
        <w:t>The benchmark pipeline includes a shortcut audit for metadata, ordering artifacts, and unintended tokens. An initial gate violation was repaired before the next-phase experiments, and the final red-team check passed its frozen threshold. This supports the integrity of the executed synthetic tasks but does not eliminate all generator artifacts. Since the generators are known to the investigator, independent reimplementation remains necessary.</w:t>
      </w:r>
    </w:p>
    <w:p>
      <w:pPr>
        <w:pStyle w:val="Heading2"/>
      </w:pPr>
      <w:r>
        <w:t>Commutative and noncommutative tasks</w:t>
      </w:r>
    </w:p>
    <w:p>
      <w:r>
        <w:t>The independent suites deliberately include both order-insensitive and fully order-dependent families. This prevents a positive result from being attributed merely to selecting tasks that favor rotational or noncommutative updates. The complex model does not obtain a positive best-real effect in either regime. The failed law further shows that observed-order mutual information and severity do not quantitatively explain effect magnitude on new generator families under the frozen quadratic form.</w:t>
      </w:r>
    </w:p>
    <w:p>
      <w:pPr>
        <w:pStyle w:val="Heading2"/>
      </w:pPr>
      <w:r>
        <w:t>Negative evidence preserved</w:t>
      </w:r>
    </w:p>
    <w:p>
      <w:r>
        <w:t>Smoke runs, failed shortcut versions, and failed law fits remain registered rather than overwritten. QN-000041, for example, is a smoke-profile failure with too few aggregate cells for the frozen law fitter and is not promoted into evidence. The release distinguishes execution tests, discovery, provisional confirmation, and the unopened grand experiment in both directory structure and claim language.</w:t>
      </w:r>
    </w:p>
    <w:p>
      <w:pPr>
        <w:pStyle w:val="Heading1"/>
      </w:pPr>
      <w:r>
        <w:t>Interpretation of learned state</w:t>
      </w:r>
    </w:p>
    <w:p>
      <w:pPr>
        <w:pStyle w:val="Heading2"/>
      </w:pPr>
      <w:r>
        <w:t>What exact equivalence permits us to say</w:t>
      </w:r>
    </w:p>
    <w:p>
      <w:r>
        <w:t>Complex coordinates can provide an economical language for rotations, relative phase, and ordered evidence updates. They may make a mechanism easier to write or constrain. In Q-Neuro, trajectories, amplitudes, entropies, state velocities, and phase-sensitive readouts are observable, and destructive interventions show dependence on several of these quantities. Exact-real equivalence means that such observables should be interpreted as coordinates of a structured dynamical system, not as evidence that the system requires intrinsically complex arithmetic.</w:t>
      </w:r>
    </w:p>
    <w:p>
      <w:pPr>
        <w:pStyle w:val="Heading2"/>
      </w:pPr>
      <w:r>
        <w:t>Probe evidence is not unique</w:t>
      </w:r>
    </w:p>
    <w:p>
      <w:r>
        <w:t>Earlier frozen-state probes recovered synthetic simulator factors such as mechanism, localization, temporality, and context from complex states. Conventional recurrent and state-space controls recovered the same factors as well or better. Linear decodability establishes accessibility to a probe, not causal use, disentanglement, or human interpretability. The current paper therefore treats probe results as historical mechanism observations rather than support for the primary claim.</w:t>
      </w:r>
    </w:p>
    <w:p>
      <w:pPr>
        <w:pStyle w:val="Heading2"/>
      </w:pPr>
      <w:r>
        <w:t>A more defensible explanatory object</w:t>
      </w:r>
    </w:p>
    <w:p>
      <w:r>
        <w:t>The strongest explanation produced by the project is the comparator transformation itself. The positive result versus the two-channel model is real within its declared benchmark. The exact block shows which part is a coordinate choice. The best-real envelope shows that the claimed advantage is not stable under control strengthening. The law failure shows that a compact post hoc pattern does not transfer. These linked artifacts explain why the scientific conclusion changed without erasing the original evidence.</w:t>
      </w:r>
    </w:p>
    <w:p>
      <w:pPr>
        <w:pStyle w:val="Heading2"/>
      </w:pPr>
      <w:r>
        <w:t>Limits of mechanistic language</w:t>
      </w:r>
    </w:p>
    <w:p>
      <w:r>
        <w:t>Terms such as coherence, interference, Hamiltonian, and measurement are mathematical descriptions in this repository. They do not establish a physical quantum substrate, biological plausibility, or a cognitive theory. A future mechanistic claim would require interventions that discriminate between mapped parameterizations, predeclared causal predictions, and independent replication on tasks whose generators were not designed by the project.</w:t>
      </w:r>
    </w:p>
    <w:p>
      <w:pPr>
        <w:pStyle w:val="Heading1"/>
      </w:pPr>
      <w:r>
        <w:t>Limitations</w:t>
      </w:r>
    </w:p>
    <w:p>
      <w:pPr>
        <w:pStyle w:val="Heading2"/>
      </w:pPr>
      <w:r>
        <w:t>Synthetic evidence and external validity</w:t>
      </w:r>
    </w:p>
    <w:p>
      <w:r>
        <w:t>All next-phase tasks are synthetic and nonclinical. No external real-world dataset was selected, licensed, preregistered, or evaluated. The task families expose useful structural variables, but their labels, shifts, and order semantics are authored by the same research program that evaluates them. Performance does not imply usefulness for medicine, cybersecurity operations, industrial maintenance, or human reasoning despite the nonmedical task metaphors.</w:t>
      </w:r>
    </w:p>
    <w:p>
      <w:pPr>
        <w:pStyle w:val="Heading2"/>
      </w:pPr>
      <w:r>
        <w:t>Reduced comparator and search envelope</w:t>
      </w:r>
    </w:p>
    <w:p>
      <w:r>
        <w:t>Only five model families were executed in discovery and held-out evaluation, yielding four real controls rather than the 14 required by the full preregistration. Each model received one learning-rate configuration, not the required 8 candidate and 10 real-control trials. The result therefore cannot estimate performance under comprehensive tuning. The best-real envelope is also selected within evaluation cells, making it an intentionally severe falsifier rather than a deployable model-selection procedure.</w:t>
      </w:r>
    </w:p>
    <w:p>
      <w:pPr>
        <w:pStyle w:val="Heading2"/>
      </w:pPr>
      <w:r>
        <w:t>Incomplete compute matching</w:t>
      </w:r>
    </w:p>
    <w:p>
      <w:r>
        <w:t>Nominal evaluated parameter budgets are matched, but per-trial FLOPs and optimizer-step counts were not preserved. Wall-clock results depend on CPU implementation and are not used for the central claim. A future full run must record optimizer steps, measured or analytically estimated FLOPs, peak memory, and search totals for every trial.</w:t>
      </w:r>
    </w:p>
    <w:p>
      <w:pPr>
        <w:pStyle w:val="Heading2"/>
      </w:pPr>
      <w:r>
        <w:t>Missing raw predictions</w:t>
      </w:r>
    </w:p>
    <w:p>
      <w:r>
        <w:t>The reduced experiments preserve aggregate metrics and paired effects but not raw per-case prediction arrays. This limits reanalysis of alternative calibration, subgroup, and dependence-aware statistics. It also constitutes a mandatory grand-test blocker. The summary can be reproduced from cached aggregate artifacts, but a full independent statistical reconstruction from logits is not possible.</w:t>
      </w:r>
    </w:p>
    <w:p>
      <w:pPr>
        <w:pStyle w:val="Heading2"/>
      </w:pPr>
      <w:r>
        <w:t>Outcome ineligibility</w:t>
      </w:r>
    </w:p>
    <w:p>
      <w:r>
        <w:t>Discovery omits the 5,000 and 25,000 training sizes, and held-out evaluation uses 1,000 rather than the grand-test primary size of 5,000. The full ShiftGauntlet model-outcome grid was not run. Consequently, neither reduced study may support the strongest preregistered outcome category. The observed negative effect is informative about the executed scope but is not a completed universal comparison.</w:t>
      </w:r>
    </w:p>
    <w:p>
      <w:pPr>
        <w:pStyle w:val="Heading2"/>
      </w:pPr>
      <w:r>
        <w:t>Investigator and replication limits</w:t>
      </w:r>
    </w:p>
    <w:p>
      <w:r>
        <w:t>The code, benchmark, prior-art review, analyses, and manuscript were produced by one independent investigator with coding-assistant support. The prior-art review is primary-source-led but not systematic; patents, theses, non-English work, and unpublished industrial results were not exhaustively screened. No independent team has yet rerun the pipeline or audited the generator semantics.</w:t>
      </w:r>
    </w:p>
    <w:p>
      <w:pPr>
        <w:pStyle w:val="Heading2"/>
      </w:pPr>
      <w:r>
        <w:t>Statistical limits</w:t>
      </w:r>
    </w:p>
    <w:p>
      <w:r>
        <w:t>Only four held-out generator families contribute to the top level of the hierarchy. Worlds and training seeds are numerous but are not substitutes for diverse generator mechanisms. The hierarchical interval assumes the implemented resampling hierarchy, while the exploratory sign-flip test is not outcome-eligible. Exact zero effects partly reflect finite test-set resolution and shared mapped predictions.</w:t>
      </w:r>
    </w:p>
    <w:p>
      <w:pPr>
        <w:pStyle w:val="Heading2"/>
      </w:pPr>
      <w:r>
        <w:t>What the result does not falsify</w:t>
      </w:r>
    </w:p>
    <w:p>
      <w:r>
        <w:t>The study does not falsify every complex-valued network, every nonlinear complex activation, phase-native input domain, alternative optimizer, or efficiency objective. It also does not establish that unconstrained real networks always dominate. It falsifies an intrinsic robustness advantage for the implemented Q-Neuro operator over its exact and strongest tested real controls under the executed synthetic profiles.</w:t>
      </w:r>
    </w:p>
    <w:p>
      <w:pPr>
        <w:pStyle w:val="Heading1"/>
      </w:pPr>
      <w:r>
        <w:t>Safety and responsible use</w:t>
      </w:r>
    </w:p>
    <w:p>
      <w:pPr>
        <w:pStyle w:val="Heading2"/>
      </w:pPr>
      <w:r>
        <w:t>Nonclinical boundary</w:t>
      </w:r>
    </w:p>
    <w:p>
      <w:r>
        <w:t>Q-Neuro is a computational research repository. It has not been trained or evaluated on patient records, has no diagnostic indication, and provides no estimate of sensitivity, specificity, patient benefit, fairness, robustness in care settings, or clinical safety. Disease-like names in NeuroWorld are fictional task labels. The independent families are likewise synthetic, including the machine-fault and network-intrusion metaphors.</w:t>
      </w:r>
    </w:p>
    <w:p>
      <w:r>
        <w:t>The repository and manuscript must not be presented as a medical device, clinical decision support system, or validated diagnostic model. Any future patient-data work would require separate governance, ethics review, privacy protections, clinical experts, external validation, prospective evaluation, and regulatory analysis. It could not retroactively validate the present synthetic claims.</w:t>
      </w:r>
    </w:p>
    <w:p>
      <w:pPr>
        <w:pStyle w:val="Heading2"/>
      </w:pPr>
      <w:r>
        <w:t>Quantum-language boundary</w:t>
      </w:r>
    </w:p>
    <w:p>
      <w:r>
        <w:t>Complex amplitudes, phase, interference-like readout, density matrices, and noncommuting updates are mathematical tools. Their use does not demonstrate quantum hardware, quantum speedup, quantum biology, or a quantum mechanism of human judgment. The code runs on ordinary classical hardware. Claims are worded in terms of implemented computations and observed synthetic metrics.</w:t>
      </w:r>
    </w:p>
    <w:p>
      <w:pPr>
        <w:pStyle w:val="Heading2"/>
      </w:pPr>
      <w:r>
        <w:t>Misuse-resistant release</w:t>
      </w:r>
    </w:p>
    <w:p>
      <w:r>
        <w:t>The release places limitations and failed claims in machine-readable ledgers, makes the negative result the first dashboard finding, and reports the unopened grand benchmark prominently. The paper retains the historical positive estimate only with its comparator identity. These measures reduce the risk that a single favorable number is detached from the control audit.</w:t>
      </w:r>
    </w:p>
    <w:p>
      <w:pPr>
        <w:pStyle w:val="Heading2"/>
      </w:pPr>
      <w:r>
        <w:t>Required future validation</w:t>
      </w:r>
    </w:p>
    <w:p>
      <w:r>
        <w:t>Before any operational domain is considered, a future protocol must freeze a real dataset version and license, environment split, target, exclusions, leakage tests, comparator envelope, compute budget, primary metric, uncertainty method, and stop rule before final labels are accessed. Clinical domains additionally require domain-specific safety analysis and cannot be treated as ordinary benchmark extensions.</w:t>
      </w:r>
    </w:p>
    <w:p>
      <w:pPr>
        <w:pStyle w:val="Heading1"/>
      </w:pPr>
      <w:r>
        <w:t>Discussion</w:t>
      </w:r>
    </w:p>
    <w:p>
      <w:r>
        <w:t>The central result is not that the original experiment was numerically wrong. It is that its scientific interpretation depended on a non-equivalent comparator. Within NeuroWorld, the complex operator did outperform the historical two-channel real model. Once the exact tied real block is implemented, the computation is reproduced at numerical precision. Once the comparison is expanded to the strongest real model in each matched cell, the apparent advantage becomes non-positive throughout reduced pilot, discovery, and held-out evaluation.</w:t>
      </w:r>
    </w:p>
    <w:p>
      <w:r>
        <w:t>This distinction matters beyond Q-Neuro. Structured architectures are often given carefully designed constraints while controls are represented by generic model names. Equal parameter counts do not make two hypothesis classes diagnostic of the same mechanism. An exact implementation-level control can be more informative than a larger collection of conventional baselines because it identifies whether the claimed arithmetic is necessary. Broader controls remain essential for the separate question of practical architecture performance.</w:t>
      </w:r>
    </w:p>
    <w:p>
      <w:r>
        <w:t>The law experiment provides a second lesson. The quadratic relationship between order information, severity, and the performance gap looked compelling in discovery: R2 was 0.949 and MAE was 0.00260. Its held-out R2 of -30.94 shows how easily a smooth pattern over 12 aggregate cells can be mistaken for a general law. Sign transfer is uninformative here because every effect is non-positive. Freezing the coefficients and thresholds converts that seductive fit into a useful negative result.</w:t>
      </w:r>
    </w:p>
    <w:p>
      <w:r>
        <w:t>The blocked grand experiment is also part of the evidence. Six missing requirements are not paperwork defects. Incomplete real controls, unequal search budgets, missing compute records, an incomplete shift grid, reduced discovery, and absent raw predictions each create a route by which a confirmatory number could be disputed or reinterpreted. The protocol therefore keeps the sealed benchmark untouched. A future team can complete the gates without inheriting a contaminated primary outcome.</w:t>
      </w:r>
    </w:p>
    <w:p>
      <w:r>
        <w:t>There remains a narrower positive research direction. Complex coordinates may be a concise parameterization for phase-native data, or may induce useful optimization in settings not tested here. The real-block identity does not make parameterizations interchangeable under every optimizer and nonlinearity [5,6]. Such hypotheses should be phrased against exact mapped controls, measured on objectives beyond top-1 accuracy, and separated from claims of unique representational capacity.</w:t>
      </w:r>
    </w:p>
    <w:p>
      <w:r>
        <w:t>Negative results are sometimes described as failures to discover. Here they are the discovery. The evidence shows exactly where a promising claim breaks: at comparator equivalence, at best-real selection, at held-out quantitative prediction, and at the boundary between a reduced study and a grand confirmation. The release is designed so that these boundaries are easier to cite than the original promotional interpretation.</w:t>
      </w:r>
    </w:p>
    <w:p>
      <w:pPr>
        <w:pStyle w:val="Heading1"/>
      </w:pPr>
      <w:r>
        <w:t>Conclusion</w:t>
      </w:r>
    </w:p>
    <w:p>
      <w:r>
        <w:t>An apparent complex-valued robustness advantage does not survive an exact real control. The Q-Neuro complex operator and its tied real block produce the same held-out predictions at numerical precision, and the executed best-real envelope yields zero positive complex effects in 2,880 discovery and 1,920 held-out cells. A frozen quadratic candidate fits discovery but fails held-out magnitude prediction. The preregistered grand benchmark remains sealed because six readiness gates are unmet.</w:t>
      </w:r>
    </w:p>
    <w:p>
      <w:r>
        <w:t>These findings falsify an intrinsic complex-arithmetic interpretation within the tested synthetic scope. They do not establish a universal ranking of complex and real networks, and they provide no clinical or quantum-mechanistic evidence. The durable contribution is methodological: preserve the positive result, strengthen the control until it can reproduce the candidate, freeze the next prediction, publish the failure, and refuse to open a confirmatory benchmark before the protocol is ready.</w:t>
      </w:r>
    </w:p>
    <w:p>
      <w:pPr>
        <w:pStyle w:val="Heading1"/>
      </w:pPr>
      <w:r>
        <w:t>Extended methods and supplementary results</w:t>
      </w:r>
    </w:p>
    <w:p>
      <w:pPr>
        <w:pStyle w:val="Heading2"/>
      </w:pPr>
      <w:r>
        <w:t>A. Preregistration hierarchy</w:t>
      </w:r>
    </w:p>
    <w:p>
      <w:r>
        <w:t>The next-phase preregistration distinguishes exploratory smoke tests, reduced discovery, provisional held-out confirmation, and QN-GRAND-001. Only the grand protocol can support its strongest outcome category. Result directories carry the preregistration identifier, hypothesis identifier, configuration, environment, and status. Smoke profiles explicitly state that they are not evidence.</w:t>
      </w:r>
    </w:p>
    <w:p>
      <w:r>
        <w:t>The minimum practical favorable effect is +0.02 top-1. A complex advantage would require a positive aggregate estimate whose adjusted interval clears that value against the full real envelope. An equivalence or negative result against the exact real block adjudicates the intrinsic-arithmetic claim separately from performance against other real architectures.</w:t>
      </w:r>
    </w:p>
    <w:p>
      <w:pPr>
        <w:pStyle w:val="Heading2"/>
      </w:pPr>
      <w:r>
        <w:t>B. Discovery configuration</w:t>
      </w:r>
    </w:p>
    <w:p>
      <w:r>
        <w:t>Discovery families were analytic commutative, analytic noncommutative, hidden causal machine, and sequential detective. The source world seed was 81001. Training sizes were 250 and 1,000; validation used 300 cases; each shifted test world used 120 cases; and each counterfactual set used 40 pairs. Twenty-four world seeds and severities 0.0, 0.5, and 1.0 were crossed with five training seeds.</w:t>
      </w:r>
    </w:p>
    <w:p>
      <w:r>
        <w:t>The five evaluated models were complex operator, exact-real-block operator, structured state space, GRU, and real polar operator. Each used the same nominal parameter budget of 20,304, rank 2 for operator models, sequence limit 96, batch size 128, learning rate 0.001, weight decay 0.0001, six epochs, and patience three. Discovery produced 200 training runs, 14,400 evaluation records, and 2,880 paired effects.</w:t>
      </w:r>
    </w:p>
    <w:p>
      <w:pPr>
        <w:pStyle w:val="Heading2"/>
      </w:pPr>
      <w:r>
        <w:t>C. Held-out configuration</w:t>
      </w:r>
    </w:p>
    <w:p>
      <w:r>
        <w:t>Held-out families were Bayesian urn, hidden-rule relational, machine-fault diagnosis, and network-intrusion reasoning. Their order-dependence controls were 0.0, 1.0, 0.3, and 0.75, respectively. The source world seed was 91001. Training size was 1,000, with 300 validation cases, 120 cases per shifted world, 40 counterfactual pairs, 32 new world seeds, and five new training seeds.</w:t>
      </w:r>
    </w:p>
    <w:p>
      <w:r>
        <w:t>Architecture and optimization settings were unchanged. The study produced 100 training runs, 9,600 evaluation records, 1,920 paired effects, and 12 family-by-severity law aggregates. The four families, all seeds, and the confirmation configuration were stored in the frozen artifact before execution.</w:t>
      </w:r>
    </w:p>
    <w:p>
      <w:pPr>
        <w:pStyle w:val="Heading2"/>
      </w:pPr>
      <w:r>
        <w:t>D. Frozen candidate coefficients</w:t>
      </w:r>
    </w:p>
    <w:p>
      <w:r>
        <w:t>For predictors I (empirical observed-order target mutual information) and q (shift severity), QN-LAW-001 used coefficients in the order intercept, I, q, I squared, Iq, and q squared:</w:t>
      </w:r>
    </w:p>
    <w:p>
      <w:pPr>
        <w:pStyle w:val="PaperEquation"/>
        <w:pBdr>
          <w:bottom w:val="single" w:sz="4" w:space="8" w:color="D9E3EA"/>
        </w:pBdr>
      </w:pPr>
      <w:r>
        <w:t>b = (-0.0344888, 0.125439, -0.0289943, -0.210788, 0.00596384, 0.0203217).</w:t>
      </w:r>
    </w:p>
    <w:p>
      <w:r>
        <w:t>The candidate was selected by a minimum-BIC proxy across six prespecified families with deterministic complexity and name tie breaks. Discovery contained only 12 aggregate cells. The frozen artifact labeled the candidate provisional, forbade a general-law claim, and prohibited using it to authorize QN-GRAND-001.</w:t>
      </w:r>
    </w:p>
    <w:p>
      <w:pPr>
        <w:pStyle w:val="Heading2"/>
      </w:pPr>
      <w:r>
        <w:t>E. Hierarchical analysis</w:t>
      </w:r>
    </w:p>
    <w:p>
      <w:r>
        <w:t>The held-out hierarchical estimate is computed from 640 family-world-seed observations after averaging lower-level severity effects as specified by the analysis. Resampling gives equal top-level weight to the four generator families and resamples worlds and seed observations within family. Twenty thousand resamples yield an estimate of -0.009158 and a 95% interval from -0.013251 to -0.004570.</w:t>
      </w:r>
    </w:p>
    <w:p>
      <w:r>
        <w:t>The nested distribution has n = 1,920, median 0, standard deviation 0.02355, probability of superiority 0, trimmed mean -0.002485, and worst-decile mean -0.04167. The world distribution has n = 128, median -0.008056, standard deviation 0.007361, trimmed mean -0.008397, and worst-decile mean -0.01944.</w:t>
      </w:r>
    </w:p>
    <w:p>
      <w:pPr>
        <w:pStyle w:val="Heading2"/>
      </w:pPr>
      <w:r>
        <w:t>F. Grand-test readiness decision</w:t>
      </w:r>
    </w:p>
    <w:p>
      <w:r>
        <w:t>The QN-GRAND-001 preflight passed eight checks and failed six. Failed gates were:</w:t>
      </w:r>
    </w:p>
    <w:p>
      <w:pPr>
        <w:pStyle w:val="ListBullet"/>
        <w:spacing w:after="80" w:line="290" w:lineRule="auto"/>
        <w:ind w:left="540" w:hanging="279"/>
      </w:pPr>
      <w:r>
        <w:t>Complete the 14-model real comparator envelope; only four required real controls were evaluated.</w:t>
      </w:r>
    </w:p>
    <w:p>
      <w:pPr>
        <w:pStyle w:val="ListBullet"/>
        <w:spacing w:after="80" w:line="290" w:lineRule="auto"/>
        <w:ind w:left="540" w:hanging="279"/>
      </w:pPr>
      <w:r>
        <w:t>Execute equal or real-favoring search; observed maximum trials were one per evaluated model.</w:t>
      </w:r>
    </w:p>
    <w:p>
      <w:pPr>
        <w:pStyle w:val="ListBullet"/>
        <w:spacing w:after="80" w:line="290" w:lineRule="auto"/>
        <w:ind w:left="540" w:hanging="279"/>
      </w:pPr>
      <w:r>
        <w:t>Preserve per-trial FLOPs and optimizer steps.</w:t>
      </w:r>
    </w:p>
    <w:p>
      <w:pPr>
        <w:pStyle w:val="ListBullet"/>
        <w:spacing w:after="80" w:line="290" w:lineRule="auto"/>
        <w:ind w:left="540" w:hanging="279"/>
      </w:pPr>
      <w:r>
        <w:t>Execute the full ShiftGauntlet model-outcome grid.</w:t>
      </w:r>
    </w:p>
    <w:p>
      <w:pPr>
        <w:pStyle w:val="ListBullet"/>
        <w:spacing w:after="80" w:line="290" w:lineRule="auto"/>
        <w:ind w:left="540" w:hanging="279"/>
      </w:pPr>
      <w:r>
        <w:t>Complete the full rather than reduced discovery protocol.</w:t>
      </w:r>
    </w:p>
    <w:p>
      <w:pPr>
        <w:pStyle w:val="ListBullet"/>
        <w:spacing w:after="80" w:line="290" w:lineRule="auto"/>
        <w:ind w:left="540" w:hanging="279"/>
      </w:pPr>
      <w:r>
        <w:t>Preserve raw prediction artifacts.</w:t>
      </w:r>
    </w:p>
    <w:p>
      <w:r>
        <w:t xml:space="preserve">The preflight status is </w:t>
      </w:r>
      <w:r>
        <w:rPr>
          <w:rFonts w:ascii="Courier New" w:hAnsi="Courier New"/>
          <w:sz w:val="19"/>
        </w:rPr>
        <w:t>blocked_before_execution</w:t>
      </w:r>
      <w:r>
        <w:t>. The benchmark-access flag is false, the execution flag is false, and no primary effect exists. This artifact is single-use and was not rerun after a documentation amendment.</w:t>
      </w:r>
    </w:p>
    <w:p>
      <w:pPr>
        <w:pStyle w:val="Heading2"/>
      </w:pPr>
      <w:r>
        <w:t>G. Reproducibility and artifact map</w:t>
      </w:r>
    </w:p>
    <w:p>
      <w:r>
        <w:t>The evidence layer contains immutable experiment result directories, a SQLite registry, normalized analysis JSON, the frozen law JSON, a machine-readable claim ledger, a failure ledger, generated PNG and PDF figures, the manuscript source, and a browser-based dashboard. A release verifier checks artifact presence, hashes, claim audit status, QN-GRAND-001 seal status, and the repository test suite. Cached-artifact reproduction does not require rerunning thousands of training evaluations.</w:t>
      </w:r>
    </w:p>
    <w:p>
      <w:pPr>
        <w:pStyle w:val="Heading2"/>
      </w:pPr>
      <w:r>
        <w:t>H. Reporting checklist</w:t>
      </w:r>
    </w:p>
    <w:p>
      <w:pPr>
        <w:pStyle w:val="ListBullet"/>
        <w:spacing w:after="80" w:line="290" w:lineRule="auto"/>
        <w:ind w:left="540" w:hanging="279"/>
      </w:pPr>
      <w:r>
        <w:t>Every effect names its comparator.</w:t>
      </w:r>
    </w:p>
    <w:p>
      <w:pPr>
        <w:pStyle w:val="ListBullet"/>
        <w:spacing w:after="80" w:line="290" w:lineRule="auto"/>
        <w:ind w:left="540" w:hanging="279"/>
      </w:pPr>
      <w:r>
        <w:t>Discovery, held-out reduced confirmation, and grand confirmation are not conflated.</w:t>
      </w:r>
    </w:p>
    <w:p>
      <w:pPr>
        <w:pStyle w:val="ListBullet"/>
        <w:spacing w:after="80" w:line="290" w:lineRule="auto"/>
        <w:ind w:left="540" w:hanging="279"/>
      </w:pPr>
      <w:r>
        <w:t>Exact functional equivalence is separated from optimization and architecture hypotheses.</w:t>
      </w:r>
    </w:p>
    <w:p>
      <w:pPr>
        <w:pStyle w:val="ListBullet"/>
        <w:spacing w:after="80" w:line="290" w:lineRule="auto"/>
        <w:ind w:left="540" w:hanging="279"/>
      </w:pPr>
      <w:r>
        <w:t>Failed thresholds and blocked gates are reported with passed checks.</w:t>
      </w:r>
    </w:p>
    <w:p>
      <w:pPr>
        <w:pStyle w:val="ListBullet"/>
        <w:spacing w:after="80" w:line="290" w:lineRule="auto"/>
        <w:ind w:left="540" w:hanging="279"/>
      </w:pPr>
      <w:r>
        <w:t>No external dataset or patient evidence is implied.</w:t>
      </w:r>
    </w:p>
    <w:p>
      <w:pPr>
        <w:pStyle w:val="ListBullet"/>
        <w:spacing w:after="80" w:line="290" w:lineRule="auto"/>
        <w:ind w:left="540" w:hanging="279"/>
      </w:pPr>
      <w:r>
        <w:t>No priority, clinical, universal-superiority, or physical-quantum claim is made.</w:t>
      </w:r>
    </w:p>
    <w:p>
      <w:pPr>
        <w:pStyle w:val="Heading1"/>
      </w:pPr>
      <w:r>
        <w:t>References</w:t>
      </w:r>
    </w:p>
    <w:p>
      <w:pPr>
        <w:spacing w:after="100"/>
        <w:ind w:left="403" w:hanging="403"/>
      </w:pPr>
      <w:r>
        <w:rPr>
          <w:b/>
        </w:rPr>
        <w:t xml:space="preserve">1. </w:t>
      </w:r>
      <w:r>
        <w:t>Trabelsi, C. et al. Deep complex networks. International Conference on Learning Representations (2018).</w:t>
      </w:r>
    </w:p>
    <w:p>
      <w:pPr>
        <w:spacing w:after="100"/>
        <w:ind w:left="403" w:hanging="403"/>
      </w:pPr>
      <w:r>
        <w:rPr>
          <w:b/>
        </w:rPr>
        <w:t xml:space="preserve">2. </w:t>
      </w:r>
      <w:r>
        <w:t>Arjovsky, M., Shah, A. &amp; Bengio, Y. Unitary evolution recurrent neural networks. Proceedings of ICML 48, 1120-1128 (2016).</w:t>
      </w:r>
    </w:p>
    <w:p>
      <w:pPr>
        <w:spacing w:after="100"/>
        <w:ind w:left="403" w:hanging="403"/>
      </w:pPr>
      <w:r>
        <w:rPr>
          <w:b/>
        </w:rPr>
        <w:t xml:space="preserve">3. </w:t>
      </w:r>
      <w:r>
        <w:t>Jing, L. et al. Tunable efficient unitary neural networks. Proceedings of ICML 70, 1733-1741 (2017).</w:t>
      </w:r>
    </w:p>
    <w:p>
      <w:pPr>
        <w:spacing w:after="100"/>
        <w:ind w:left="403" w:hanging="403"/>
      </w:pPr>
      <w:r>
        <w:rPr>
          <w:b/>
        </w:rPr>
        <w:t xml:space="preserve">4. </w:t>
      </w:r>
      <w:r>
        <w:t>Helfrich, K., Willmott, D. &amp; Ye, Q. Orthogonal recurrent neural networks with scaled Cayley transform. Proceedings of ICML 80, 1969-1978 (2018).</w:t>
      </w:r>
    </w:p>
    <w:p>
      <w:pPr>
        <w:spacing w:after="100"/>
        <w:ind w:left="403" w:hanging="403"/>
      </w:pPr>
      <w:r>
        <w:rPr>
          <w:b/>
        </w:rPr>
        <w:t xml:space="preserve">5. </w:t>
      </w:r>
      <w:r>
        <w:t>Tan, Z.-H., Xie, Y., Jiang, Y. &amp; Zhou, Z.-H. Real-valued backpropagation is unsuitable for complex-valued neural networks. Advances in Neural Information Processing Systems 35 (2022).</w:t>
      </w:r>
    </w:p>
    <w:p>
      <w:pPr>
        <w:spacing w:after="100"/>
        <w:ind w:left="403" w:hanging="403"/>
      </w:pPr>
      <w:r>
        <w:rPr>
          <w:b/>
        </w:rPr>
        <w:t xml:space="preserve">6. </w:t>
      </w:r>
      <w:r>
        <w:t>Wu, J.-H., Zhang, S.-Q., Jiang, Y. &amp; Zhou, Z.-H. Complex-valued neurons can learn more but slower than real-valued neurons via gradient descent. Advances in Neural Information Processing Systems 36 (2023).</w:t>
      </w:r>
    </w:p>
    <w:p>
      <w:pPr>
        <w:spacing w:after="100"/>
        <w:ind w:left="403" w:hanging="403"/>
      </w:pPr>
      <w:r>
        <w:rPr>
          <w:b/>
        </w:rPr>
        <w:t xml:space="preserve">7. </w:t>
      </w:r>
      <w:r>
        <w:t>Altunoren, M. Combinatorial capacity of modReLU complex networks: VC-dimension bounds and lower limits. Transactions on Machine Learning Research (2026).</w:t>
      </w:r>
    </w:p>
    <w:p>
      <w:pPr>
        <w:spacing w:after="100"/>
        <w:ind w:left="403" w:hanging="403"/>
      </w:pPr>
      <w:r>
        <w:rPr>
          <w:b/>
        </w:rPr>
        <w:t xml:space="preserve">8. </w:t>
      </w:r>
      <w:r>
        <w:t>Wang, Z. et al. Context effects produced by question orders reveal quantum nature of human judgments. Proceedings of the National Academy of Sciences 111, 9431-9436 (2014).</w:t>
      </w:r>
    </w:p>
    <w:p>
      <w:pPr>
        <w:spacing w:after="100"/>
        <w:ind w:left="403" w:hanging="403"/>
      </w:pPr>
      <w:r>
        <w:rPr>
          <w:b/>
        </w:rPr>
        <w:t xml:space="preserve">9. </w:t>
      </w:r>
      <w:r>
        <w:t>Trueblood, J. S. &amp; Busemeyer, J. R. A quantum probability model of causal reasoning. Frontiers in Psychology 3, 138 (2012).</w:t>
      </w:r>
    </w:p>
    <w:p>
      <w:pPr>
        <w:spacing w:after="100"/>
        <w:ind w:left="403" w:hanging="403"/>
      </w:pPr>
      <w:r>
        <w:rPr>
          <w:b/>
        </w:rPr>
        <w:t xml:space="preserve">10. </w:t>
      </w:r>
      <w:r>
        <w:t>Yan, H. et al. LI-QiLM: a quantum-inspired language model for text classification. Proceedings of NAACL, 1864-1878 (2024).</w:t>
      </w:r>
    </w:p>
    <w:p>
      <w:pPr>
        <w:spacing w:after="100"/>
        <w:ind w:left="403" w:hanging="403"/>
      </w:pPr>
      <w:r>
        <w:rPr>
          <w:b/>
        </w:rPr>
        <w:t xml:space="preserve">11. </w:t>
      </w:r>
      <w:r>
        <w:t>Srinivasan, S., Gordon, G. &amp; Boots, B. Learning hidden quantum Markov models. Proceedings of AISTATS 84, 1979-1987 (2018).</w:t>
      </w:r>
    </w:p>
    <w:p>
      <w:pPr>
        <w:spacing w:after="100"/>
        <w:ind w:left="403" w:hanging="403"/>
      </w:pPr>
      <w:r>
        <w:rPr>
          <w:b/>
        </w:rPr>
        <w:t xml:space="preserve">12. </w:t>
      </w:r>
      <w:r>
        <w:t>Gu, A., Goel, K. &amp; Re, C. Efficiently modeling long sequences with structured state spaces. International Conference on Learning Representations (2022).</w:t>
      </w:r>
    </w:p>
    <w:p>
      <w:pPr>
        <w:spacing w:after="100"/>
        <w:ind w:left="403" w:hanging="403"/>
      </w:pPr>
      <w:r>
        <w:rPr>
          <w:b/>
        </w:rPr>
        <w:t xml:space="preserve">13. </w:t>
      </w:r>
      <w:r>
        <w:t>Guo, C. et al. On calibration of modern neural networks. Proceedings of ICML 70, 1321-1330 (2017).</w:t>
      </w:r>
    </w:p>
    <w:p>
      <w:pPr>
        <w:spacing w:after="100"/>
        <w:ind w:left="403" w:hanging="403"/>
      </w:pPr>
      <w:r>
        <w:rPr>
          <w:b/>
        </w:rPr>
        <w:t xml:space="preserve">14. </w:t>
      </w:r>
      <w:r>
        <w:t>Hendrycks, D. &amp; Gimpel, K. A baseline for detecting misclassified and out-of-distribution examples in neural networks. International Conference on Learning Representations (2017).</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E6C78"/>
        <w:sz w:val="16"/>
      </w:rPr>
      <w:t xml:space="preserve">Synthetic, nonclinical research manuscript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D9E3EA"/>
      </w:pBdr>
    </w:pPr>
    <w:r>
      <w:rPr>
        <w:rFonts w:ascii="Calibri" w:hAnsi="Calibri"/>
        <w:color w:val="5E6C78"/>
        <w:sz w:val="16"/>
      </w:rPr>
      <w:t>Q-Neuro · Exact controls and comparator-sensitive conclusions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suff w:val="tab"/>
      <w:numFmt w:val="decimal"/>
      <w:pStyle w:val="ListNumber"/>
      <w:lvlText w:val="%1."/>
      <w:lvlJc w:val="left"/>
      <w:pPr>
        <w:tabs>
          <w:tab w:val="num" w:pos="540"/>
        </w:tabs>
        <w:ind w:left="540" w:hanging="279"/>
      </w:pPr>
    </w:lvl>
  </w:abstractNum>
  <w:abstractNum w:abstractNumId="8">
    <w:nsid w:val="FFFFFF89"/>
    <w:multiLevelType w:val="singleLevel"/>
    <w:tmpl w:val="29761A62"/>
    <w:lvl w:ilvl="0">
      <w:start w:val="1"/>
      <w:suff w:val="tab"/>
      <w:numFmt w:val="bullet"/>
      <w:pStyle w:val="ListBullet"/>
      <w:lvlText w:val=""/>
      <w:lvlJc w:val="left"/>
      <w:pPr>
        <w:tabs>
          <w:tab w:val="num" w:pos="540"/>
        </w:tabs>
        <w:ind w:left="540" w:hanging="279"/>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both"/>
    </w:pPr>
    <w:rPr>
      <w:rFonts w:ascii="Calibri" w:hAnsi="Calibri"/>
      <w:color w:val="19355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ascii="Calibri" w:hAnsi="Calibri"/>
      <w:b/>
      <w:color w:val="19355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Calibri" w:hAnsi="Calibri"/>
      <w:b/>
      <w:bCs/>
      <w:color w:val="5E6C7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60" w:after="200"/>
      <w:ind w:left="432" w:right="432"/>
    </w:pPr>
    <w:rPr>
      <w:rFonts w:ascii="Calibri" w:hAnsi="Calibri"/>
      <w:b/>
      <w:bCs/>
      <w:i/>
      <w:iCs/>
      <w:color w:val="1F4D78"/>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Subtitle">
    <w:name w:val="Paper Subtitle"/>
    <w:pPr>
      <w:spacing w:after="440"/>
      <w:jc w:val="center"/>
    </w:pPr>
    <w:rPr>
      <w:rFonts w:ascii="Calibri" w:hAnsi="Calibri"/>
      <w:color w:val="1F4D78"/>
      <w:sz w:val="30"/>
    </w:rPr>
  </w:style>
  <w:style w:type="paragraph" w:customStyle="1" w:styleId="PaperEquation">
    <w:name w:val="Paper Equation"/>
    <w:pPr>
      <w:spacing w:before="100" w:after="180"/>
      <w:ind w:left="360" w:right="360"/>
      <w:jc w:val="center"/>
    </w:pPr>
    <w:rPr>
      <w:rFonts w:ascii="Cambria Math" w:hAnsi="Cambria Math"/>
      <w:color w:val="193552"/>
      <w:sz w:val="21"/>
    </w:rPr>
  </w:style>
  <w:style w:type="paragraph" w:customStyle="1" w:styleId="TableNote">
    <w:name w:val="Table Note"/>
    <w:pPr>
      <w:spacing w:before="60" w:after="200"/>
    </w:pPr>
    <w:rPr>
      <w:rFonts w:ascii="Calibri" w:hAnsi="Calibri"/>
      <w:color w:val="5E6C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Exact Real Controls Overturn an Apparent Complex-Valued Robustness Advantage: A preregistered falsification study across synthetic sequential task families</dc:title>
  <dc:subject>Comparator-sensitive falsification of a complex-valued robustness claim</dc:subject>
  <dc:creator>Samyar Shafiee</dc:creator>
  <cp:keywords>Q-Neuro; exact real control; complex-valued networks; negative results; reproducibility</cp:keywords>
  <dc:description>Research manuscript generated from registered Q-Neuro artifacts; synthetic evidence only.</dc:description>
  <cp:lastModifiedBy/>
  <cp:revision>1</cp:revision>
  <dcterms:created xsi:type="dcterms:W3CDTF">2013-12-23T23:15:00Z</dcterms:created>
  <dcterms:modified xsi:type="dcterms:W3CDTF">2013-12-23T23:15:00Z</dcterms:modified>
  <cp:category/>
</cp:coreProperties>
</file>