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Bluestock Mutual Fund Analytics Capstone Project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Executive Summary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Mutual Fund Analytics Capstone Project aims to develop a comprehensive analytics platform for analyzing mutual fund industry data. The project covers the complete data analytics lifecycle, including data ingestion, cleaning, database design, exploratory data analysis, performance analytics, risk analytics, investor behavior analysis, and dashboard development.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solution was developed using Python, SQLite, Jupyter Notebooks, and Streamlit. Multiple datasets related to mutual funds, investor transactions, assets under management (AUM), SIP inflows, portfolio holdings, and benchmark indices were integrated into a unified analytics framework.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provides valuable insights into fund performance, investor behavior, risk metrics, and industry trends. Advanced analytical techniques such as Sharpe Ratio, Sortino Ratio, Alpha-Beta Analysis, Value at Risk (VaR), Conditional Value at Risk (CVaR), and portfolio concentration measures were implemented to support investment decision-making.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fr-FR"/>
        </w:rPr>
        <w:t>1.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Indian mutual fund industry has experienced significant growth over the past decade due to increasing investor awareness, digital accessibility, and systematic investment plans (SIPs). Investors require reliable analytics tools to evaluate fund performance, assess risks, and identify suitable investment opportunities.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objective of this project is to build a complete mutual fund analytics solution capable of processing large datasets and generating meaningful insights through statistical analysis and visualization.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2. Project Objectives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key objectives of this project are: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Build a robust data ingestion pipeline.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Clean and validate mutual fund datasets.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Design a relational database for storing analytics data.</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Perform exploratory data analysis.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Calculate performance metrics for mutual funds.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Conduct advanced risk analysis.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Develop an interactive dashboard.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Generate actionable business insights.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3. Data Sources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utilizes multiple datasets including:</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Fund Master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Contains scheme information such as AMFI code, scheme name, category, sub-category, and risk grade.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NAV History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Historical Net Asset Value records for multiple mutual fund schemes.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Investor Transactions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Contains SIP, lumpsum, and redemption transactions.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AUM Dataset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Assets under Management data across various fund houses.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SIP Inflows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Monthly SIP investment trends.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Category Inflows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Net inflows by mutual fund category.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Portfolio Holdings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Portfolio sector allocation and stock-level holdings.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Benchmark Indices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Historical NIFTY 50 and NIFTY 100 index data.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4. Technology Stack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was implemented using:</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Python</w:t>
      </w:r>
    </w:p>
    <w:p>
      <w:pPr>
        <w:pStyle w:val="Default"/>
        <w:numPr>
          <w:ilvl w:val="0"/>
          <w:numId w:val="4"/>
        </w:numPr>
        <w:suppressAutoHyphens w:val="1"/>
        <w:spacing w:before="0" w:after="240" w:line="240" w:lineRule="auto"/>
        <w:jc w:val="left"/>
        <w:rPr>
          <w:rFonts w:ascii="Times Roman" w:hAnsi="Times Roman"/>
          <w:lang w:val="pt-PT"/>
        </w:rPr>
      </w:pPr>
      <w:r>
        <w:rPr>
          <w:rFonts w:ascii="Times Roman" w:hAnsi="Times Roman"/>
          <w:rtl w:val="0"/>
          <w:lang w:val="pt-PT"/>
        </w:rPr>
        <w:t>Pandas</w:t>
      </w:r>
    </w:p>
    <w:p>
      <w:pPr>
        <w:pStyle w:val="Default"/>
        <w:numPr>
          <w:ilvl w:val="0"/>
          <w:numId w:val="4"/>
        </w:numPr>
        <w:suppressAutoHyphens w:val="1"/>
        <w:spacing w:before="0" w:after="240" w:line="240" w:lineRule="auto"/>
        <w:jc w:val="left"/>
        <w:rPr>
          <w:rFonts w:ascii="Times Roman" w:hAnsi="Times Roman"/>
          <w:lang w:val="de-DE"/>
        </w:rPr>
      </w:pPr>
      <w:r>
        <w:rPr>
          <w:rFonts w:ascii="Times Roman" w:hAnsi="Times Roman"/>
          <w:rtl w:val="0"/>
          <w:lang w:val="de-DE"/>
        </w:rPr>
        <w:t>NumPy</w:t>
      </w:r>
    </w:p>
    <w:p>
      <w:pPr>
        <w:pStyle w:val="Default"/>
        <w:numPr>
          <w:ilvl w:val="0"/>
          <w:numId w:val="4"/>
        </w:numPr>
        <w:suppressAutoHyphens w:val="1"/>
        <w:spacing w:before="0" w:after="240" w:line="240" w:lineRule="auto"/>
        <w:jc w:val="left"/>
        <w:rPr>
          <w:rFonts w:ascii="Times Roman" w:hAnsi="Times Roman"/>
        </w:rPr>
      </w:pPr>
      <w:r>
        <w:rPr>
          <w:rFonts w:ascii="Times Roman" w:hAnsi="Times Roman"/>
          <w:rtl w:val="0"/>
        </w:rPr>
        <w:t>SQLite</w:t>
      </w:r>
    </w:p>
    <w:p>
      <w:pPr>
        <w:pStyle w:val="Default"/>
        <w:numPr>
          <w:ilvl w:val="0"/>
          <w:numId w:val="4"/>
        </w:numPr>
        <w:suppressAutoHyphens w:val="1"/>
        <w:spacing w:before="0" w:after="240" w:line="240" w:lineRule="auto"/>
        <w:jc w:val="left"/>
        <w:rPr>
          <w:rFonts w:ascii="Times Roman" w:hAnsi="Times Roman"/>
          <w:lang w:val="es-ES_tradnl"/>
        </w:rPr>
      </w:pPr>
      <w:r>
        <w:rPr>
          <w:rFonts w:ascii="Times Roman" w:hAnsi="Times Roman"/>
          <w:rtl w:val="0"/>
          <w:lang w:val="es-ES_tradnl"/>
        </w:rPr>
        <w:t>SQLAlchemy</w:t>
      </w:r>
    </w:p>
    <w:p>
      <w:pPr>
        <w:pStyle w:val="Default"/>
        <w:numPr>
          <w:ilvl w:val="0"/>
          <w:numId w:val="4"/>
        </w:numPr>
        <w:suppressAutoHyphens w:val="1"/>
        <w:spacing w:before="0" w:after="240" w:line="240" w:lineRule="auto"/>
        <w:jc w:val="left"/>
        <w:rPr>
          <w:rFonts w:ascii="Times Roman" w:hAnsi="Times Roman"/>
        </w:rPr>
      </w:pPr>
      <w:r>
        <w:rPr>
          <w:rFonts w:ascii="Times Roman" w:hAnsi="Times Roman"/>
          <w:rtl w:val="0"/>
        </w:rPr>
        <w:t>Matplotlib</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Seaborn</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Plotly</w:t>
      </w:r>
    </w:p>
    <w:p>
      <w:pPr>
        <w:pStyle w:val="Default"/>
        <w:numPr>
          <w:ilvl w:val="0"/>
          <w:numId w:val="4"/>
        </w:numPr>
        <w:suppressAutoHyphens w:val="1"/>
        <w:spacing w:before="0" w:after="240" w:line="240" w:lineRule="auto"/>
        <w:jc w:val="left"/>
        <w:rPr>
          <w:rFonts w:ascii="Times Roman" w:hAnsi="Times Roman"/>
        </w:rPr>
      </w:pPr>
      <w:r>
        <w:rPr>
          <w:rFonts w:ascii="Times Roman" w:hAnsi="Times Roman"/>
          <w:rtl w:val="0"/>
        </w:rPr>
        <w:t>Streamlit</w:t>
      </w:r>
    </w:p>
    <w:p>
      <w:pPr>
        <w:pStyle w:val="Default"/>
        <w:numPr>
          <w:ilvl w:val="0"/>
          <w:numId w:val="4"/>
        </w:numPr>
        <w:suppressAutoHyphens w:val="1"/>
        <w:spacing w:before="0" w:after="240" w:line="240" w:lineRule="auto"/>
        <w:jc w:val="left"/>
        <w:rPr>
          <w:rFonts w:ascii="Times Roman" w:hAnsi="Times Roman"/>
        </w:rPr>
      </w:pPr>
      <w:r>
        <w:rPr>
          <w:rFonts w:ascii="Times Roman" w:hAnsi="Times Roman"/>
          <w:rtl w:val="0"/>
        </w:rPr>
        <w:t>Jupyter Notebook</w:t>
      </w:r>
    </w:p>
    <w:p>
      <w:pPr>
        <w:pStyle w:val="Default"/>
        <w:numPr>
          <w:ilvl w:val="0"/>
          <w:numId w:val="4"/>
        </w:numPr>
        <w:suppressAutoHyphens w:val="1"/>
        <w:spacing w:before="0" w:after="240" w:line="240" w:lineRule="auto"/>
        <w:jc w:val="left"/>
        <w:rPr>
          <w:rFonts w:ascii="Times Roman" w:hAnsi="Times Roman"/>
          <w:lang w:val="da-DK"/>
        </w:rPr>
      </w:pPr>
      <w:r>
        <w:rPr>
          <w:rFonts w:ascii="Times Roman" w:hAnsi="Times Roman"/>
          <w:rtl w:val="0"/>
          <w:lang w:val="da-DK"/>
        </w:rPr>
        <w:t>Git &amp; GitHub</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5. ETL Design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Data Ingestion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Raw CSV datasets were imported into Python using Pandas. Additional NAV information was fetched through API integration.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Data Cleaning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following cleaning activities were performed:</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Missing value handling</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Duplicate removal</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Date standardization</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Data type correction</w:t>
      </w:r>
    </w:p>
    <w:p>
      <w:pPr>
        <w:pStyle w:val="Default"/>
        <w:numPr>
          <w:ilvl w:val="0"/>
          <w:numId w:val="4"/>
        </w:numPr>
        <w:suppressAutoHyphens w:val="1"/>
        <w:spacing w:before="0" w:after="240" w:line="240" w:lineRule="auto"/>
        <w:jc w:val="left"/>
        <w:rPr>
          <w:rFonts w:ascii="Times Roman" w:hAnsi="Times Roman"/>
          <w:lang w:val="fr-FR"/>
        </w:rPr>
      </w:pPr>
      <w:r>
        <w:rPr>
          <w:rFonts w:ascii="Times Roman" w:hAnsi="Times Roman"/>
          <w:rtl w:val="0"/>
          <w:lang w:val="fr-FR"/>
        </w:rPr>
        <w:t>Transaction validation</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AMFI code verification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Data Storage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Cleaned datasets were stored in SQLite for efficient querying and analysis.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3360" behindDoc="0" locked="0" layoutInCell="1" allowOverlap="1">
            <wp:simplePos x="0" y="0"/>
            <wp:positionH relativeFrom="margin">
              <wp:posOffset>1735019</wp:posOffset>
            </wp:positionH>
            <wp:positionV relativeFrom="page">
              <wp:posOffset>720000</wp:posOffset>
            </wp:positionV>
            <wp:extent cx="2387122" cy="3580682"/>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2387122" cy="3580682"/>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nl-NL"/>
        </w:rPr>
        <w:t>6. Database Design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star schema approach was adopted.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Dimension Tables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dim_fund</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dim_date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Fact Tables</w:t>
      </w:r>
    </w:p>
    <w:p>
      <w:pPr>
        <w:pStyle w:val="Default"/>
        <w:numPr>
          <w:ilvl w:val="0"/>
          <w:numId w:val="4"/>
        </w:numPr>
        <w:suppressAutoHyphens w:val="1"/>
        <w:spacing w:before="0" w:after="240" w:line="240" w:lineRule="auto"/>
        <w:jc w:val="left"/>
        <w:rPr>
          <w:rFonts w:ascii="Times Roman" w:hAnsi="Times Roman"/>
          <w:lang w:val="de-DE"/>
        </w:rPr>
      </w:pPr>
      <w:r>
        <w:rPr>
          <w:rFonts w:ascii="Times Roman" w:hAnsi="Times Roman"/>
          <w:rtl w:val="0"/>
          <w:lang w:val="de-DE"/>
        </w:rPr>
        <w:t>fact_nav</w:t>
      </w:r>
    </w:p>
    <w:p>
      <w:pPr>
        <w:pStyle w:val="Default"/>
        <w:numPr>
          <w:ilvl w:val="0"/>
          <w:numId w:val="4"/>
        </w:numPr>
        <w:suppressAutoHyphens w:val="1"/>
        <w:spacing w:before="0" w:after="240" w:line="240" w:lineRule="auto"/>
        <w:jc w:val="left"/>
        <w:rPr>
          <w:rFonts w:ascii="Times Roman" w:hAnsi="Times Roman"/>
          <w:lang w:val="fr-FR"/>
        </w:rPr>
      </w:pPr>
      <w:r>
        <w:rPr>
          <w:rFonts w:ascii="Times Roman" w:hAnsi="Times Roman"/>
          <w:rtl w:val="0"/>
          <w:lang w:val="fr-FR"/>
        </w:rPr>
        <w:t>fact_transactions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fact_performance</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fact_aum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Primary and foreign keys were used to establish relationships between dimensions and facts.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7. Exploratory Data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EDA was conducted to identify industry trends and investment patterns.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Key Findings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Finding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Industry AUM showed steady growth between 2022 and 2025.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(Insert AUM Growth Chart)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Finding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SBI Mutual Fund maintained the highest AUM among all fund houses.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(Insert AUM by AMC Chart)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Finding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Monthly SIP inflows reached an all-time high of </w:t>
      </w:r>
      <w:r>
        <w:rPr>
          <w:rFonts w:ascii="Arial Unicode MS" w:cs="Arial Unicode MS" w:hAnsi="Arial Unicode MS" w:eastAsia="Arial Unicode MS" w:hint="default"/>
          <w:b w:val="0"/>
          <w:bCs w:val="0"/>
          <w:i w:val="0"/>
          <w:iCs w:val="0"/>
          <w:rtl w:val="0"/>
        </w:rPr>
        <w:t>₹</w:t>
      </w:r>
      <w:r>
        <w:rPr>
          <w:rFonts w:ascii="Times Roman" w:hAnsi="Times Roman"/>
          <w:rtl w:val="0"/>
          <w:lang w:val="en-US"/>
        </w:rPr>
        <w:t>31,002 crore in December 2025.</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(Insert SIP Trend Chart)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Finding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Retail participation increased significantly as reflected in folio growth.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(Insert Folio Growth Chart)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Finding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Small-cap, flexi-cap, and mid-cap categories attracted substantial investor inflows.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(Insert Category Heatmap)</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8. Fund Performance Analytics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Performance analytics were computed for all mutual fund schemes.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Daily Returns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Daily returns were calculated using: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Daily Return = (NAV_t / NAV_(t-1)) - 1</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CAGR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1-Year and 3-Year CAGR values were calculated to evaluate long-term growth.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Sharpe Ratio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Sharpe Ratio was used to measure risk-adjusted returns.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 xml:space="preserve">Sharpe Ratio = (Rp </w:t>
      </w:r>
      <w:r>
        <w:rPr>
          <w:rFonts w:ascii="Times Roman" w:hAnsi="Times Roman" w:hint="default"/>
          <w:rtl w:val="0"/>
        </w:rPr>
        <w:t xml:space="preserve">− </w:t>
      </w:r>
      <w:r>
        <w:rPr>
          <w:rFonts w:ascii="Times Roman" w:hAnsi="Times Roman"/>
          <w:rtl w:val="0"/>
        </w:rPr>
        <w:t xml:space="preserve">Rf) / </w:t>
      </w:r>
      <w:r>
        <w:rPr>
          <w:rFonts w:ascii="Times Roman" w:hAnsi="Times Roman" w:hint="default"/>
          <w:rtl w:val="0"/>
        </w:rPr>
        <w:t>σ</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where:</w:t>
      </w:r>
    </w:p>
    <w:p>
      <w:pPr>
        <w:pStyle w:val="Default"/>
        <w:numPr>
          <w:ilvl w:val="0"/>
          <w:numId w:val="4"/>
        </w:numPr>
        <w:suppressAutoHyphens w:val="1"/>
        <w:spacing w:before="0" w:after="240" w:line="240" w:lineRule="auto"/>
        <w:jc w:val="left"/>
        <w:rPr>
          <w:rFonts w:ascii="Times Roman" w:hAnsi="Times Roman"/>
          <w:lang w:val="pt-PT"/>
        </w:rPr>
      </w:pPr>
      <w:r>
        <w:rPr>
          <w:rFonts w:ascii="Times Roman" w:hAnsi="Times Roman"/>
          <w:rtl w:val="0"/>
          <w:lang w:val="pt-PT"/>
        </w:rPr>
        <w:t>Rp = Portfolio Return</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Rf = Risk-Free Rate</w:t>
      </w:r>
    </w:p>
    <w:p>
      <w:pPr>
        <w:pStyle w:val="Default"/>
        <w:numPr>
          <w:ilvl w:val="0"/>
          <w:numId w:val="4"/>
        </w:numPr>
        <w:suppressAutoHyphens w:val="1"/>
        <w:spacing w:before="0" w:after="240" w:line="240" w:lineRule="auto"/>
        <w:jc w:val="left"/>
        <w:rPr>
          <w:rFonts w:ascii="Times Roman" w:hAnsi="Times Roman" w:hint="default"/>
        </w:rPr>
      </w:pPr>
      <w:r>
        <w:rPr>
          <w:rFonts w:ascii="Times Roman" w:hAnsi="Times Roman" w:hint="default"/>
          <w:rtl w:val="0"/>
        </w:rPr>
        <w:t xml:space="preserve">σ </w:t>
      </w:r>
      <w:r>
        <w:rPr>
          <w:rFonts w:ascii="Times Roman" w:hAnsi="Times Roman"/>
          <w:rtl w:val="0"/>
          <w:lang w:val="en-US"/>
        </w:rPr>
        <w:t>= Standard Deviation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Sortino Ratio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Sortino Ratio focuses only on downside volatility.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Alpha and Beta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Regression analysis against the NIFTY 100 benchmark was performed.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Maximum Drawdown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Maximum drawdown measured the largest peak-to-trough decline.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(Insert Benchmark Comparison Chart)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9. Advanced Risk Analytics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Value at Risk (VaR)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Historical VaR at the 95% confidence level was calculated.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Conditional VaR (CVaR)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CVaR estimates the average loss beyond the VaR threshold.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Rolling Sharpe Ratio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90-day rolling Sharpe Ratio was analyzed to evaluate consistency of fund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(Insert Rolling Sharpe Chart)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Sector Concentration (HHI)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Portfolio concentration was measured using the Herfindahl-Hirschman Index (HHI).</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10. Investor Analytics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Investor transaction data was analyzed to understand behavior patterns.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Cohort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Investors were grouped by their first investment year.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SIP Continuity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Investors with irregular SIP patterns were identified.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Geographic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State-wise investment contributions were analyzed.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Demographic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Age-group and gender-wise investment patterns were evaluated.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11. Fund Recommendation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rule-based recommendation system was developed.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Inputs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Low Risk</w:t>
      </w:r>
    </w:p>
    <w:p>
      <w:pPr>
        <w:pStyle w:val="Default"/>
        <w:numPr>
          <w:ilvl w:val="0"/>
          <w:numId w:val="4"/>
        </w:numPr>
        <w:suppressAutoHyphens w:val="1"/>
        <w:spacing w:before="0" w:after="240" w:line="240" w:lineRule="auto"/>
        <w:jc w:val="left"/>
        <w:rPr>
          <w:rFonts w:ascii="Times Roman" w:hAnsi="Times Roman"/>
          <w:lang w:val="da-DK"/>
        </w:rPr>
      </w:pPr>
      <w:r>
        <w:rPr>
          <w:rFonts w:ascii="Times Roman" w:hAnsi="Times Roman"/>
          <w:rtl w:val="0"/>
          <w:lang w:val="da-DK"/>
        </w:rPr>
        <w:t>Moderate Risk</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High Risk</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Top three funds ranked by Sharpe Ratio within the selected risk category.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module demonstrates how analytics can support investment decision-making.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12. Dashboard Development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 interactive dashboard was created to visualize industry trends and fund performance.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Dashboard Pages</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Industry Overview</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Fund Performance</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Investor Analytics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SIP &amp; Mar</w:t>
      </w:r>
      <w:r>
        <w:drawing xmlns:a="http://schemas.openxmlformats.org/drawingml/2006/main">
          <wp:anchor distT="152400" distB="152400" distL="152400" distR="152400" simplePos="0" relativeHeight="251659264" behindDoc="0" locked="0" layoutInCell="1" allowOverlap="1">
            <wp:simplePos x="0" y="0"/>
            <wp:positionH relativeFrom="page">
              <wp:posOffset>405040</wp:posOffset>
            </wp:positionH>
            <wp:positionV relativeFrom="page">
              <wp:posOffset>2562921</wp:posOffset>
            </wp:positionV>
            <wp:extent cx="6120057" cy="3980119"/>
            <wp:effectExtent l="0" t="0" r="0" b="0"/>
            <wp:wrapThrough wrapText="bothSides" distL="152400" distR="152400">
              <wp:wrapPolygon edited="1">
                <wp:start x="0" y="0"/>
                <wp:lineTo x="21621" y="0"/>
                <wp:lineTo x="21621" y="21602"/>
                <wp:lineTo x="0" y="21602"/>
                <wp:lineTo x="0" y="0"/>
              </wp:wrapPolygon>
            </wp:wrapThrough>
            <wp:docPr id="1073741826" name="officeArt object" descr="dashboard_page1.png"/>
            <wp:cNvGraphicFramePr/>
            <a:graphic xmlns:a="http://schemas.openxmlformats.org/drawingml/2006/main">
              <a:graphicData uri="http://schemas.openxmlformats.org/drawingml/2006/picture">
                <pic:pic xmlns:pic="http://schemas.openxmlformats.org/drawingml/2006/picture">
                  <pic:nvPicPr>
                    <pic:cNvPr id="1073741826" name="dashboard_page1.png" descr="dashboard_page1.png"/>
                    <pic:cNvPicPr>
                      <a:picLocks noChangeAspect="1"/>
                    </pic:cNvPicPr>
                  </pic:nvPicPr>
                  <pic:blipFill>
                    <a:blip r:embed="rId5">
                      <a:extLst/>
                    </a:blip>
                    <a:stretch>
                      <a:fillRect/>
                    </a:stretch>
                  </pic:blipFill>
                  <pic:spPr>
                    <a:xfrm>
                      <a:off x="0" y="0"/>
                      <a:ext cx="6120057" cy="3980119"/>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0288" behindDoc="0" locked="0" layoutInCell="1" allowOverlap="1">
            <wp:simplePos x="0" y="0"/>
            <wp:positionH relativeFrom="page">
              <wp:posOffset>1126400</wp:posOffset>
            </wp:positionH>
            <wp:positionV relativeFrom="page">
              <wp:posOffset>7374800</wp:posOffset>
            </wp:positionV>
            <wp:extent cx="4880182" cy="3173778"/>
            <wp:effectExtent l="0" t="0" r="0" b="0"/>
            <wp:wrapThrough wrapText="bothSides" distL="152400" distR="152400">
              <wp:wrapPolygon edited="1">
                <wp:start x="0" y="0"/>
                <wp:lineTo x="21621" y="0"/>
                <wp:lineTo x="21621" y="21602"/>
                <wp:lineTo x="0" y="21602"/>
                <wp:lineTo x="0" y="0"/>
              </wp:wrapPolygon>
            </wp:wrapThrough>
            <wp:docPr id="1073741827" name="officeArt object" descr="dashboard_page2.png"/>
            <wp:cNvGraphicFramePr/>
            <a:graphic xmlns:a="http://schemas.openxmlformats.org/drawingml/2006/main">
              <a:graphicData uri="http://schemas.openxmlformats.org/drawingml/2006/picture">
                <pic:pic xmlns:pic="http://schemas.openxmlformats.org/drawingml/2006/picture">
                  <pic:nvPicPr>
                    <pic:cNvPr id="1073741827" name="dashboard_page2.png" descr="dashboard_page2.png"/>
                    <pic:cNvPicPr>
                      <a:picLocks noChangeAspect="1"/>
                    </pic:cNvPicPr>
                  </pic:nvPicPr>
                  <pic:blipFill>
                    <a:blip r:embed="rId6">
                      <a:extLst/>
                    </a:blip>
                    <a:stretch>
                      <a:fillRect/>
                    </a:stretch>
                  </pic:blipFill>
                  <pic:spPr>
                    <a:xfrm>
                      <a:off x="0" y="0"/>
                      <a:ext cx="4880182" cy="3173778"/>
                    </a:xfrm>
                    <a:prstGeom prst="rect">
                      <a:avLst/>
                    </a:prstGeom>
                    <a:ln w="12700" cap="flat">
                      <a:noFill/>
                      <a:miter lim="400000"/>
                    </a:ln>
                    <a:effectLst/>
                  </pic:spPr>
                </pic:pic>
              </a:graphicData>
            </a:graphic>
          </wp:anchor>
        </w:drawing>
      </w:r>
      <w:r>
        <w:rPr>
          <w:rFonts w:ascii="Times Roman" w:hAnsi="Times Roman"/>
          <w:rtl w:val="0"/>
          <w:lang w:val="en-US"/>
        </w:rPr>
        <w:t>ket Trends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(Dashboard Screenshot 1)</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(Dashboard Screenshot 2)</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(Dashboard Screenshot 3)</w:t>
      </w:r>
    </w:p>
    <w:p>
      <w:pPr>
        <w:pStyle w:val="Default"/>
        <w:suppressAutoHyphens w:val="1"/>
        <w:spacing w:before="0" w:after="240" w:line="240" w:lineRule="auto"/>
        <w:rPr>
          <w:rFonts w:ascii="Times Roman" w:cs="Times Roman" w:hAnsi="Times Roman" w:eastAsia="Times Roman"/>
        </w:rPr>
      </w:pPr>
      <w:r>
        <w:drawing xmlns:a="http://schemas.openxmlformats.org/drawingml/2006/main">
          <wp:anchor distT="152400" distB="152400" distL="152400" distR="152400" simplePos="0" relativeHeight="251661312" behindDoc="0" locked="0" layoutInCell="1" allowOverlap="1">
            <wp:simplePos x="0" y="0"/>
            <wp:positionH relativeFrom="page">
              <wp:posOffset>516800</wp:posOffset>
            </wp:positionH>
            <wp:positionV relativeFrom="page">
              <wp:posOffset>1127796</wp:posOffset>
            </wp:positionV>
            <wp:extent cx="6120057" cy="3980119"/>
            <wp:effectExtent l="0" t="0" r="0" b="0"/>
            <wp:wrapThrough wrapText="bothSides" distL="152400" distR="152400">
              <wp:wrapPolygon edited="1">
                <wp:start x="0" y="0"/>
                <wp:lineTo x="21621" y="0"/>
                <wp:lineTo x="21621" y="21602"/>
                <wp:lineTo x="0" y="21602"/>
                <wp:lineTo x="0" y="0"/>
              </wp:wrapPolygon>
            </wp:wrapThrough>
            <wp:docPr id="1073741828" name="officeArt object" descr="dashboard_page3png.png"/>
            <wp:cNvGraphicFramePr/>
            <a:graphic xmlns:a="http://schemas.openxmlformats.org/drawingml/2006/main">
              <a:graphicData uri="http://schemas.openxmlformats.org/drawingml/2006/picture">
                <pic:pic xmlns:pic="http://schemas.openxmlformats.org/drawingml/2006/picture">
                  <pic:nvPicPr>
                    <pic:cNvPr id="1073741828" name="dashboard_page3png.png" descr="dashboard_page3png.png"/>
                    <pic:cNvPicPr>
                      <a:picLocks noChangeAspect="1"/>
                    </pic:cNvPicPr>
                  </pic:nvPicPr>
                  <pic:blipFill>
                    <a:blip r:embed="rId7">
                      <a:extLst/>
                    </a:blip>
                    <a:stretch>
                      <a:fillRect/>
                    </a:stretch>
                  </pic:blipFill>
                  <pic:spPr>
                    <a:xfrm>
                      <a:off x="0" y="0"/>
                      <a:ext cx="6120057" cy="3980119"/>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2336" behindDoc="0" locked="0" layoutInCell="1" allowOverlap="1">
            <wp:simplePos x="0" y="0"/>
            <wp:positionH relativeFrom="page">
              <wp:posOffset>720000</wp:posOffset>
            </wp:positionH>
            <wp:positionV relativeFrom="page">
              <wp:posOffset>5991884</wp:posOffset>
            </wp:positionV>
            <wp:extent cx="6120057" cy="3980119"/>
            <wp:effectExtent l="0" t="0" r="0" b="0"/>
            <wp:wrapThrough wrapText="bothSides" distL="152400" distR="152400">
              <wp:wrapPolygon edited="1">
                <wp:start x="0" y="0"/>
                <wp:lineTo x="21621" y="0"/>
                <wp:lineTo x="21621" y="21602"/>
                <wp:lineTo x="0" y="21602"/>
                <wp:lineTo x="0" y="0"/>
              </wp:wrapPolygon>
            </wp:wrapThrough>
            <wp:docPr id="1073741829" name="officeArt object" descr="dashboard_page4.png"/>
            <wp:cNvGraphicFramePr/>
            <a:graphic xmlns:a="http://schemas.openxmlformats.org/drawingml/2006/main">
              <a:graphicData uri="http://schemas.openxmlformats.org/drawingml/2006/picture">
                <pic:pic xmlns:pic="http://schemas.openxmlformats.org/drawingml/2006/picture">
                  <pic:nvPicPr>
                    <pic:cNvPr id="1073741829" name="dashboard_page4.png" descr="dashboard_page4.png"/>
                    <pic:cNvPicPr>
                      <a:picLocks noChangeAspect="1"/>
                    </pic:cNvPicPr>
                  </pic:nvPicPr>
                  <pic:blipFill>
                    <a:blip r:embed="rId8">
                      <a:extLst/>
                    </a:blip>
                    <a:stretch>
                      <a:fillRect/>
                    </a:stretch>
                  </pic:blipFill>
                  <pic:spPr>
                    <a:xfrm>
                      <a:off x="0" y="0"/>
                      <a:ext cx="6120057" cy="3980119"/>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(Dashboard Screenshot 4)</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Charts</w:t>
      </w:r>
    </w:p>
    <w:p>
      <w:pPr>
        <w:pStyle w:val="Default"/>
        <w:suppressAutoHyphens w:val="1"/>
        <w:spacing w:before="0" w:after="322" w:line="240" w:lineRule="auto"/>
        <w:rPr>
          <w:rFonts w:ascii="Times Roman" w:cs="Times Roman" w:hAnsi="Times Roman" w:eastAsia="Times Roman"/>
          <w:sz w:val="26"/>
          <w:szCs w:val="26"/>
        </w:rPr>
      </w:pPr>
      <w:r>
        <w:rPr>
          <w:rFonts w:ascii="Times Roman" w:hAnsi="Times Roman"/>
          <w:sz w:val="26"/>
          <w:szCs w:val="26"/>
          <w:rtl w:val="0"/>
          <w:lang w:val="en-US"/>
        </w:rPr>
        <w:t>NAV Trends</w:t>
      </w:r>
      <w:r>
        <w:rPr>
          <w:rFonts w:ascii="Times Roman" w:cs="Times Roman" w:hAnsi="Times Roman" w:eastAsia="Times Roman"/>
          <w:sz w:val="26"/>
          <w:szCs w:val="26"/>
        </w:rP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572492</wp:posOffset>
            </wp:positionV>
            <wp:extent cx="6120057" cy="4371469"/>
            <wp:effectExtent l="0" t="0" r="0" b="0"/>
            <wp:wrapThrough wrapText="bothSides" distL="152400" distR="152400">
              <wp:wrapPolygon edited="1">
                <wp:start x="0" y="0"/>
                <wp:lineTo x="21600" y="0"/>
                <wp:lineTo x="21600" y="21600"/>
                <wp:lineTo x="0" y="21600"/>
                <wp:lineTo x="0" y="0"/>
              </wp:wrapPolygon>
            </wp:wrapThrough>
            <wp:docPr id="1073741830" name="officeArt object" descr="chart_01_nav_trend.png"/>
            <wp:cNvGraphicFramePr/>
            <a:graphic xmlns:a="http://schemas.openxmlformats.org/drawingml/2006/main">
              <a:graphicData uri="http://schemas.openxmlformats.org/drawingml/2006/picture">
                <pic:pic xmlns:pic="http://schemas.openxmlformats.org/drawingml/2006/picture">
                  <pic:nvPicPr>
                    <pic:cNvPr id="1073741830" name="chart_01_nav_trend.png" descr="chart_01_nav_trend.png"/>
                    <pic:cNvPicPr>
                      <a:picLocks noChangeAspect="1"/>
                    </pic:cNvPicPr>
                  </pic:nvPicPr>
                  <pic:blipFill>
                    <a:blip r:embed="rId9">
                      <a:extLst/>
                    </a:blip>
                    <a:stretch>
                      <a:fillRect/>
                    </a:stretch>
                  </pic:blipFill>
                  <pic:spPr>
                    <a:xfrm>
                      <a:off x="0" y="0"/>
                      <a:ext cx="6120057" cy="4371469"/>
                    </a:xfrm>
                    <a:prstGeom prst="rect">
                      <a:avLst/>
                    </a:prstGeom>
                    <a:ln w="12700" cap="flat">
                      <a:noFill/>
                      <a:miter lim="400000"/>
                    </a:ln>
                    <a:effectLst/>
                  </pic:spPr>
                </pic:pic>
              </a:graphicData>
            </a:graphic>
          </wp:anchor>
        </w:drawing>
      </w:r>
    </w:p>
    <w:p>
      <w:pPr>
        <w:pStyle w:val="Default"/>
        <w:suppressAutoHyphens w:val="1"/>
        <w:spacing w:before="0" w:after="322" w:line="240" w:lineRule="auto"/>
        <w:rPr>
          <w:rFonts w:ascii="Times Roman" w:cs="Times Roman" w:hAnsi="Times Roman" w:eastAsia="Times Roman"/>
          <w:sz w:val="26"/>
          <w:szCs w:val="26"/>
        </w:rPr>
      </w:pPr>
      <w:r>
        <w:rPr>
          <w:rFonts w:ascii="Times Roman" w:hAnsi="Times Roman"/>
          <w:sz w:val="26"/>
          <w:szCs w:val="26"/>
          <w:rtl w:val="0"/>
          <w:lang w:val="en-US"/>
        </w:rPr>
        <w:t>Category heat map</w:t>
      </w:r>
      <w:r>
        <w:rPr>
          <w:rFonts w:ascii="Times Roman" w:cs="Times Roman" w:hAnsi="Times Roman" w:eastAsia="Times Roman"/>
          <w:sz w:val="26"/>
          <w:szCs w:val="26"/>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407392</wp:posOffset>
            </wp:positionV>
            <wp:extent cx="6120057" cy="3289531"/>
            <wp:effectExtent l="0" t="0" r="0" b="0"/>
            <wp:wrapThrough wrapText="bothSides" distL="152400" distR="152400">
              <wp:wrapPolygon edited="1">
                <wp:start x="0" y="0"/>
                <wp:lineTo x="21621" y="0"/>
                <wp:lineTo x="21621" y="21624"/>
                <wp:lineTo x="0" y="21624"/>
                <wp:lineTo x="0" y="0"/>
              </wp:wrapPolygon>
            </wp:wrapThrough>
            <wp:docPr id="1073741831" name="officeArt object" descr="chart_04_category_heatmap.png"/>
            <wp:cNvGraphicFramePr/>
            <a:graphic xmlns:a="http://schemas.openxmlformats.org/drawingml/2006/main">
              <a:graphicData uri="http://schemas.openxmlformats.org/drawingml/2006/picture">
                <pic:pic xmlns:pic="http://schemas.openxmlformats.org/drawingml/2006/picture">
                  <pic:nvPicPr>
                    <pic:cNvPr id="1073741831" name="chart_04_category_heatmap.png" descr="chart_04_category_heatmap.png"/>
                    <pic:cNvPicPr>
                      <a:picLocks noChangeAspect="1"/>
                    </pic:cNvPicPr>
                  </pic:nvPicPr>
                  <pic:blipFill>
                    <a:blip r:embed="rId10">
                      <a:extLst/>
                    </a:blip>
                    <a:stretch>
                      <a:fillRect/>
                    </a:stretch>
                  </pic:blipFill>
                  <pic:spPr>
                    <a:xfrm>
                      <a:off x="0" y="0"/>
                      <a:ext cx="6120057" cy="3289531"/>
                    </a:xfrm>
                    <a:prstGeom prst="rect">
                      <a:avLst/>
                    </a:prstGeom>
                    <a:ln w="12700" cap="flat">
                      <a:noFill/>
                      <a:miter lim="400000"/>
                    </a:ln>
                    <a:effectLst/>
                  </pic:spPr>
                </pic:pic>
              </a:graphicData>
            </a:graphic>
          </wp:anchor>
        </w:drawing>
      </w:r>
    </w:p>
    <w:p>
      <w:pPr>
        <w:pStyle w:val="Default"/>
        <w:suppressAutoHyphens w:val="1"/>
        <w:spacing w:before="0" w:after="322" w:line="240" w:lineRule="auto"/>
        <w:rPr>
          <w:rFonts w:ascii="Times Roman" w:cs="Times Roman" w:hAnsi="Times Roman" w:eastAsia="Times Roman"/>
          <w:sz w:val="26"/>
          <w:szCs w:val="26"/>
        </w:rPr>
      </w:pPr>
      <w:r>
        <w:rPr>
          <w:rFonts w:ascii="Times Roman" w:hAnsi="Times Roman"/>
          <w:sz w:val="26"/>
          <w:szCs w:val="26"/>
          <w:rtl w:val="0"/>
          <w:lang w:val="en-US"/>
        </w:rPr>
        <w:t>Expense ratio</w:t>
      </w:r>
      <w:r>
        <w:rPr>
          <w:rFonts w:ascii="Times Roman" w:cs="Times Roman" w:hAnsi="Times Roman" w:eastAsia="Times Roman"/>
          <w:sz w:val="26"/>
          <w:szCs w:val="26"/>
        </w:rP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407392</wp:posOffset>
            </wp:positionV>
            <wp:extent cx="6120057" cy="3639064"/>
            <wp:effectExtent l="0" t="0" r="0" b="0"/>
            <wp:wrapThrough wrapText="bothSides" distL="152400" distR="152400">
              <wp:wrapPolygon edited="1">
                <wp:start x="0" y="0"/>
                <wp:lineTo x="21600" y="0"/>
                <wp:lineTo x="21600" y="21604"/>
                <wp:lineTo x="0" y="21604"/>
                <wp:lineTo x="0" y="0"/>
              </wp:wrapPolygon>
            </wp:wrapThrough>
            <wp:docPr id="1073741832" name="officeArt object" descr="chart_13_expense_ratio.png"/>
            <wp:cNvGraphicFramePr/>
            <a:graphic xmlns:a="http://schemas.openxmlformats.org/drawingml/2006/main">
              <a:graphicData uri="http://schemas.openxmlformats.org/drawingml/2006/picture">
                <pic:pic xmlns:pic="http://schemas.openxmlformats.org/drawingml/2006/picture">
                  <pic:nvPicPr>
                    <pic:cNvPr id="1073741832" name="chart_13_expense_ratio.png" descr="chart_13_expense_ratio.png"/>
                    <pic:cNvPicPr>
                      <a:picLocks noChangeAspect="1"/>
                    </pic:cNvPicPr>
                  </pic:nvPicPr>
                  <pic:blipFill>
                    <a:blip r:embed="rId11">
                      <a:extLst/>
                    </a:blip>
                    <a:stretch>
                      <a:fillRect/>
                    </a:stretch>
                  </pic:blipFill>
                  <pic:spPr>
                    <a:xfrm>
                      <a:off x="0" y="0"/>
                      <a:ext cx="6120057" cy="3639064"/>
                    </a:xfrm>
                    <a:prstGeom prst="rect">
                      <a:avLst/>
                    </a:prstGeom>
                    <a:ln w="12700" cap="flat">
                      <a:noFill/>
                      <a:miter lim="400000"/>
                    </a:ln>
                    <a:effectLst/>
                  </pic:spPr>
                </pic:pic>
              </a:graphicData>
            </a:graphic>
          </wp:anchor>
        </w:drawing>
      </w:r>
    </w:p>
    <w:p>
      <w:pPr>
        <w:pStyle w:val="Default"/>
        <w:suppressAutoHyphens w:val="1"/>
        <w:spacing w:before="0" w:after="322" w:line="240" w:lineRule="auto"/>
        <w:rPr>
          <w:rFonts w:ascii="Times Roman" w:cs="Times Roman" w:hAnsi="Times Roman" w:eastAsia="Times Roman"/>
          <w:sz w:val="26"/>
          <w:szCs w:val="26"/>
        </w:rPr>
      </w:pPr>
      <w:r>
        <w:rPr>
          <w:rFonts w:ascii="Times Roman" w:hAnsi="Times Roman"/>
          <w:sz w:val="26"/>
          <w:szCs w:val="26"/>
          <w:rtl w:val="0"/>
          <w:lang w:val="en-US"/>
        </w:rPr>
        <w:t>Top Funds</w:t>
      </w:r>
      <w:r>
        <w:rPr>
          <w:rFonts w:ascii="Times Roman" w:cs="Times Roman" w:hAnsi="Times Roman" w:eastAsia="Times Roman"/>
          <w:sz w:val="26"/>
          <w:szCs w:val="26"/>
        </w:rPr>
        <w:drawing xmlns:a="http://schemas.openxmlformats.org/drawingml/2006/main">
          <wp:anchor distT="152400" distB="152400" distL="152400" distR="152400" simplePos="0" relativeHeight="251667456" behindDoc="0" locked="0" layoutInCell="1" allowOverlap="1">
            <wp:simplePos x="0" y="0"/>
            <wp:positionH relativeFrom="margin">
              <wp:posOffset>-6350</wp:posOffset>
            </wp:positionH>
            <wp:positionV relativeFrom="line">
              <wp:posOffset>407392</wp:posOffset>
            </wp:positionV>
            <wp:extent cx="6120057" cy="4053188"/>
            <wp:effectExtent l="0" t="0" r="0" b="0"/>
            <wp:wrapThrough wrapText="bothSides" distL="152400" distR="152400">
              <wp:wrapPolygon edited="1">
                <wp:start x="0" y="0"/>
                <wp:lineTo x="21600" y="0"/>
                <wp:lineTo x="21600" y="21626"/>
                <wp:lineTo x="0" y="21626"/>
                <wp:lineTo x="0" y="0"/>
              </wp:wrapPolygon>
            </wp:wrapThrough>
            <wp:docPr id="1073741833" name="officeArt object" descr="chart_15_top_funds_aum.png"/>
            <wp:cNvGraphicFramePr/>
            <a:graphic xmlns:a="http://schemas.openxmlformats.org/drawingml/2006/main">
              <a:graphicData uri="http://schemas.openxmlformats.org/drawingml/2006/picture">
                <pic:pic xmlns:pic="http://schemas.openxmlformats.org/drawingml/2006/picture">
                  <pic:nvPicPr>
                    <pic:cNvPr id="1073741833" name="chart_15_top_funds_aum.png" descr="chart_15_top_funds_aum.png"/>
                    <pic:cNvPicPr>
                      <a:picLocks noChangeAspect="1"/>
                    </pic:cNvPicPr>
                  </pic:nvPicPr>
                  <pic:blipFill>
                    <a:blip r:embed="rId12">
                      <a:extLst/>
                    </a:blip>
                    <a:stretch>
                      <a:fillRect/>
                    </a:stretch>
                  </pic:blipFill>
                  <pic:spPr>
                    <a:xfrm>
                      <a:off x="0" y="0"/>
                      <a:ext cx="6120057" cy="4053188"/>
                    </a:xfrm>
                    <a:prstGeom prst="rect">
                      <a:avLst/>
                    </a:prstGeom>
                    <a:ln w="12700" cap="flat">
                      <a:noFill/>
                      <a:miter lim="400000"/>
                    </a:ln>
                    <a:effectLst/>
                  </pic:spPr>
                </pic:pic>
              </a:graphicData>
            </a:graphic>
          </wp:anchor>
        </w:drawing>
      </w:r>
    </w:p>
    <w:p>
      <w:pPr>
        <w:pStyle w:val="Default"/>
        <w:suppressAutoHyphens w:val="1"/>
        <w:spacing w:before="0" w:after="322" w:line="240" w:lineRule="auto"/>
        <w:rPr>
          <w:rFonts w:ascii="Times Roman" w:cs="Times Roman" w:hAnsi="Times Roman" w:eastAsia="Times Roman"/>
          <w:sz w:val="26"/>
          <w:szCs w:val="26"/>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fr-FR"/>
        </w:rPr>
        <w:t>13. Limitations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has the following limitations: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Historical NAV data does not cover a complete five-year period.</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Dashboard implementation was completed using Streamlit due platform constraints.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Real-time market feeds are not integrated.</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Predictive analytics are outside the current project scope.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14. Recommendations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Future enhancements may include:</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Real-time NAV updates.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Machine learning-based fund recommendations.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Portfolio optimization models.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Cloud deployment.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Investor personalization features.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Advanced forecasting models.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it-IT"/>
        </w:rPr>
        <w:t>15. Conclusion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Bluestock Mutual Fund Analytics Capstone successfully demonstrates an end-to-end analytics solution for the mutual fund industry. The project integrates data engineering, database management, exploratory analysis, risk analytics, performance measurement, and dashboard reporting into a unified platform.</w:t>
      </w:r>
    </w:p>
    <w:p>
      <w:pPr>
        <w:pStyle w:val="Default"/>
        <w:suppressAutoHyphens w:val="1"/>
        <w:spacing w:before="0" w:after="240" w:line="240" w:lineRule="auto"/>
      </w:pPr>
      <w:r>
        <w:rPr>
          <w:rFonts w:ascii="Times Roman" w:hAnsi="Times Roman"/>
          <w:rtl w:val="0"/>
          <w:lang w:val="en-US"/>
        </w:rPr>
        <w:t>The developed solution enables investors and analysts to evaluate mutual fund performance, understand market trends, assess risk exposure, and make data-driven investment decisions. The project showcases practical applications of data analytics and business intelligence techniques in the financial services domain.</w:t>
      </w:r>
    </w:p>
    <w:sectPr>
      <w:headerReference w:type="default" r:id="rId13"/>
      <w:footerReference w:type="default" r:id="rId14"/>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