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line="360" w:lineRule="auto"/>
        <w:jc w:val="center"/>
      </w:pPr>
      <w:r>
        <w:rPr>
          <w:rFonts w:ascii="Times New Roman" w:hAnsi="Times New Roman"/>
          <w:b w:val="0"/>
          <w:i/>
          <w:sz w:val="24"/>
        </w:rPr>
        <w:t>A project report on</w:t>
      </w:r>
    </w:p>
    <w:p>
      <w:pPr>
        <w:spacing w:before="120" w:after="280" w:line="276" w:lineRule="auto"/>
        <w:jc w:val="center"/>
      </w:pPr>
      <w:r>
        <w:rPr>
          <w:rFonts w:ascii="Times New Roman" w:hAnsi="Times New Roman"/>
          <w:b/>
          <w:i w:val="0"/>
          <w:sz w:val="36"/>
        </w:rPr>
        <w:t>HYPERATTDDI: HIGHER-ORDER DRUG–DRUG INTERACTION PREDICTION AND ADVERSE EVENT SCREENING VIA MULTI-HEAD HYPERGRAPH ATTENTION AND BIOMEDICAL SEMANTIC CONDITIONING</w:t>
      </w:r>
    </w:p>
    <w:p>
      <w:pPr>
        <w:spacing w:before="120" w:after="120" w:line="360" w:lineRule="auto"/>
        <w:jc w:val="center"/>
      </w:pPr>
      <w:r>
        <w:rPr>
          <w:rFonts w:ascii="Times New Roman" w:hAnsi="Times New Roman"/>
          <w:b w:val="0"/>
          <w:i/>
          <w:sz w:val="26"/>
        </w:rPr>
        <w:t>Submitted in partial fulfillment for the award of the degree of</w:t>
      </w:r>
    </w:p>
    <w:p>
      <w:pPr>
        <w:spacing w:before="120" w:after="360" w:line="360" w:lineRule="auto"/>
        <w:jc w:val="center"/>
      </w:pPr>
      <w:r>
        <w:rPr>
          <w:rFonts w:ascii="Times New Roman" w:hAnsi="Times New Roman"/>
          <w:b/>
          <w:i w:val="0"/>
          <w:sz w:val="36"/>
        </w:rPr>
        <w:t>Bachelor of Technology in Computer Science and Engineering</w:t>
      </w:r>
    </w:p>
    <w:p>
      <w:pPr>
        <w:spacing w:before="80" w:after="80" w:line="360" w:lineRule="auto"/>
        <w:jc w:val="center"/>
      </w:pPr>
      <w:r>
        <w:rPr>
          <w:rFonts w:ascii="Times New Roman" w:hAnsi="Times New Roman"/>
          <w:b w:val="0"/>
          <w:i/>
          <w:sz w:val="26"/>
        </w:rPr>
        <w:t>by</w:t>
      </w:r>
    </w:p>
    <w:p>
      <w:pPr>
        <w:spacing w:before="120" w:after="360" w:line="288" w:lineRule="auto"/>
        <w:jc w:val="center"/>
      </w:pPr>
      <w:r>
        <w:rPr>
          <w:rFonts w:ascii="Times New Roman" w:hAnsi="Times New Roman"/>
          <w:b/>
          <w:i w:val="0"/>
          <w:sz w:val="28"/>
        </w:rPr>
        <w:t>TARUNIKA ANAND (23BCE1203)</w:t>
        <w:br/>
        <w:t>M HARSHINI (23BCE1974)</w:t>
        <w:br/>
        <w:t>SAMYUKTA SRIKANTH (23BCE5136)</w:t>
      </w:r>
    </w:p>
    <w:p>
      <w:pPr>
        <w:spacing w:before="160" w:after="240"/>
        <w:jc w:val="center"/>
      </w:pPr>
      <w:r>
        <w:drawing>
          <wp:inline xmlns:a="http://schemas.openxmlformats.org/drawingml/2006/main" xmlns:pic="http://schemas.openxmlformats.org/drawingml/2006/picture">
            <wp:extent cx="2926080" cy="975360"/>
            <wp:docPr id="1" name="Picture 1"/>
            <wp:cNvGraphicFramePr>
              <a:graphicFrameLocks noChangeAspect="1"/>
            </wp:cNvGraphicFramePr>
            <a:graphic>
              <a:graphicData uri="http://schemas.openxmlformats.org/drawingml/2006/picture">
                <pic:pic>
                  <pic:nvPicPr>
                    <pic:cNvPr id="0" name="image2.jpg"/>
                    <pic:cNvPicPr/>
                  </pic:nvPicPr>
                  <pic:blipFill>
                    <a:blip r:embed="rId9"/>
                    <a:stretch>
                      <a:fillRect/>
                    </a:stretch>
                  </pic:blipFill>
                  <pic:spPr>
                    <a:xfrm>
                      <a:off x="0" y="0"/>
                      <a:ext cx="2926080" cy="975360"/>
                    </a:xfrm>
                    <a:prstGeom prst="rect"/>
                  </pic:spPr>
                </pic:pic>
              </a:graphicData>
            </a:graphic>
          </wp:inline>
        </w:drawing>
      </w:r>
    </w:p>
    <w:p>
      <w:pPr>
        <w:spacing w:before="200" w:after="80" w:line="360" w:lineRule="auto"/>
        <w:jc w:val="center"/>
      </w:pPr>
      <w:r>
        <w:rPr>
          <w:rFonts w:ascii="Times New Roman" w:hAnsi="Times New Roman"/>
          <w:b/>
          <w:i w:val="0"/>
          <w:sz w:val="30"/>
        </w:rPr>
        <w:t>SCHOOL OF COMPUTER SCIENCE AND ENGINEERING</w:t>
      </w:r>
    </w:p>
    <w:p>
      <w:pPr>
        <w:spacing w:before="40" w:after="160" w:line="360" w:lineRule="auto"/>
        <w:jc w:val="center"/>
      </w:pPr>
      <w:r>
        <w:rPr>
          <w:rFonts w:ascii="Times New Roman" w:hAnsi="Times New Roman"/>
          <w:b/>
          <w:i w:val="0"/>
          <w:sz w:val="28"/>
        </w:rPr>
        <w:t>VELLORE INSTITUTE OF TECHNOLOGY, CHENNAI</w:t>
      </w:r>
    </w:p>
    <w:p>
      <w:pPr>
        <w:spacing w:before="80" w:after="0" w:line="360" w:lineRule="auto"/>
        <w:jc w:val="center"/>
      </w:pPr>
      <w:r>
        <w:rPr>
          <w:rFonts w:ascii="Times New Roman" w:hAnsi="Times New Roman"/>
          <w:b w:val="0"/>
          <w:i w:val="0"/>
          <w:sz w:val="24"/>
        </w:rPr>
        <w:t>NOVEMBER, 2025</w:t>
      </w:r>
    </w:p>
    <w:p>
      <w:pPr>
        <w:sectPr>
          <w:footerReference w:type="default" r:id="rId10"/>
          <w:pgSz w:w="11909" w:h="16834"/>
          <w:pgMar w:top="1440" w:right="1440" w:bottom="1440" w:left="2160" w:header="720" w:footer="720" w:gutter="0"/>
          <w:cols w:space="720"/>
          <w:docGrid w:linePitch="360"/>
        </w:sectPr>
      </w:pPr>
    </w:p>
    <w:p>
      <w:pPr>
        <w:spacing w:before="240" w:after="120" w:line="360" w:lineRule="auto"/>
        <w:jc w:val="center"/>
      </w:pPr>
      <w:r>
        <w:rPr>
          <w:rFonts w:ascii="Times New Roman" w:hAnsi="Times New Roman"/>
          <w:b w:val="0"/>
          <w:i/>
          <w:sz w:val="24"/>
        </w:rPr>
        <w:t>A project report on</w:t>
      </w:r>
    </w:p>
    <w:p>
      <w:pPr>
        <w:spacing w:before="120" w:after="280" w:line="276" w:lineRule="auto"/>
        <w:jc w:val="center"/>
      </w:pPr>
      <w:r>
        <w:rPr>
          <w:rFonts w:ascii="Times New Roman" w:hAnsi="Times New Roman"/>
          <w:b/>
          <w:i w:val="0"/>
          <w:sz w:val="36"/>
        </w:rPr>
        <w:t>HYPERATTDDI: HIGHER-ORDER DRUG–DRUG INTERACTION PREDICTION AND ADVERSE EVENT SCREENING VIA MULTI-HEAD HYPERGRAPH ATTENTION AND BIOMEDICAL SEMANTIC CONDITIONING</w:t>
      </w:r>
    </w:p>
    <w:p>
      <w:pPr>
        <w:spacing w:before="120" w:after="120" w:line="360" w:lineRule="auto"/>
        <w:jc w:val="center"/>
      </w:pPr>
      <w:r>
        <w:rPr>
          <w:rFonts w:ascii="Times New Roman" w:hAnsi="Times New Roman"/>
          <w:b w:val="0"/>
          <w:i/>
          <w:sz w:val="26"/>
        </w:rPr>
        <w:t>Submitted in partial fulfillment for the award of the degree of</w:t>
      </w:r>
    </w:p>
    <w:p>
      <w:pPr>
        <w:spacing w:before="120" w:after="360" w:line="360" w:lineRule="auto"/>
        <w:jc w:val="center"/>
      </w:pPr>
      <w:r>
        <w:rPr>
          <w:rFonts w:ascii="Times New Roman" w:hAnsi="Times New Roman"/>
          <w:b/>
          <w:i w:val="0"/>
          <w:sz w:val="36"/>
        </w:rPr>
        <w:t>Bachelor of Technology in Computer Science and Engineering</w:t>
      </w:r>
    </w:p>
    <w:p>
      <w:pPr>
        <w:spacing w:before="80" w:after="80" w:line="360" w:lineRule="auto"/>
        <w:jc w:val="center"/>
      </w:pPr>
      <w:r>
        <w:rPr>
          <w:rFonts w:ascii="Times New Roman" w:hAnsi="Times New Roman"/>
          <w:b w:val="0"/>
          <w:i/>
          <w:sz w:val="26"/>
        </w:rPr>
        <w:t>by</w:t>
      </w:r>
    </w:p>
    <w:p>
      <w:pPr>
        <w:spacing w:before="120" w:after="360" w:line="288" w:lineRule="auto"/>
        <w:jc w:val="center"/>
      </w:pPr>
      <w:r>
        <w:rPr>
          <w:rFonts w:ascii="Times New Roman" w:hAnsi="Times New Roman"/>
          <w:b/>
          <w:i w:val="0"/>
          <w:sz w:val="28"/>
        </w:rPr>
        <w:t>TARUNIKA ANAND (23BCE1203)</w:t>
        <w:br/>
        <w:t>M HARSHINI (23BCE1974)</w:t>
        <w:br/>
        <w:t>SAMYUKTA SRIKANTH (23BCE5136)</w:t>
      </w:r>
    </w:p>
    <w:p>
      <w:pPr>
        <w:spacing w:before="160" w:after="240"/>
        <w:jc w:val="center"/>
      </w:pPr>
      <w:r>
        <w:drawing>
          <wp:inline xmlns:a="http://schemas.openxmlformats.org/drawingml/2006/main" xmlns:pic="http://schemas.openxmlformats.org/drawingml/2006/picture">
            <wp:extent cx="2926080" cy="975360"/>
            <wp:docPr id="2" name="Picture 2"/>
            <wp:cNvGraphicFramePr>
              <a:graphicFrameLocks noChangeAspect="1"/>
            </wp:cNvGraphicFramePr>
            <a:graphic>
              <a:graphicData uri="http://schemas.openxmlformats.org/drawingml/2006/picture">
                <pic:pic>
                  <pic:nvPicPr>
                    <pic:cNvPr id="0" name="image2.jpg"/>
                    <pic:cNvPicPr/>
                  </pic:nvPicPr>
                  <pic:blipFill>
                    <a:blip r:embed="rId9"/>
                    <a:stretch>
                      <a:fillRect/>
                    </a:stretch>
                  </pic:blipFill>
                  <pic:spPr>
                    <a:xfrm>
                      <a:off x="0" y="0"/>
                      <a:ext cx="2926080" cy="975360"/>
                    </a:xfrm>
                    <a:prstGeom prst="rect"/>
                  </pic:spPr>
                </pic:pic>
              </a:graphicData>
            </a:graphic>
          </wp:inline>
        </w:drawing>
      </w:r>
    </w:p>
    <w:p>
      <w:pPr>
        <w:spacing w:before="200" w:after="80" w:line="360" w:lineRule="auto"/>
        <w:jc w:val="center"/>
      </w:pPr>
      <w:r>
        <w:rPr>
          <w:rFonts w:ascii="Times New Roman" w:hAnsi="Times New Roman"/>
          <w:b/>
          <w:i w:val="0"/>
          <w:sz w:val="30"/>
        </w:rPr>
        <w:t>SCHOOL OF COMPUTER SCIENCE AND ENGINEERING</w:t>
      </w:r>
    </w:p>
    <w:p>
      <w:pPr>
        <w:spacing w:before="40" w:after="160" w:line="360" w:lineRule="auto"/>
        <w:jc w:val="center"/>
      </w:pPr>
      <w:r>
        <w:rPr>
          <w:rFonts w:ascii="Times New Roman" w:hAnsi="Times New Roman"/>
          <w:b/>
          <w:i w:val="0"/>
          <w:sz w:val="28"/>
        </w:rPr>
        <w:t>VELLORE INSTITUTE OF TECHNOLOGY, CHENNAI</w:t>
      </w:r>
    </w:p>
    <w:p>
      <w:pPr>
        <w:spacing w:before="80" w:after="0" w:line="360" w:lineRule="auto"/>
        <w:jc w:val="center"/>
      </w:pPr>
      <w:r>
        <w:rPr>
          <w:rFonts w:ascii="Times New Roman" w:hAnsi="Times New Roman"/>
          <w:b w:val="0"/>
          <w:i w:val="0"/>
          <w:sz w:val="24"/>
        </w:rPr>
        <w:t>NOVEMBER, 2025</w:t>
      </w:r>
    </w:p>
    <w:p>
      <w:pPr>
        <w:sectPr>
          <w:pgSz w:w="11909" w:h="16834"/>
          <w:pgMar w:top="1440" w:right="1440" w:bottom="1440" w:left="2160" w:header="720" w:footer="720" w:gutter="0"/>
          <w:cols w:space="720"/>
          <w:docGrid w:linePitch="360"/>
        </w:sectPr>
      </w:pPr>
    </w:p>
    <w:p>
      <w:pPr>
        <w:spacing w:before="320" w:after="400" w:line="360" w:lineRule="auto"/>
        <w:jc w:val="center"/>
      </w:pPr>
      <w:r>
        <w:rPr>
          <w:rFonts w:ascii="Times New Roman" w:hAnsi="Times New Roman"/>
          <w:b/>
          <w:i w:val="0"/>
          <w:sz w:val="28"/>
          <w:u w:val="single"/>
        </w:rPr>
        <w:t>DECLARATION</w:t>
      </w:r>
    </w:p>
    <w:p>
      <w:pPr>
        <w:spacing w:before="200" w:after="240" w:line="360" w:lineRule="auto"/>
        <w:jc w:val="both"/>
      </w:pPr>
      <w:r>
        <w:rPr>
          <w:rFonts w:ascii="Times New Roman" w:hAnsi="Times New Roman"/>
          <w:b w:val="0"/>
          <w:i w:val="0"/>
          <w:sz w:val="24"/>
        </w:rPr>
        <w:t>We hereby declare that the thesis entitled “HYPERATTDDI: HIGHER-ORDER DRUG–DRUG INTERACTION PREDICTION AND ADVERSE EVENT SCREENING VIA MULTI-HEAD HYPERGRAPH ATTENTION AND BIOMEDICAL SEMANTIC CONDITIONING” submitted by TARUNIKA ANAND (23BCE1203), M HARSHINI (23BCE1974), and SAMYUKTA SRIKANTH (23BCE5136), for the award of the degree of Bachelor of Technology in Computer Science and Engineering, Vellore Institute of Technology, Chennai is a record of bonafide work carried out by us under the supervision of Dr. Renta Chintala Bhargavi, Professor, School of Computer Science and Engineering, Vellore Institute of Technology, Chennai.</w:t>
      </w:r>
    </w:p>
    <w:p>
      <w:pPr>
        <w:spacing w:before="120" w:after="720" w:line="360" w:lineRule="auto"/>
        <w:jc w:val="both"/>
      </w:pPr>
      <w:r>
        <w:rPr>
          <w:rFonts w:ascii="Times New Roman" w:hAnsi="Times New Roman"/>
          <w:b w:val="0"/>
          <w:i w:val="0"/>
          <w:sz w:val="24"/>
        </w:rPr>
        <w:t>We further declare that the work reported in this thesis has not been submitted and will not be submitted, either in part or in full, for the award of any other degree or diploma in this institute or any other institute or university.</w:t>
      </w:r>
    </w:p>
    <w:p>
      <w:pPr>
        <w:spacing w:before="400" w:after="480" w:line="360" w:lineRule="auto"/>
        <w:jc w:val="left"/>
      </w:pPr>
      <w:r>
        <w:rPr>
          <w:rFonts w:ascii="Times New Roman" w:hAnsi="Times New Roman"/>
          <w:b/>
          <w:i w:val="0"/>
          <w:sz w:val="24"/>
        </w:rPr>
        <w:t>Place: Chennai</w:t>
        <w:br/>
        <w:t>Date:</w:t>
      </w:r>
    </w:p>
    <w:p>
      <w:pPr>
        <w:spacing w:before="0" w:after="120" w:line="360" w:lineRule="auto"/>
        <w:jc w:val="right"/>
      </w:pPr>
      <w:r>
        <w:rPr>
          <w:rFonts w:ascii="Times New Roman" w:hAnsi="Times New Roman"/>
          <w:b/>
          <w:i w:val="0"/>
          <w:sz w:val="24"/>
        </w:rPr>
        <w:t>Signatures of the Candidates:</w:t>
        <w:br/>
        <w:br/>
        <w:br/>
      </w:r>
    </w:p>
    <w:p>
      <w:pPr>
        <w:spacing w:before="80" w:after="200" w:line="312" w:lineRule="auto"/>
        <w:jc w:val="right"/>
      </w:pPr>
      <w:r>
        <w:rPr>
          <w:rFonts w:ascii="Times New Roman" w:hAnsi="Times New Roman"/>
          <w:b/>
          <w:i w:val="0"/>
          <w:sz w:val="22"/>
        </w:rPr>
        <w:t xml:space="preserve">1. TARUNIKA ANAND (23BCE1203)          </w:t>
        <w:br/>
        <w:t xml:space="preserve">2. M HARSHINI (23BCE1974)              </w:t>
        <w:br/>
        <w:t xml:space="preserve">3. SAMYUKTA SRIKANTH (23BCE5136)       </w:t>
      </w:r>
    </w:p>
    <w:p>
      <w:pPr>
        <w:sectPr>
          <w:pgSz w:w="11909" w:h="16834"/>
          <w:pgMar w:top="1440" w:right="1440" w:bottom="1440" w:left="2160" w:header="720" w:footer="720" w:gutter="0"/>
          <w:cols w:space="720"/>
          <w:docGrid w:linePitch="360"/>
        </w:sectPr>
      </w:pPr>
    </w:p>
    <w:p>
      <w:pPr>
        <w:spacing w:before="200" w:after="80" w:line="360" w:lineRule="auto"/>
        <w:jc w:val="center"/>
      </w:pPr>
      <w:r>
        <w:rPr>
          <w:rFonts w:ascii="Times New Roman" w:hAnsi="Times New Roman"/>
          <w:b/>
          <w:i w:val="0"/>
          <w:sz w:val="28"/>
        </w:rPr>
        <w:t>School of Computer Science and Engineering</w:t>
      </w:r>
    </w:p>
    <w:p>
      <w:pPr>
        <w:spacing w:before="120" w:after="360" w:line="360" w:lineRule="auto"/>
        <w:jc w:val="center"/>
      </w:pPr>
      <w:r>
        <w:rPr>
          <w:rFonts w:ascii="Times New Roman" w:hAnsi="Times New Roman"/>
          <w:b/>
          <w:i w:val="0"/>
          <w:sz w:val="28"/>
          <w:u w:val="single"/>
        </w:rPr>
        <w:t>CERTIFICATE</w:t>
      </w:r>
    </w:p>
    <w:p>
      <w:pPr>
        <w:spacing w:before="160" w:after="480" w:line="360" w:lineRule="auto"/>
        <w:jc w:val="both"/>
      </w:pPr>
      <w:r>
        <w:rPr>
          <w:rFonts w:ascii="Times New Roman" w:hAnsi="Times New Roman"/>
          <w:b w:val="0"/>
          <w:i w:val="0"/>
          <w:sz w:val="24"/>
        </w:rPr>
        <w:t>This is to certify that the report entitled “HYPERATTDDI: HIGHER-ORDER DRUG–DRUG INTERACTION PREDICTION AND ADVERSE EVENT SCREENING VIA MULTI-HEAD HYPERGRAPH ATTENTION AND BIOMEDICAL SEMANTIC CONDITIONING” is prepared and submitted by TARUNIKA ANAND (23BCE1203), M HARSHINI (23BCE1974), and SAMYUKTA SRIKANTH (23BCE5136) to Vellore Institute of Technology, Chennai, in partial fulfillment of the requirement for the award of the degree of Bachelor of Technology in Computer Science and Engineering is a bonafide record carried out under my guidance. The project fulfills the requirements as per the regulations of this University and in my opinion meets the necessary standards for submission. The contents of this report have not been submitted and will not be submitted either in part or in full, for the award of any other degree or diploma and the same is certified.</w:t>
      </w:r>
    </w:p>
    <w:p>
      <w:pPr>
        <w:spacing w:before="200" w:after="480" w:line="312" w:lineRule="auto"/>
        <w:jc w:val="left"/>
      </w:pPr>
      <w:r>
        <w:rPr>
          <w:rFonts w:ascii="Times New Roman" w:hAnsi="Times New Roman"/>
          <w:b w:val="0"/>
          <w:i w:val="0"/>
          <w:sz w:val="22"/>
        </w:rPr>
        <w:t>Signature of the Guide:</w:t>
        <w:tab/>
        <w:tab/>
        <w:tab/>
        <w:tab/>
        <w:tab/>
        <w:tab/>
        <w:br/>
        <w:br/>
        <w:t>Name: Dr. Renta Chintala Bhargavi</w:t>
        <w:br/>
        <w:t>Designation: Professor</w:t>
        <w:br/>
        <w:t>Department: Computer Science and Engineering</w:t>
        <w:br/>
        <w:t>School of Computer Science and Engineering</w:t>
        <w:br/>
        <w:t>Vellore Institute of Technology, Chennai</w:t>
        <w:br/>
        <w:t>Date:</w:t>
      </w:r>
    </w:p>
    <w:p>
      <w:pPr>
        <w:spacing w:before="320" w:after="480" w:line="312" w:lineRule="auto"/>
        <w:jc w:val="left"/>
      </w:pPr>
      <w:r>
        <w:rPr>
          <w:rFonts w:ascii="Times New Roman" w:hAnsi="Times New Roman"/>
          <w:b w:val="0"/>
          <w:i w:val="0"/>
          <w:sz w:val="22"/>
        </w:rPr>
        <w:t>Signature of the Examiner 1</w:t>
        <w:tab/>
        <w:tab/>
        <w:tab/>
        <w:tab/>
        <w:t>Signature of the Examiner 2</w:t>
        <w:br/>
        <w:t>Name:</w:t>
        <w:tab/>
        <w:tab/>
        <w:tab/>
        <w:tab/>
        <w:tab/>
        <w:tab/>
        <w:tab/>
        <w:t>Name:</w:t>
        <w:br/>
        <w:t>Date:</w:t>
        <w:tab/>
        <w:tab/>
        <w:tab/>
        <w:tab/>
        <w:tab/>
        <w:tab/>
        <w:tab/>
        <w:t>Date:</w:t>
      </w:r>
    </w:p>
    <w:p>
      <w:pPr>
        <w:spacing w:before="320" w:after="200" w:line="312" w:lineRule="auto"/>
        <w:jc w:val="left"/>
      </w:pPr>
      <w:r>
        <w:rPr>
          <w:rFonts w:ascii="Times New Roman" w:hAnsi="Times New Roman"/>
          <w:b w:val="0"/>
          <w:i w:val="0"/>
          <w:sz w:val="22"/>
        </w:rPr>
        <w:t>Approved by the Head of Department,</w:t>
        <w:br/>
        <w:t>Department of Computer Science and Engineering</w:t>
        <w:br/>
        <w:br/>
        <w:t>Name: (HoD Name)</w:t>
        <w:br/>
        <w:t>Date:</w:t>
        <w:tab/>
        <w:tab/>
        <w:tab/>
        <w:tab/>
        <w:tab/>
        <w:tab/>
        <w:tab/>
        <w:tab/>
        <w:t>(School Seal)</w:t>
      </w:r>
    </w:p>
    <w:p>
      <w:pPr>
        <w:sectPr>
          <w:pgSz w:w="11909" w:h="16834"/>
          <w:pgMar w:top="1440" w:right="1440" w:bottom="1440" w:left="2160" w:header="720" w:footer="720" w:gutter="0"/>
          <w:cols w:space="720"/>
          <w:docGrid w:linePitch="360"/>
        </w:sectPr>
      </w:pPr>
    </w:p>
    <w:p>
      <w:pPr>
        <w:spacing w:before="240" w:after="320" w:line="360" w:lineRule="auto"/>
        <w:jc w:val="center"/>
      </w:pPr>
      <w:r>
        <w:rPr>
          <w:rFonts w:ascii="Times New Roman" w:hAnsi="Times New Roman"/>
          <w:b/>
          <w:i w:val="0"/>
          <w:sz w:val="28"/>
          <w:u w:val="single"/>
        </w:rPr>
        <w:t>ABSTRACT</w:t>
      </w:r>
    </w:p>
    <w:p>
      <w:pPr>
        <w:spacing w:before="120" w:after="200" w:line="360" w:lineRule="auto"/>
        <w:jc w:val="both"/>
      </w:pPr>
      <w:r>
        <w:rPr>
          <w:rFonts w:ascii="Times New Roman" w:hAnsi="Times New Roman"/>
          <w:b w:val="0"/>
          <w:i w:val="0"/>
          <w:sz w:val="24"/>
        </w:rPr>
        <w:t>Polypharmacy—the simultaneous administration of multiple medications—is standard clinical practice for geriatric, chronic, and oncological patients. However, the concurrent administration of multiple drugs significantly elevates the risk of complex higher-order Drug–Drug Interactions (DDIs) and Adverse Drug Reactions (ADRs), which are responsible for substantial hospital admissions, severe morbidity, and billions of dollars in annual healthcare expenditure. Traditional computational methodologies are fundamentally constrained to pairwise (k = 2) interaction prediction, failing to capture non-linear, multi-agent synergies that emerge only when three or more drugs are co-prescribed. Furthermore, existing hypergraph neural network formulations suffer from a fatal formulation flaw: they predict generic binary interaction labels while omitting the identity of the specific adverse event being evaluated. This creates irreconcilable label contradiction during model optimization, forcing networks to learn blurry averages across conflicting clinical outcomes.</w:t>
      </w:r>
    </w:p>
    <w:p>
      <w:pPr>
        <w:spacing w:before="120" w:after="200" w:line="360" w:lineRule="auto"/>
        <w:jc w:val="both"/>
      </w:pPr>
      <w:r>
        <w:rPr>
          <w:rFonts w:ascii="Times New Roman" w:hAnsi="Times New Roman"/>
          <w:b w:val="0"/>
          <w:i w:val="0"/>
          <w:sz w:val="24"/>
        </w:rPr>
        <w:t>To resolve these fundamental challenges, this project introduces HyperAttDDI, a unified deep hypergraph framework featuring three core innovations: (1) Adverse-Event-Conditioned Attention Pooling, which injects pre-trained biomedical semantic embeddings (SapBERT 768d) directly into the hyperedge aggregation query, enabling attention weights to dynamically redistribute across member drugs according to the queried pathological organ system; (2) Multimodal Drug Attention Fusion, which harmonizes dense chemical language representations (ChemBERTa 768d) with high-dimensional pharmacological knowledge profiles (KEGG 1,024d targets, enzymes, transporters, and ATC classifications) through a learned gating network with autonomous graceful fallback for unannotated compounds; and (3) Higher-Order Hypergraph Convolutions utilizing 2-layer multi-head message passing across complex patient prescription incidence topologies.</w:t>
      </w:r>
    </w:p>
    <w:p>
      <w:pPr>
        <w:spacing w:before="120" w:after="280" w:line="360" w:lineRule="auto"/>
        <w:jc w:val="both"/>
      </w:pPr>
      <w:r>
        <w:rPr>
          <w:rFonts w:ascii="Times New Roman" w:hAnsi="Times New Roman"/>
          <w:b w:val="0"/>
          <w:i w:val="0"/>
          <w:sz w:val="24"/>
        </w:rPr>
        <w:t>Extensive empirical evaluations were conducted on the rigorous FDA FAERS longitudinal benchmark (spanning 41 quarters from 2014 Q3 to 2024 Q3, comprising 10,250 unique drugs and 7,350 MedDRA adverse reactions) across 7 independent random seeds with paired t-tests. HyperAttDDI achieves state-of-the-art predictive performance: ROC-AUC of 0.9779 ± 0.0017, PR-AUC of 0.9729 ± 0.0026, and F1-Score of 0.9465 ± 0.0010, significantly outperforming our scratch reproduction of the literature baseline HGNN-SA (ROC-AUC 0.9413 ± 0.0021, p &lt; 0.00001). Ablation of message passing depth reveals that 2-hop convolutions represent the optimal topological receptive sweet spot, while deeper architectures succumb to over-smoothing. Clinical case studies on cardiovascular and neuro-psychiatric polypharmacy regimens demonstrate that HyperAttDDI faithfully attributes risk to known pharmacokinetic culprit mechanisms (e.g., Dabigatran and Pregabalin dominating renal impairment). Finally, an ultra-fast full-spectrum screening engine evaluates arbitrary multi-drug cocktails against all 7,350 adverse reactions simultaneously in under 50 ms with a dual-threshold safety alert mode (95.80% recall), establishing an actionable bridge between computational deep learning and real-world clinical decision support.</w:t>
      </w:r>
    </w:p>
    <w:p>
      <w:r>
        <w:br w:type="page"/>
      </w:r>
    </w:p>
    <w:p>
      <w:pPr>
        <w:spacing w:before="240" w:after="320" w:line="360" w:lineRule="auto"/>
        <w:jc w:val="center"/>
      </w:pPr>
      <w:r>
        <w:rPr>
          <w:rFonts w:ascii="Times New Roman" w:hAnsi="Times New Roman"/>
          <w:b/>
          <w:i w:val="0"/>
          <w:sz w:val="28"/>
          <w:u w:val="single"/>
        </w:rPr>
        <w:t>ACKNOWLEDGEMENT</w:t>
      </w:r>
    </w:p>
    <w:p>
      <w:pPr>
        <w:spacing w:before="120" w:after="200" w:line="360" w:lineRule="auto"/>
        <w:jc w:val="both"/>
      </w:pPr>
      <w:r>
        <w:rPr>
          <w:rFonts w:ascii="Times New Roman" w:hAnsi="Times New Roman"/>
          <w:b w:val="0"/>
          <w:i w:val="0"/>
          <w:sz w:val="24"/>
        </w:rPr>
        <w:t>It is our pleasure to express with a deep sense of gratitude to Dr. Renta Chintala Bhargavi, Professor, School of Computer Science and Engineering, Vellore Institute of Technology, Chennai, for her constant guidance, continual encouragement, insightful criticism, and profound technical understanding throughout the tenure of this project. Her expertise in deep learning and computational architectures has been invaluable in shaping this research. Our association with her has been an extraordinary learning experience that has enriched our academic and professional perspectives.</w:t>
      </w:r>
    </w:p>
    <w:p>
      <w:pPr>
        <w:spacing w:before="120" w:after="200" w:line="360" w:lineRule="auto"/>
        <w:jc w:val="both"/>
      </w:pPr>
      <w:r>
        <w:rPr>
          <w:rFonts w:ascii="Times New Roman" w:hAnsi="Times New Roman"/>
          <w:b w:val="0"/>
          <w:i w:val="0"/>
          <w:sz w:val="24"/>
        </w:rPr>
        <w:t>It is with immense gratitude that we extend our sincere thanks to our visionary leader Dr. G. Viswanathan, Honorable Chancellor, Mr. Sankar Viswanathan, Dr. Sekar Viswanathan, and Dr. G. V. Selvam, Vice Presidents, Dr. Sandhya Pentareddy, Executive Director, Ms. Kadhambari S. Viswanathan, Assistant Vice-President, Dr. V. S. Kanchana Bhaaskaran, Vice-Chancellor, Dr. T. Thyagarajan, Pro-Vice Chancellor, VIT Chennai, and Dr. P. K. Manoharan, Additional Registrar, for providing state-of-the-art laboratory infrastructure, computational facilities, and an inspiring academic environment.</w:t>
      </w:r>
    </w:p>
    <w:p>
      <w:pPr>
        <w:spacing w:before="120" w:after="200" w:line="360" w:lineRule="auto"/>
        <w:jc w:val="both"/>
      </w:pPr>
      <w:r>
        <w:rPr>
          <w:rFonts w:ascii="Times New Roman" w:hAnsi="Times New Roman"/>
          <w:b w:val="0"/>
          <w:i w:val="0"/>
          <w:sz w:val="24"/>
        </w:rPr>
        <w:t>Special mention and heartfelt thanks to Dr. Viswanathan V, Dean, Dr. Nithyanandam P, Associate Dean, Dr. Suganya G, Associate Dean, and Dr. Sweetlin Hemalatha C, Associate Dean, School of Computer Science and Engineering, Vellore Institute of Technology, Chennai, for their generous encouragement and administrative facilitation.</w:t>
      </w:r>
    </w:p>
    <w:p>
      <w:pPr>
        <w:spacing w:before="120" w:after="480" w:line="360" w:lineRule="auto"/>
        <w:jc w:val="both"/>
      </w:pPr>
      <w:r>
        <w:rPr>
          <w:rFonts w:ascii="Times New Roman" w:hAnsi="Times New Roman"/>
          <w:b w:val="0"/>
          <w:i w:val="0"/>
          <w:sz w:val="24"/>
        </w:rPr>
        <w:t>We also express our sincere appreciation to the Head of the Department, Department of Computer Science and Engineering, and the Project Coordinators for their structured organization, systematic reviews, and constructive guidance. Finally, we express our profound gratitude to our parents, family members, and peers whose unwavering moral support and encouragement motivated us to complete this endeavor successfully.</w:t>
      </w:r>
    </w:p>
    <w:p>
      <w:pPr>
        <w:spacing w:before="320" w:after="200" w:line="312" w:lineRule="auto"/>
        <w:jc w:val="left"/>
      </w:pPr>
      <w:r>
        <w:rPr>
          <w:rFonts w:ascii="Times New Roman" w:hAnsi="Times New Roman"/>
          <w:b/>
          <w:i w:val="0"/>
          <w:sz w:val="22"/>
        </w:rPr>
        <w:t>Place: Chennai</w:t>
        <w:br/>
        <w:t>Date:</w:t>
        <w:tab/>
        <w:tab/>
        <w:tab/>
        <w:tab/>
        <w:tab/>
        <w:tab/>
        <w:tab/>
        <w:tab/>
        <w:t>TARUNIKA ANAND (23BCE1203)</w:t>
        <w:br/>
        <w:tab/>
        <w:tab/>
        <w:tab/>
        <w:tab/>
        <w:tab/>
        <w:tab/>
        <w:tab/>
        <w:tab/>
        <w:t>M HARSHINI (23BCE1974)</w:t>
        <w:br/>
        <w:tab/>
        <w:tab/>
        <w:tab/>
        <w:tab/>
        <w:tab/>
        <w:tab/>
        <w:tab/>
        <w:tab/>
        <w:t>SAMYUKTA SRIKANTH (23BCE5136)</w:t>
      </w:r>
    </w:p>
    <w:p>
      <w:r>
        <w:br w:type="page"/>
      </w:r>
    </w:p>
    <w:p>
      <w:pPr>
        <w:spacing w:before="240" w:after="320" w:line="360" w:lineRule="auto"/>
        <w:jc w:val="center"/>
      </w:pPr>
      <w:r>
        <w:rPr>
          <w:rFonts w:ascii="Times New Roman" w:hAnsi="Times New Roman"/>
          <w:b/>
          <w:i w:val="0"/>
          <w:sz w:val="28"/>
          <w:u w:val="single"/>
        </w:rPr>
        <w:t>CONTENTS</w:t>
      </w:r>
    </w:p>
    <w:tbl>
      <w:tblPr>
        <w:tblW w:type="auto" w:w="0"/>
        <w:jc w:val="center"/>
        <w:tblLook w:firstColumn="1" w:firstRow="1" w:lastColumn="0" w:lastRow="0" w:noHBand="0" w:noVBand="1" w:val="04A0"/>
        <w:tblBorders>
          <w:top w:val="single" w:sz="4" w:space="0" w:color="B0BEC5"/>
          <w:bottom w:val="single" w:sz="4" w:space="0" w:color="B0BEC5"/>
          <w:left w:val="none"/>
          <w:right w:val="none"/>
          <w:insideH w:val="single" w:sz="4" w:space="0" w:color="B0BEC5"/>
          <w:insideV w:val="none"/>
        </w:tblBorders>
      </w:tblPr>
      <w:tblGrid>
        <w:gridCol w:w="4154"/>
        <w:gridCol w:w="4154"/>
      </w:tblGrid>
      <w:tr>
        <w:tc>
          <w:tcPr>
            <w:tcW w:type="dxa" w:w="7488"/>
            <w:shd w:fill="1B365D"/>
            <w:tcMar>
              <w:top w:w="140" w:type="dxa"/>
              <w:bottom w:w="140" w:type="dxa"/>
              <w:left w:w="160" w:type="dxa"/>
              <w:right w:w="160" w:type="dxa"/>
            </w:tcMar>
          </w:tcPr>
          <w:p>
            <w:pPr>
              <w:spacing w:before="0" w:after="0" w:line="240" w:lineRule="auto"/>
              <w:jc w:val="center"/>
            </w:pPr>
            <w:r>
              <w:rPr>
                <w:rFonts w:ascii="Times New Roman" w:hAnsi="Times New Roman"/>
                <w:b/>
                <w:i w:val="0"/>
                <w:color w:val="FFFFFF"/>
                <w:sz w:val="20"/>
              </w:rPr>
              <w:t>TABLE OF CONTENTS</w:t>
            </w:r>
          </w:p>
        </w:tc>
        <w:tc>
          <w:tcPr>
            <w:tcW w:type="dxa" w:w="1152"/>
            <w:shd w:fill="1B365D"/>
            <w:tcMar>
              <w:top w:w="140" w:type="dxa"/>
              <w:bottom w:w="140" w:type="dxa"/>
              <w:left w:w="160" w:type="dxa"/>
              <w:right w:w="160" w:type="dxa"/>
            </w:tcMar>
          </w:tcPr>
          <w:p>
            <w:pPr>
              <w:spacing w:before="0" w:after="0" w:line="240" w:lineRule="auto"/>
              <w:jc w:val="center"/>
            </w:pPr>
            <w:r>
              <w:rPr>
                <w:rFonts w:ascii="Times New Roman" w:hAnsi="Times New Roman"/>
                <w:b/>
                <w:i w:val="0"/>
                <w:color w:val="FFFFFF"/>
                <w:sz w:val="20"/>
              </w:rPr>
              <w:t>PAGE</w:t>
            </w:r>
          </w:p>
        </w:tc>
      </w:tr>
      <w:tr>
        <w:tc>
          <w:tcPr>
            <w:tcW w:type="dxa" w:w="7488"/>
            <w:tcMar>
              <w:top w:w="100" w:type="dxa"/>
              <w:bottom w:w="100" w:type="dxa"/>
              <w:left w:w="150" w:type="dxa"/>
              <w:right w:w="150" w:type="dxa"/>
            </w:tcMar>
          </w:tcPr>
          <w:p>
            <w:pPr>
              <w:spacing w:before="0" w:after="0" w:line="276" w:lineRule="auto"/>
              <w:jc w:val="left"/>
            </w:pPr>
            <w:r>
              <w:rPr>
                <w:rFonts w:ascii="Times New Roman" w:hAnsi="Times New Roman"/>
                <w:b w:val="0"/>
                <w:i w:val="0"/>
                <w:sz w:val="19"/>
              </w:rPr>
              <w:t>ABSTRACT</w:t>
            </w:r>
          </w:p>
        </w:tc>
        <w:tc>
          <w:tcPr>
            <w:tcW w:type="dxa" w:w="1152"/>
            <w:tcMar>
              <w:top w:w="100" w:type="dxa"/>
              <w:bottom w:w="100" w:type="dxa"/>
              <w:left w:w="150" w:type="dxa"/>
              <w:right w:w="150" w:type="dxa"/>
            </w:tcMar>
          </w:tcPr>
          <w:p>
            <w:pPr>
              <w:spacing w:before="0" w:after="0" w:line="276" w:lineRule="auto"/>
              <w:jc w:val="left"/>
            </w:pPr>
            <w:r>
              <w:rPr>
                <w:rFonts w:ascii="Times New Roman" w:hAnsi="Times New Roman"/>
                <w:b w:val="0"/>
                <w:i w:val="0"/>
                <w:sz w:val="19"/>
              </w:rPr>
              <w:t>i</w:t>
            </w:r>
          </w:p>
        </w:tc>
      </w:tr>
      <w:tr>
        <w:tc>
          <w:tcPr>
            <w:tcW w:type="dxa" w:w="7488"/>
            <w:shd w:fill="F8F9FA"/>
            <w:tcMar>
              <w:top w:w="100" w:type="dxa"/>
              <w:bottom w:w="100" w:type="dxa"/>
              <w:left w:w="150" w:type="dxa"/>
              <w:right w:w="150" w:type="dxa"/>
            </w:tcMar>
          </w:tcPr>
          <w:p>
            <w:pPr>
              <w:spacing w:before="0" w:after="0" w:line="276" w:lineRule="auto"/>
              <w:jc w:val="left"/>
            </w:pPr>
            <w:r>
              <w:rPr>
                <w:rFonts w:ascii="Times New Roman" w:hAnsi="Times New Roman"/>
                <w:b w:val="0"/>
                <w:i w:val="0"/>
                <w:sz w:val="19"/>
              </w:rPr>
              <w:t>ACKNOWLEDGEMENT</w:t>
            </w:r>
          </w:p>
        </w:tc>
        <w:tc>
          <w:tcPr>
            <w:tcW w:type="dxa" w:w="1152"/>
            <w:shd w:fill="F8F9FA"/>
            <w:tcMar>
              <w:top w:w="100" w:type="dxa"/>
              <w:bottom w:w="100" w:type="dxa"/>
              <w:left w:w="150" w:type="dxa"/>
              <w:right w:w="150" w:type="dxa"/>
            </w:tcMar>
          </w:tcPr>
          <w:p>
            <w:pPr>
              <w:spacing w:before="0" w:after="0" w:line="276" w:lineRule="auto"/>
              <w:jc w:val="left"/>
            </w:pPr>
            <w:r>
              <w:rPr>
                <w:rFonts w:ascii="Times New Roman" w:hAnsi="Times New Roman"/>
                <w:b w:val="0"/>
                <w:i w:val="0"/>
                <w:sz w:val="19"/>
              </w:rPr>
              <w:t>ii</w:t>
            </w:r>
          </w:p>
        </w:tc>
      </w:tr>
      <w:tr>
        <w:tc>
          <w:tcPr>
            <w:tcW w:type="dxa" w:w="7488"/>
            <w:tcMar>
              <w:top w:w="100" w:type="dxa"/>
              <w:bottom w:w="100" w:type="dxa"/>
              <w:left w:w="150" w:type="dxa"/>
              <w:right w:w="150" w:type="dxa"/>
            </w:tcMar>
          </w:tcPr>
          <w:p>
            <w:pPr>
              <w:spacing w:before="0" w:after="0" w:line="276" w:lineRule="auto"/>
              <w:jc w:val="left"/>
            </w:pPr>
            <w:r>
              <w:rPr>
                <w:rFonts w:ascii="Times New Roman" w:hAnsi="Times New Roman"/>
                <w:b w:val="0"/>
                <w:i w:val="0"/>
                <w:sz w:val="19"/>
              </w:rPr>
              <w:t>CONTENTS</w:t>
            </w:r>
          </w:p>
        </w:tc>
        <w:tc>
          <w:tcPr>
            <w:tcW w:type="dxa" w:w="1152"/>
            <w:tcMar>
              <w:top w:w="100" w:type="dxa"/>
              <w:bottom w:w="100" w:type="dxa"/>
              <w:left w:w="150" w:type="dxa"/>
              <w:right w:w="150" w:type="dxa"/>
            </w:tcMar>
          </w:tcPr>
          <w:p>
            <w:pPr>
              <w:spacing w:before="0" w:after="0" w:line="276" w:lineRule="auto"/>
              <w:jc w:val="left"/>
            </w:pPr>
            <w:r>
              <w:rPr>
                <w:rFonts w:ascii="Times New Roman" w:hAnsi="Times New Roman"/>
                <w:b w:val="0"/>
                <w:i w:val="0"/>
                <w:sz w:val="19"/>
              </w:rPr>
              <w:t>iii</w:t>
            </w:r>
          </w:p>
        </w:tc>
      </w:tr>
      <w:tr>
        <w:tc>
          <w:tcPr>
            <w:tcW w:type="dxa" w:w="7488"/>
            <w:shd w:fill="F8F9FA"/>
            <w:tcMar>
              <w:top w:w="100" w:type="dxa"/>
              <w:bottom w:w="100" w:type="dxa"/>
              <w:left w:w="150" w:type="dxa"/>
              <w:right w:w="150" w:type="dxa"/>
            </w:tcMar>
          </w:tcPr>
          <w:p>
            <w:pPr>
              <w:spacing w:before="0" w:after="0" w:line="276" w:lineRule="auto"/>
              <w:jc w:val="left"/>
            </w:pPr>
            <w:r>
              <w:rPr>
                <w:rFonts w:ascii="Times New Roman" w:hAnsi="Times New Roman"/>
                <w:b w:val="0"/>
                <w:i w:val="0"/>
                <w:sz w:val="19"/>
              </w:rPr>
              <w:t>LIST OF FIGURES</w:t>
            </w:r>
          </w:p>
        </w:tc>
        <w:tc>
          <w:tcPr>
            <w:tcW w:type="dxa" w:w="1152"/>
            <w:shd w:fill="F8F9FA"/>
            <w:tcMar>
              <w:top w:w="100" w:type="dxa"/>
              <w:bottom w:w="100" w:type="dxa"/>
              <w:left w:w="150" w:type="dxa"/>
              <w:right w:w="150" w:type="dxa"/>
            </w:tcMar>
          </w:tcPr>
          <w:p>
            <w:pPr>
              <w:spacing w:before="0" w:after="0" w:line="276" w:lineRule="auto"/>
              <w:jc w:val="left"/>
            </w:pPr>
            <w:r>
              <w:rPr>
                <w:rFonts w:ascii="Times New Roman" w:hAnsi="Times New Roman"/>
                <w:b w:val="0"/>
                <w:i w:val="0"/>
                <w:sz w:val="19"/>
              </w:rPr>
              <w:t>v</w:t>
            </w:r>
          </w:p>
        </w:tc>
      </w:tr>
      <w:tr>
        <w:tc>
          <w:tcPr>
            <w:tcW w:type="dxa" w:w="7488"/>
            <w:tcMar>
              <w:top w:w="100" w:type="dxa"/>
              <w:bottom w:w="100" w:type="dxa"/>
              <w:left w:w="150" w:type="dxa"/>
              <w:right w:w="150" w:type="dxa"/>
            </w:tcMar>
          </w:tcPr>
          <w:p>
            <w:pPr>
              <w:spacing w:before="0" w:after="0" w:line="276" w:lineRule="auto"/>
              <w:jc w:val="left"/>
            </w:pPr>
            <w:r>
              <w:rPr>
                <w:rFonts w:ascii="Times New Roman" w:hAnsi="Times New Roman"/>
                <w:b w:val="0"/>
                <w:i w:val="0"/>
                <w:sz w:val="19"/>
              </w:rPr>
              <w:t>LIST OF TABLES</w:t>
            </w:r>
          </w:p>
        </w:tc>
        <w:tc>
          <w:tcPr>
            <w:tcW w:type="dxa" w:w="1152"/>
            <w:tcMar>
              <w:top w:w="100" w:type="dxa"/>
              <w:bottom w:w="100" w:type="dxa"/>
              <w:left w:w="150" w:type="dxa"/>
              <w:right w:w="150" w:type="dxa"/>
            </w:tcMar>
          </w:tcPr>
          <w:p>
            <w:pPr>
              <w:spacing w:before="0" w:after="0" w:line="276" w:lineRule="auto"/>
              <w:jc w:val="left"/>
            </w:pPr>
            <w:r>
              <w:rPr>
                <w:rFonts w:ascii="Times New Roman" w:hAnsi="Times New Roman"/>
                <w:b w:val="0"/>
                <w:i w:val="0"/>
                <w:sz w:val="19"/>
              </w:rPr>
              <w:t>vi</w:t>
            </w:r>
          </w:p>
        </w:tc>
      </w:tr>
      <w:tr>
        <w:tc>
          <w:tcPr>
            <w:tcW w:type="dxa" w:w="7488"/>
            <w:shd w:fill="F8F9FA"/>
            <w:tcMar>
              <w:top w:w="100" w:type="dxa"/>
              <w:bottom w:w="100" w:type="dxa"/>
              <w:left w:w="150" w:type="dxa"/>
              <w:right w:w="150" w:type="dxa"/>
            </w:tcMar>
          </w:tcPr>
          <w:p>
            <w:pPr>
              <w:spacing w:before="0" w:after="0" w:line="276" w:lineRule="auto"/>
              <w:jc w:val="left"/>
            </w:pPr>
            <w:r>
              <w:rPr>
                <w:rFonts w:ascii="Times New Roman" w:hAnsi="Times New Roman"/>
                <w:b w:val="0"/>
                <w:i w:val="0"/>
                <w:sz w:val="19"/>
              </w:rPr>
              <w:t>LIST OF ACRONYMS AND ABBREVIATIONS</w:t>
            </w:r>
          </w:p>
        </w:tc>
        <w:tc>
          <w:tcPr>
            <w:tcW w:type="dxa" w:w="1152"/>
            <w:shd w:fill="F8F9FA"/>
            <w:tcMar>
              <w:top w:w="100" w:type="dxa"/>
              <w:bottom w:w="100" w:type="dxa"/>
              <w:left w:w="150" w:type="dxa"/>
              <w:right w:w="150" w:type="dxa"/>
            </w:tcMar>
          </w:tcPr>
          <w:p>
            <w:pPr>
              <w:spacing w:before="0" w:after="0" w:line="276" w:lineRule="auto"/>
              <w:jc w:val="left"/>
            </w:pPr>
            <w:r>
              <w:rPr>
                <w:rFonts w:ascii="Times New Roman" w:hAnsi="Times New Roman"/>
                <w:b w:val="0"/>
                <w:i w:val="0"/>
                <w:sz w:val="19"/>
              </w:rPr>
              <w:t>vii</w:t>
            </w:r>
          </w:p>
        </w:tc>
      </w:tr>
      <w:tr>
        <w:tc>
          <w:tcPr>
            <w:tcW w:type="dxa" w:w="7488"/>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CHAPTER 1   INTRODUCTION</w:t>
            </w:r>
          </w:p>
        </w:tc>
        <w:tc>
          <w:tcPr>
            <w:tcW w:type="dxa" w:w="1152"/>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1</w:t>
            </w:r>
          </w:p>
        </w:tc>
      </w:tr>
      <w:tr>
        <w:tc>
          <w:tcPr>
            <w:tcW w:type="dxa" w:w="7488"/>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 xml:space="preserve">   1.1   Clinical Background and Polypharmacy Context</w:t>
            </w:r>
          </w:p>
        </w:tc>
        <w:tc>
          <w:tcPr>
            <w:tcW w:type="dxa" w:w="1152"/>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1</w:t>
            </w:r>
          </w:p>
        </w:tc>
      </w:tr>
      <w:tr>
        <w:tc>
          <w:tcPr>
            <w:tcW w:type="dxa" w:w="7488"/>
            <w:tcMar>
              <w:top w:w="100" w:type="dxa"/>
              <w:bottom w:w="100" w:type="dxa"/>
              <w:left w:w="150" w:type="dxa"/>
              <w:right w:w="150" w:type="dxa"/>
            </w:tcMar>
          </w:tcPr>
          <w:p>
            <w:pPr>
              <w:spacing w:before="0" w:after="0" w:line="276" w:lineRule="auto"/>
              <w:jc w:val="left"/>
            </w:pPr>
            <w:r>
              <w:rPr>
                <w:rFonts w:ascii="Times New Roman" w:hAnsi="Times New Roman"/>
                <w:b w:val="0"/>
                <w:i w:val="0"/>
                <w:sz w:val="19"/>
              </w:rPr>
              <w:t xml:space="preserve">   1.2   Combinatorial Complexity of Multi-Drug Regimens</w:t>
            </w:r>
          </w:p>
        </w:tc>
        <w:tc>
          <w:tcPr>
            <w:tcW w:type="dxa" w:w="1152"/>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2</w:t>
            </w:r>
          </w:p>
        </w:tc>
      </w:tr>
      <w:tr>
        <w:tc>
          <w:tcPr>
            <w:tcW w:type="dxa" w:w="7488"/>
            <w:shd w:fill="F8F9FA"/>
            <w:tcMar>
              <w:top w:w="100" w:type="dxa"/>
              <w:bottom w:w="100" w:type="dxa"/>
              <w:left w:w="150" w:type="dxa"/>
              <w:right w:w="150" w:type="dxa"/>
            </w:tcMar>
          </w:tcPr>
          <w:p>
            <w:pPr>
              <w:spacing w:before="0" w:after="0" w:line="276" w:lineRule="auto"/>
              <w:jc w:val="left"/>
            </w:pPr>
            <w:r>
              <w:rPr>
                <w:rFonts w:ascii="Times New Roman" w:hAnsi="Times New Roman"/>
                <w:b w:val="0"/>
                <w:i w:val="0"/>
                <w:sz w:val="19"/>
              </w:rPr>
              <w:t xml:space="preserve">   1.3   The Pairwise Limitation in Existing Computational Models</w:t>
            </w:r>
          </w:p>
        </w:tc>
        <w:tc>
          <w:tcPr>
            <w:tcW w:type="dxa" w:w="1152"/>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3</w:t>
            </w:r>
          </w:p>
        </w:tc>
      </w:tr>
      <w:tr>
        <w:tc>
          <w:tcPr>
            <w:tcW w:type="dxa" w:w="7488"/>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 xml:space="preserve">   1.4   The Label Contradiction Problem in Prior Hypergraphs</w:t>
            </w:r>
          </w:p>
        </w:tc>
        <w:tc>
          <w:tcPr>
            <w:tcW w:type="dxa" w:w="1152"/>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4</w:t>
            </w:r>
          </w:p>
        </w:tc>
      </w:tr>
      <w:tr>
        <w:tc>
          <w:tcPr>
            <w:tcW w:type="dxa" w:w="7488"/>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 xml:space="preserve">   1.5   Problem Statement</w:t>
            </w:r>
          </w:p>
        </w:tc>
        <w:tc>
          <w:tcPr>
            <w:tcW w:type="dxa" w:w="1152"/>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5</w:t>
            </w:r>
          </w:p>
        </w:tc>
      </w:tr>
      <w:tr>
        <w:tc>
          <w:tcPr>
            <w:tcW w:type="dxa" w:w="7488"/>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 xml:space="preserve">   1.6   Objectives of the Project</w:t>
            </w:r>
          </w:p>
        </w:tc>
        <w:tc>
          <w:tcPr>
            <w:tcW w:type="dxa" w:w="1152"/>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6</w:t>
            </w:r>
          </w:p>
        </w:tc>
      </w:tr>
      <w:tr>
        <w:tc>
          <w:tcPr>
            <w:tcW w:type="dxa" w:w="7488"/>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 xml:space="preserve">   1.7   Scope and Significance</w:t>
            </w:r>
          </w:p>
        </w:tc>
        <w:tc>
          <w:tcPr>
            <w:tcW w:type="dxa" w:w="1152"/>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7</w:t>
            </w:r>
          </w:p>
        </w:tc>
      </w:tr>
      <w:tr>
        <w:tc>
          <w:tcPr>
            <w:tcW w:type="dxa" w:w="7488"/>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 xml:space="preserve">   1.8   Organization of the Report</w:t>
            </w:r>
          </w:p>
        </w:tc>
        <w:tc>
          <w:tcPr>
            <w:tcW w:type="dxa" w:w="1152"/>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8</w:t>
            </w:r>
          </w:p>
        </w:tc>
      </w:tr>
      <w:tr>
        <w:tc>
          <w:tcPr>
            <w:tcW w:type="dxa" w:w="7488"/>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CHAPTER 2   LITERATURE REVIEW</w:t>
            </w:r>
          </w:p>
        </w:tc>
        <w:tc>
          <w:tcPr>
            <w:tcW w:type="dxa" w:w="1152"/>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9</w:t>
            </w:r>
          </w:p>
        </w:tc>
      </w:tr>
      <w:tr>
        <w:tc>
          <w:tcPr>
            <w:tcW w:type="dxa" w:w="7488"/>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 xml:space="preserve">   2.1   Evolution of Computational DDI Prediction</w:t>
            </w:r>
          </w:p>
        </w:tc>
        <w:tc>
          <w:tcPr>
            <w:tcW w:type="dxa" w:w="1152"/>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9</w:t>
            </w:r>
          </w:p>
        </w:tc>
      </w:tr>
      <w:tr>
        <w:tc>
          <w:tcPr>
            <w:tcW w:type="dxa" w:w="7488"/>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 xml:space="preserve">   2.2   Category A: Pairwise Graph Neural Network Architectures</w:t>
            </w:r>
          </w:p>
        </w:tc>
        <w:tc>
          <w:tcPr>
            <w:tcW w:type="dxa" w:w="1152"/>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10</w:t>
            </w:r>
          </w:p>
        </w:tc>
      </w:tr>
      <w:tr>
        <w:tc>
          <w:tcPr>
            <w:tcW w:type="dxa" w:w="7488"/>
            <w:tcMar>
              <w:top w:w="100" w:type="dxa"/>
              <w:bottom w:w="100" w:type="dxa"/>
              <w:left w:w="150" w:type="dxa"/>
              <w:right w:w="150" w:type="dxa"/>
            </w:tcMar>
          </w:tcPr>
          <w:p>
            <w:pPr>
              <w:spacing w:before="0" w:after="0" w:line="276" w:lineRule="auto"/>
              <w:jc w:val="left"/>
            </w:pPr>
            <w:r>
              <w:rPr>
                <w:rFonts w:ascii="Times New Roman" w:hAnsi="Times New Roman"/>
                <w:b w:val="0"/>
                <w:i w:val="0"/>
                <w:sz w:val="19"/>
              </w:rPr>
              <w:t xml:space="preserve">   2.3   Category B: Higher-Order Models and Hypergraph Formulations</w:t>
            </w:r>
          </w:p>
        </w:tc>
        <w:tc>
          <w:tcPr>
            <w:tcW w:type="dxa" w:w="1152"/>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14</w:t>
            </w:r>
          </w:p>
        </w:tc>
      </w:tr>
      <w:tr>
        <w:tc>
          <w:tcPr>
            <w:tcW w:type="dxa" w:w="7488"/>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 xml:space="preserve">   2.4   Critical Research Gaps in the State-of-the-Art</w:t>
            </w:r>
          </w:p>
        </w:tc>
        <w:tc>
          <w:tcPr>
            <w:tcW w:type="dxa" w:w="1152"/>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16</w:t>
            </w:r>
          </w:p>
        </w:tc>
      </w:tr>
      <w:tr>
        <w:tc>
          <w:tcPr>
            <w:tcW w:type="dxa" w:w="7488"/>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 xml:space="preserve">   2.5   Comprehensive Comparative Literature Matrix</w:t>
            </w:r>
          </w:p>
        </w:tc>
        <w:tc>
          <w:tcPr>
            <w:tcW w:type="dxa" w:w="1152"/>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18</w:t>
            </w:r>
          </w:p>
        </w:tc>
      </w:tr>
      <w:tr>
        <w:tc>
          <w:tcPr>
            <w:tcW w:type="dxa" w:w="7488"/>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CHAPTER 3   SYSTEM ARCHITECTURE AND METHODOLOGY</w:t>
            </w:r>
          </w:p>
        </w:tc>
        <w:tc>
          <w:tcPr>
            <w:tcW w:type="dxa" w:w="1152"/>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21</w:t>
            </w:r>
          </w:p>
        </w:tc>
      </w:tr>
      <w:tr>
        <w:tc>
          <w:tcPr>
            <w:tcW w:type="dxa" w:w="7488"/>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 xml:space="preserve">   3.1   Theoretical Architecture of HyperAttDDI</w:t>
            </w:r>
          </w:p>
        </w:tc>
        <w:tc>
          <w:tcPr>
            <w:tcW w:type="dxa" w:w="1152"/>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21</w:t>
            </w:r>
          </w:p>
        </w:tc>
      </w:tr>
      <w:tr>
        <w:tc>
          <w:tcPr>
            <w:tcW w:type="dxa" w:w="7488"/>
            <w:shd w:fill="F8F9FA"/>
            <w:tcMar>
              <w:top w:w="100" w:type="dxa"/>
              <w:bottom w:w="100" w:type="dxa"/>
              <w:left w:w="150" w:type="dxa"/>
              <w:right w:w="150" w:type="dxa"/>
            </w:tcMar>
          </w:tcPr>
          <w:p>
            <w:pPr>
              <w:spacing w:before="0" w:after="0" w:line="276" w:lineRule="auto"/>
              <w:jc w:val="left"/>
            </w:pPr>
            <w:r>
              <w:rPr>
                <w:rFonts w:ascii="Times New Roman" w:hAnsi="Times New Roman"/>
                <w:b w:val="0"/>
                <w:i w:val="0"/>
                <w:sz w:val="19"/>
              </w:rPr>
              <w:t xml:space="preserve">   3.2   Module 1: Multimodal Drug Representation &amp; Attention Gating</w:t>
            </w:r>
          </w:p>
        </w:tc>
        <w:tc>
          <w:tcPr>
            <w:tcW w:type="dxa" w:w="1152"/>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23</w:t>
            </w:r>
          </w:p>
        </w:tc>
      </w:tr>
      <w:tr>
        <w:tc>
          <w:tcPr>
            <w:tcW w:type="dxa" w:w="7488"/>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 xml:space="preserve">   3.3   Module 2: Higher-Order Hypergraph Convolutions</w:t>
            </w:r>
          </w:p>
        </w:tc>
        <w:tc>
          <w:tcPr>
            <w:tcW w:type="dxa" w:w="1152"/>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26</w:t>
            </w:r>
          </w:p>
        </w:tc>
      </w:tr>
      <w:tr>
        <w:tc>
          <w:tcPr>
            <w:tcW w:type="dxa" w:w="7488"/>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 xml:space="preserve">   3.4   Module 3: Adverse-Event Semantic Encoding</w:t>
            </w:r>
          </w:p>
        </w:tc>
        <w:tc>
          <w:tcPr>
            <w:tcW w:type="dxa" w:w="1152"/>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28</w:t>
            </w:r>
          </w:p>
        </w:tc>
      </w:tr>
      <w:tr>
        <w:tc>
          <w:tcPr>
            <w:tcW w:type="dxa" w:w="7488"/>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 xml:space="preserve">   3.5   Module 4: Side-Effect-Conditioned Attention Pooling</w:t>
            </w:r>
          </w:p>
        </w:tc>
        <w:tc>
          <w:tcPr>
            <w:tcW w:type="dxa" w:w="1152"/>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29</w:t>
            </w:r>
          </w:p>
        </w:tc>
      </w:tr>
      <w:tr>
        <w:tc>
          <w:tcPr>
            <w:tcW w:type="dxa" w:w="7488"/>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 xml:space="preserve">   3.6   Module 5: Interaction Decoder &amp; Objective Loss Functions</w:t>
            </w:r>
          </w:p>
        </w:tc>
        <w:tc>
          <w:tcPr>
            <w:tcW w:type="dxa" w:w="1152"/>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32</w:t>
            </w:r>
          </w:p>
        </w:tc>
      </w:tr>
      <w:tr>
        <w:tc>
          <w:tcPr>
            <w:tcW w:type="dxa" w:w="7488"/>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 xml:space="preserve">   3.7   Full-Spectrum Screening Engine &amp; Dual-Threshold Architecture</w:t>
            </w:r>
          </w:p>
        </w:tc>
        <w:tc>
          <w:tcPr>
            <w:tcW w:type="dxa" w:w="1152"/>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34</w:t>
            </w:r>
          </w:p>
        </w:tc>
      </w:tr>
      <w:tr>
        <w:tc>
          <w:tcPr>
            <w:tcW w:type="dxa" w:w="7488"/>
            <w:shd w:fill="F8F9FA"/>
            <w:tcMar>
              <w:top w:w="100" w:type="dxa"/>
              <w:bottom w:w="100" w:type="dxa"/>
              <w:left w:w="150" w:type="dxa"/>
              <w:right w:w="150" w:type="dxa"/>
            </w:tcMar>
          </w:tcPr>
          <w:p>
            <w:pPr>
              <w:spacing w:before="0" w:after="0" w:line="276" w:lineRule="auto"/>
              <w:jc w:val="left"/>
            </w:pPr>
            <w:r>
              <w:rPr>
                <w:rFonts w:ascii="Times New Roman" w:hAnsi="Times New Roman"/>
                <w:b w:val="0"/>
                <w:i w:val="0"/>
                <w:sz w:val="19"/>
              </w:rPr>
              <w:t>CHAPTER 4   EXPERIMENTAL SETUP AND EMPIRICAL RESULTS</w:t>
            </w:r>
          </w:p>
        </w:tc>
        <w:tc>
          <w:tcPr>
            <w:tcW w:type="dxa" w:w="1152"/>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37</w:t>
            </w:r>
          </w:p>
        </w:tc>
      </w:tr>
      <w:tr>
        <w:tc>
          <w:tcPr>
            <w:tcW w:type="dxa" w:w="7488"/>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 xml:space="preserve">   4.1   Benchmark Dataset: The FDA FAERS Longitudinal HODDI Benchmark</w:t>
            </w:r>
          </w:p>
        </w:tc>
        <w:tc>
          <w:tcPr>
            <w:tcW w:type="dxa" w:w="1152"/>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37</w:t>
            </w:r>
          </w:p>
        </w:tc>
      </w:tr>
      <w:tr>
        <w:tc>
          <w:tcPr>
            <w:tcW w:type="dxa" w:w="7488"/>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 xml:space="preserve">   4.2   Data Preprocessing &amp; Chronological Temporal Split</w:t>
            </w:r>
          </w:p>
        </w:tc>
        <w:tc>
          <w:tcPr>
            <w:tcW w:type="dxa" w:w="1152"/>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38</w:t>
            </w:r>
          </w:p>
        </w:tc>
      </w:tr>
      <w:tr>
        <w:tc>
          <w:tcPr>
            <w:tcW w:type="dxa" w:w="7488"/>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 xml:space="preserve">   4.3   7-Seed Robustness Evaluation Protocol</w:t>
            </w:r>
          </w:p>
        </w:tc>
        <w:tc>
          <w:tcPr>
            <w:tcW w:type="dxa" w:w="1152"/>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39</w:t>
            </w:r>
          </w:p>
        </w:tc>
      </w:tr>
      <w:tr>
        <w:tc>
          <w:tcPr>
            <w:tcW w:type="dxa" w:w="7488"/>
            <w:shd w:fill="F8F9FA"/>
            <w:tcMar>
              <w:top w:w="100" w:type="dxa"/>
              <w:bottom w:w="100" w:type="dxa"/>
              <w:left w:w="150" w:type="dxa"/>
              <w:right w:w="150" w:type="dxa"/>
            </w:tcMar>
          </w:tcPr>
          <w:p>
            <w:pPr>
              <w:spacing w:before="0" w:after="0" w:line="276" w:lineRule="auto"/>
              <w:jc w:val="left"/>
            </w:pPr>
            <w:r>
              <w:rPr>
                <w:rFonts w:ascii="Times New Roman" w:hAnsi="Times New Roman"/>
                <w:b w:val="0"/>
                <w:i w:val="0"/>
                <w:sz w:val="19"/>
              </w:rPr>
              <w:t xml:space="preserve">   4.4   Experiment A: Baseline Reproduction (HGNN-SA)</w:t>
            </w:r>
          </w:p>
        </w:tc>
        <w:tc>
          <w:tcPr>
            <w:tcW w:type="dxa" w:w="1152"/>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40</w:t>
            </w:r>
          </w:p>
        </w:tc>
      </w:tr>
      <w:tr>
        <w:tc>
          <w:tcPr>
            <w:tcW w:type="dxa" w:w="7488"/>
            <w:tcMar>
              <w:top w:w="100" w:type="dxa"/>
              <w:bottom w:w="100" w:type="dxa"/>
              <w:left w:w="150" w:type="dxa"/>
              <w:right w:w="150" w:type="dxa"/>
            </w:tcMar>
          </w:tcPr>
          <w:p>
            <w:pPr>
              <w:spacing w:before="0" w:after="0" w:line="276" w:lineRule="auto"/>
              <w:jc w:val="left"/>
            </w:pPr>
            <w:r>
              <w:rPr>
                <w:rFonts w:ascii="Times New Roman" w:hAnsi="Times New Roman"/>
                <w:b w:val="0"/>
                <w:i w:val="0"/>
                <w:sz w:val="19"/>
              </w:rPr>
              <w:t xml:space="preserve">   4.5   Experiment B: Architectural Innovation (Attention Pooling)</w:t>
            </w:r>
          </w:p>
        </w:tc>
        <w:tc>
          <w:tcPr>
            <w:tcW w:type="dxa" w:w="1152"/>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41</w:t>
            </w:r>
          </w:p>
        </w:tc>
      </w:tr>
      <w:tr>
        <w:tc>
          <w:tcPr>
            <w:tcW w:type="dxa" w:w="7488"/>
            <w:shd w:fill="F8F9FA"/>
            <w:tcMar>
              <w:top w:w="100" w:type="dxa"/>
              <w:bottom w:w="100" w:type="dxa"/>
              <w:left w:w="150" w:type="dxa"/>
              <w:right w:w="150" w:type="dxa"/>
            </w:tcMar>
          </w:tcPr>
          <w:p>
            <w:pPr>
              <w:spacing w:before="0" w:after="0" w:line="276" w:lineRule="auto"/>
              <w:jc w:val="left"/>
            </w:pPr>
            <w:r>
              <w:rPr>
                <w:rFonts w:ascii="Times New Roman" w:hAnsi="Times New Roman"/>
                <w:b w:val="0"/>
                <w:i w:val="0"/>
                <w:sz w:val="19"/>
              </w:rPr>
              <w:t xml:space="preserve">   4.6   Experiment A vs. B: Comparative Significance Analysis</w:t>
            </w:r>
          </w:p>
        </w:tc>
        <w:tc>
          <w:tcPr>
            <w:tcW w:type="dxa" w:w="1152"/>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43</w:t>
            </w:r>
          </w:p>
        </w:tc>
      </w:tr>
      <w:tr>
        <w:tc>
          <w:tcPr>
            <w:tcW w:type="dxa" w:w="7488"/>
            <w:tcMar>
              <w:top w:w="100" w:type="dxa"/>
              <w:bottom w:w="100" w:type="dxa"/>
              <w:left w:w="150" w:type="dxa"/>
              <w:right w:w="150" w:type="dxa"/>
            </w:tcMar>
          </w:tcPr>
          <w:p>
            <w:pPr>
              <w:spacing w:before="0" w:after="0" w:line="276" w:lineRule="auto"/>
              <w:jc w:val="left"/>
            </w:pPr>
            <w:r>
              <w:rPr>
                <w:rFonts w:ascii="Times New Roman" w:hAnsi="Times New Roman"/>
                <w:b w:val="0"/>
                <w:i w:val="0"/>
                <w:sz w:val="19"/>
              </w:rPr>
              <w:t xml:space="preserve">   4.7   Experiment C: Core Flagship Model (SE-Conditioned Attention)</w:t>
            </w:r>
          </w:p>
        </w:tc>
        <w:tc>
          <w:tcPr>
            <w:tcW w:type="dxa" w:w="1152"/>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44</w:t>
            </w:r>
          </w:p>
        </w:tc>
      </w:tr>
      <w:tr>
        <w:tc>
          <w:tcPr>
            <w:tcW w:type="dxa" w:w="7488"/>
            <w:shd w:fill="F8F9FA"/>
            <w:tcMar>
              <w:top w:w="100" w:type="dxa"/>
              <w:bottom w:w="100" w:type="dxa"/>
              <w:left w:w="150" w:type="dxa"/>
              <w:right w:w="150" w:type="dxa"/>
            </w:tcMar>
          </w:tcPr>
          <w:p>
            <w:pPr>
              <w:spacing w:before="0" w:after="0" w:line="276" w:lineRule="auto"/>
              <w:jc w:val="left"/>
            </w:pPr>
            <w:r>
              <w:rPr>
                <w:rFonts w:ascii="Times New Roman" w:hAnsi="Times New Roman"/>
                <w:b w:val="0"/>
                <w:i w:val="0"/>
                <w:sz w:val="19"/>
              </w:rPr>
              <w:t xml:space="preserve">   4.8   Experiment D: Multimodal Biological Feature Fusion</w:t>
            </w:r>
          </w:p>
        </w:tc>
        <w:tc>
          <w:tcPr>
            <w:tcW w:type="dxa" w:w="1152"/>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46</w:t>
            </w:r>
          </w:p>
        </w:tc>
      </w:tr>
      <w:tr>
        <w:tc>
          <w:tcPr>
            <w:tcW w:type="dxa" w:w="7488"/>
            <w:tcMar>
              <w:top w:w="100" w:type="dxa"/>
              <w:bottom w:w="100" w:type="dxa"/>
              <w:left w:w="150" w:type="dxa"/>
              <w:right w:w="150" w:type="dxa"/>
            </w:tcMar>
          </w:tcPr>
          <w:p>
            <w:pPr>
              <w:spacing w:before="0" w:after="0" w:line="276" w:lineRule="auto"/>
              <w:jc w:val="left"/>
            </w:pPr>
            <w:r>
              <w:rPr>
                <w:rFonts w:ascii="Times New Roman" w:hAnsi="Times New Roman"/>
                <w:b w:val="0"/>
                <w:i w:val="0"/>
                <w:sz w:val="19"/>
              </w:rPr>
              <w:t xml:space="preserve">   4.9   Experiment C vs. D: Comparative Analysis &amp; Modality Gating</w:t>
            </w:r>
          </w:p>
        </w:tc>
        <w:tc>
          <w:tcPr>
            <w:tcW w:type="dxa" w:w="1152"/>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48</w:t>
            </w:r>
          </w:p>
        </w:tc>
      </w:tr>
      <w:tr>
        <w:tc>
          <w:tcPr>
            <w:tcW w:type="dxa" w:w="7488"/>
            <w:shd w:fill="F8F9FA"/>
            <w:tcMar>
              <w:top w:w="100" w:type="dxa"/>
              <w:bottom w:w="100" w:type="dxa"/>
              <w:left w:w="150" w:type="dxa"/>
              <w:right w:w="150" w:type="dxa"/>
            </w:tcMar>
          </w:tcPr>
          <w:p>
            <w:pPr>
              <w:spacing w:before="0" w:after="0" w:line="276" w:lineRule="auto"/>
              <w:jc w:val="left"/>
            </w:pPr>
            <w:r>
              <w:rPr>
                <w:rFonts w:ascii="Times New Roman" w:hAnsi="Times New Roman"/>
                <w:b w:val="0"/>
                <w:i w:val="0"/>
                <w:sz w:val="19"/>
              </w:rPr>
              <w:t xml:space="preserve">   4.10  Experiment G: Hypergraph Message-Passing Hop Optimization</w:t>
            </w:r>
          </w:p>
        </w:tc>
        <w:tc>
          <w:tcPr>
            <w:tcW w:type="dxa" w:w="1152"/>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50</w:t>
            </w:r>
          </w:p>
        </w:tc>
      </w:tr>
      <w:tr>
        <w:tc>
          <w:tcPr>
            <w:tcW w:type="dxa" w:w="7488"/>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 xml:space="preserve">   4.11  Comprehensive Empirical Comparison &amp; Progressive Gain Analysis</w:t>
            </w:r>
          </w:p>
        </w:tc>
        <w:tc>
          <w:tcPr>
            <w:tcW w:type="dxa" w:w="1152"/>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53</w:t>
            </w:r>
          </w:p>
        </w:tc>
      </w:tr>
      <w:tr>
        <w:tc>
          <w:tcPr>
            <w:tcW w:type="dxa" w:w="7488"/>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CHAPTER 5   CLINICAL INTERPRETABILITY AND SAFETY SCREENING</w:t>
            </w:r>
          </w:p>
        </w:tc>
        <w:tc>
          <w:tcPr>
            <w:tcW w:type="dxa" w:w="1152"/>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56</w:t>
            </w:r>
          </w:p>
        </w:tc>
      </w:tr>
      <w:tr>
        <w:tc>
          <w:tcPr>
            <w:tcW w:type="dxa" w:w="7488"/>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 xml:space="preserve">   5.1   Mechanistic Interpretability via Attention Attribution</w:t>
            </w:r>
          </w:p>
        </w:tc>
        <w:tc>
          <w:tcPr>
            <w:tcW w:type="dxa" w:w="1152"/>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56</w:t>
            </w:r>
          </w:p>
        </w:tc>
      </w:tr>
      <w:tr>
        <w:tc>
          <w:tcPr>
            <w:tcW w:type="dxa" w:w="7488"/>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 xml:space="preserve">   5.2   Case Study 1: Triple Antithrombotic Polypharmacy</w:t>
            </w:r>
          </w:p>
        </w:tc>
        <w:tc>
          <w:tcPr>
            <w:tcW w:type="dxa" w:w="1152"/>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57</w:t>
            </w:r>
          </w:p>
        </w:tc>
      </w:tr>
      <w:tr>
        <w:tc>
          <w:tcPr>
            <w:tcW w:type="dxa" w:w="7488"/>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 xml:space="preserve">   5.3   Case Study 2: Neuro-Psychiatric Polypharmacy</w:t>
            </w:r>
          </w:p>
        </w:tc>
        <w:tc>
          <w:tcPr>
            <w:tcW w:type="dxa" w:w="1152"/>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60</w:t>
            </w:r>
          </w:p>
        </w:tc>
      </w:tr>
      <w:tr>
        <w:tc>
          <w:tcPr>
            <w:tcW w:type="dxa" w:w="7488"/>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 xml:space="preserve">   5.4   Modality Attention Fusion &amp; Graceful Degradation Dynamics</w:t>
            </w:r>
          </w:p>
        </w:tc>
        <w:tc>
          <w:tcPr>
            <w:tcW w:type="dxa" w:w="1152"/>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62</w:t>
            </w:r>
          </w:p>
        </w:tc>
      </w:tr>
      <w:tr>
        <w:tc>
          <w:tcPr>
            <w:tcW w:type="dxa" w:w="7488"/>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 xml:space="preserve">   5.5   Point-of-Care High-Throughput Adverse-Event Screening</w:t>
            </w:r>
          </w:p>
        </w:tc>
        <w:tc>
          <w:tcPr>
            <w:tcW w:type="dxa" w:w="1152"/>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64</w:t>
            </w:r>
          </w:p>
        </w:tc>
      </w:tr>
      <w:tr>
        <w:tc>
          <w:tcPr>
            <w:tcW w:type="dxa" w:w="7488"/>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 xml:space="preserve">   5.6   Dual-Threshold Clinical Operating Modes &amp; Decision Support</w:t>
            </w:r>
          </w:p>
        </w:tc>
        <w:tc>
          <w:tcPr>
            <w:tcW w:type="dxa" w:w="1152"/>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66</w:t>
            </w:r>
          </w:p>
        </w:tc>
      </w:tr>
      <w:tr>
        <w:tc>
          <w:tcPr>
            <w:tcW w:type="dxa" w:w="7488"/>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CHAPTER 6   CONCLUSION AND FUTURE WORK</w:t>
            </w:r>
          </w:p>
        </w:tc>
        <w:tc>
          <w:tcPr>
            <w:tcW w:type="dxa" w:w="1152"/>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68</w:t>
            </w:r>
          </w:p>
        </w:tc>
      </w:tr>
      <w:tr>
        <w:tc>
          <w:tcPr>
            <w:tcW w:type="dxa" w:w="7488"/>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 xml:space="preserve">   6.1   Summary of Research Contributions</w:t>
            </w:r>
          </w:p>
        </w:tc>
        <w:tc>
          <w:tcPr>
            <w:tcW w:type="dxa" w:w="1152"/>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68</w:t>
            </w:r>
          </w:p>
        </w:tc>
      </w:tr>
      <w:tr>
        <w:tc>
          <w:tcPr>
            <w:tcW w:type="dxa" w:w="7488"/>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 xml:space="preserve">   6.2   Key Takeaways and Clinical Implications</w:t>
            </w:r>
          </w:p>
        </w:tc>
        <w:tc>
          <w:tcPr>
            <w:tcW w:type="dxa" w:w="1152"/>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69</w:t>
            </w:r>
          </w:p>
        </w:tc>
      </w:tr>
      <w:tr>
        <w:tc>
          <w:tcPr>
            <w:tcW w:type="dxa" w:w="7488"/>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 xml:space="preserve">   6.3   Methodological and Technical Limitations</w:t>
            </w:r>
          </w:p>
        </w:tc>
        <w:tc>
          <w:tcPr>
            <w:tcW w:type="dxa" w:w="1152"/>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70</w:t>
            </w:r>
          </w:p>
        </w:tc>
      </w:tr>
      <w:tr>
        <w:tc>
          <w:tcPr>
            <w:tcW w:type="dxa" w:w="7488"/>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 xml:space="preserve">   6.4   Future Research Directions</w:t>
            </w:r>
          </w:p>
        </w:tc>
        <w:tc>
          <w:tcPr>
            <w:tcW w:type="dxa" w:w="1152"/>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71</w:t>
            </w:r>
          </w:p>
        </w:tc>
      </w:tr>
      <w:tr>
        <w:tc>
          <w:tcPr>
            <w:tcW w:type="dxa" w:w="7488"/>
            <w:shd w:fill="F8F9FA"/>
            <w:tcMar>
              <w:top w:w="100" w:type="dxa"/>
              <w:bottom w:w="100" w:type="dxa"/>
              <w:left w:w="150" w:type="dxa"/>
              <w:right w:w="150" w:type="dxa"/>
            </w:tcMar>
          </w:tcPr>
          <w:p>
            <w:pPr>
              <w:spacing w:before="0" w:after="0" w:line="276" w:lineRule="auto"/>
              <w:jc w:val="left"/>
            </w:pPr>
            <w:r>
              <w:rPr>
                <w:rFonts w:ascii="Times New Roman" w:hAnsi="Times New Roman"/>
                <w:b w:val="0"/>
                <w:i w:val="0"/>
                <w:sz w:val="19"/>
              </w:rPr>
              <w:t>APPENDICES</w:t>
            </w:r>
          </w:p>
        </w:tc>
        <w:tc>
          <w:tcPr>
            <w:tcW w:type="dxa" w:w="1152"/>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73</w:t>
            </w:r>
          </w:p>
        </w:tc>
      </w:tr>
      <w:tr>
        <w:tc>
          <w:tcPr>
            <w:tcW w:type="dxa" w:w="7488"/>
            <w:tcMar>
              <w:top w:w="100" w:type="dxa"/>
              <w:bottom w:w="100" w:type="dxa"/>
              <w:left w:w="150" w:type="dxa"/>
              <w:right w:w="150" w:type="dxa"/>
            </w:tcMar>
          </w:tcPr>
          <w:p>
            <w:pPr>
              <w:spacing w:before="0" w:after="0" w:line="276" w:lineRule="auto"/>
              <w:jc w:val="left"/>
            </w:pPr>
            <w:r>
              <w:rPr>
                <w:rFonts w:ascii="Times New Roman" w:hAnsi="Times New Roman"/>
                <w:b w:val="0"/>
                <w:i w:val="0"/>
                <w:sz w:val="19"/>
              </w:rPr>
              <w:t xml:space="preserve">   Appendix A: Detailed Hyperparameter Configurations &amp; Training Environment</w:t>
            </w:r>
          </w:p>
        </w:tc>
        <w:tc>
          <w:tcPr>
            <w:tcW w:type="dxa" w:w="1152"/>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73</w:t>
            </w:r>
          </w:p>
        </w:tc>
      </w:tr>
      <w:tr>
        <w:tc>
          <w:tcPr>
            <w:tcW w:type="dxa" w:w="7488"/>
            <w:shd w:fill="F8F9FA"/>
            <w:tcMar>
              <w:top w:w="100" w:type="dxa"/>
              <w:bottom w:w="100" w:type="dxa"/>
              <w:left w:w="150" w:type="dxa"/>
              <w:right w:w="150" w:type="dxa"/>
            </w:tcMar>
          </w:tcPr>
          <w:p>
            <w:pPr>
              <w:spacing w:before="0" w:after="0" w:line="276" w:lineRule="auto"/>
              <w:jc w:val="left"/>
            </w:pPr>
            <w:r>
              <w:rPr>
                <w:rFonts w:ascii="Times New Roman" w:hAnsi="Times New Roman"/>
                <w:b w:val="0"/>
                <w:i w:val="0"/>
                <w:sz w:val="19"/>
              </w:rPr>
              <w:t xml:space="preserve">   Appendix B: Screening Engine Source Code &amp; Inference API</w:t>
            </w:r>
          </w:p>
        </w:tc>
        <w:tc>
          <w:tcPr>
            <w:tcW w:type="dxa" w:w="1152"/>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76</w:t>
            </w:r>
          </w:p>
        </w:tc>
      </w:tr>
      <w:tr>
        <w:tc>
          <w:tcPr>
            <w:tcW w:type="dxa" w:w="7488"/>
            <w:tcMar>
              <w:top w:w="100" w:type="dxa"/>
              <w:bottom w:w="100" w:type="dxa"/>
              <w:left w:w="150" w:type="dxa"/>
              <w:right w:w="150" w:type="dxa"/>
            </w:tcMar>
          </w:tcPr>
          <w:p>
            <w:pPr>
              <w:spacing w:before="0" w:after="0" w:line="276" w:lineRule="auto"/>
              <w:jc w:val="left"/>
            </w:pPr>
            <w:r>
              <w:rPr>
                <w:rFonts w:ascii="Times New Roman" w:hAnsi="Times New Roman"/>
                <w:b w:val="0"/>
                <w:i w:val="0"/>
                <w:sz w:val="19"/>
              </w:rPr>
              <w:t>REFERENCES</w:t>
            </w:r>
          </w:p>
        </w:tc>
        <w:tc>
          <w:tcPr>
            <w:tcW w:type="dxa" w:w="1152"/>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79</w:t>
            </w:r>
          </w:p>
        </w:tc>
      </w:tr>
    </w:tbl>
    <w:p>
      <w:pPr>
        <w:spacing w:before="0" w:after="160"/>
      </w:pPr>
    </w:p>
    <w:p>
      <w:r>
        <w:br w:type="page"/>
      </w:r>
    </w:p>
    <w:p>
      <w:pPr>
        <w:spacing w:before="240" w:after="320" w:line="360" w:lineRule="auto"/>
        <w:jc w:val="center"/>
      </w:pPr>
      <w:r>
        <w:rPr>
          <w:rFonts w:ascii="Times New Roman" w:hAnsi="Times New Roman"/>
          <w:b/>
          <w:i w:val="0"/>
          <w:sz w:val="28"/>
          <w:u w:val="single"/>
        </w:rPr>
        <w:t>LIST OF FIGURES</w:t>
      </w:r>
    </w:p>
    <w:tbl>
      <w:tblPr>
        <w:tblW w:type="auto" w:w="0"/>
        <w:jc w:val="center"/>
        <w:tblLook w:firstColumn="1" w:firstRow="1" w:lastColumn="0" w:lastRow="0" w:noHBand="0" w:noVBand="1" w:val="04A0"/>
        <w:tblBorders>
          <w:top w:val="single" w:sz="4" w:space="0" w:color="B0BEC5"/>
          <w:bottom w:val="single" w:sz="4" w:space="0" w:color="B0BEC5"/>
          <w:left w:val="none"/>
          <w:right w:val="none"/>
          <w:insideH w:val="single" w:sz="4" w:space="0" w:color="B0BEC5"/>
          <w:insideV w:val="none"/>
        </w:tblBorders>
      </w:tblPr>
      <w:tblGrid>
        <w:gridCol w:w="2770"/>
        <w:gridCol w:w="2770"/>
        <w:gridCol w:w="2770"/>
      </w:tblGrid>
      <w:tr>
        <w:tc>
          <w:tcPr>
            <w:tcW w:type="dxa" w:w="1728"/>
            <w:shd w:fill="1B365D"/>
            <w:tcMar>
              <w:top w:w="140" w:type="dxa"/>
              <w:bottom w:w="140" w:type="dxa"/>
              <w:left w:w="160" w:type="dxa"/>
              <w:right w:w="160" w:type="dxa"/>
            </w:tcMar>
          </w:tcPr>
          <w:p>
            <w:pPr>
              <w:spacing w:before="0" w:after="0" w:line="240" w:lineRule="auto"/>
              <w:jc w:val="center"/>
            </w:pPr>
            <w:r>
              <w:rPr>
                <w:rFonts w:ascii="Times New Roman" w:hAnsi="Times New Roman"/>
                <w:b/>
                <w:i w:val="0"/>
                <w:color w:val="FFFFFF"/>
                <w:sz w:val="20"/>
              </w:rPr>
              <w:t>FIGURE NO.</w:t>
            </w:r>
          </w:p>
        </w:tc>
        <w:tc>
          <w:tcPr>
            <w:tcW w:type="dxa" w:w="6048"/>
            <w:shd w:fill="1B365D"/>
            <w:tcMar>
              <w:top w:w="140" w:type="dxa"/>
              <w:bottom w:w="140" w:type="dxa"/>
              <w:left w:w="160" w:type="dxa"/>
              <w:right w:w="160" w:type="dxa"/>
            </w:tcMar>
          </w:tcPr>
          <w:p>
            <w:pPr>
              <w:spacing w:before="0" w:after="0" w:line="240" w:lineRule="auto"/>
              <w:jc w:val="center"/>
            </w:pPr>
            <w:r>
              <w:rPr>
                <w:rFonts w:ascii="Times New Roman" w:hAnsi="Times New Roman"/>
                <w:b/>
                <w:i w:val="0"/>
                <w:color w:val="FFFFFF"/>
                <w:sz w:val="20"/>
              </w:rPr>
              <w:t>CAPTION / TITLE</w:t>
            </w:r>
          </w:p>
        </w:tc>
        <w:tc>
          <w:tcPr>
            <w:tcW w:type="dxa" w:w="1152"/>
            <w:shd w:fill="1B365D"/>
            <w:tcMar>
              <w:top w:w="140" w:type="dxa"/>
              <w:bottom w:w="140" w:type="dxa"/>
              <w:left w:w="160" w:type="dxa"/>
              <w:right w:w="160" w:type="dxa"/>
            </w:tcMar>
          </w:tcPr>
          <w:p>
            <w:pPr>
              <w:spacing w:before="0" w:after="0" w:line="240" w:lineRule="auto"/>
              <w:jc w:val="center"/>
            </w:pPr>
            <w:r>
              <w:rPr>
                <w:rFonts w:ascii="Times New Roman" w:hAnsi="Times New Roman"/>
                <w:b/>
                <w:i w:val="0"/>
                <w:color w:val="FFFFFF"/>
                <w:sz w:val="20"/>
              </w:rPr>
              <w:t>PAGE</w:t>
            </w:r>
          </w:p>
        </w:tc>
      </w:tr>
      <w:tr>
        <w:tc>
          <w:tcPr>
            <w:tcW w:type="dxa" w:w="1728"/>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Figure 3.1</w:t>
            </w:r>
          </w:p>
        </w:tc>
        <w:tc>
          <w:tcPr>
            <w:tcW w:type="dxa" w:w="6048"/>
            <w:tcMar>
              <w:top w:w="100" w:type="dxa"/>
              <w:bottom w:w="100" w:type="dxa"/>
              <w:left w:w="150" w:type="dxa"/>
              <w:right w:w="150" w:type="dxa"/>
            </w:tcMar>
          </w:tcPr>
          <w:p>
            <w:pPr>
              <w:spacing w:before="0" w:after="0" w:line="276" w:lineRule="auto"/>
              <w:jc w:val="left"/>
            </w:pPr>
            <w:r>
              <w:rPr>
                <w:rFonts w:ascii="Times New Roman" w:hAnsi="Times New Roman"/>
                <w:b w:val="0"/>
                <w:i w:val="0"/>
                <w:sz w:val="19"/>
              </w:rPr>
              <w:t>Complete End-to-End Deep Architecture of HyperAttDDI</w:t>
            </w:r>
          </w:p>
        </w:tc>
        <w:tc>
          <w:tcPr>
            <w:tcW w:type="dxa" w:w="1152"/>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22</w:t>
            </w:r>
          </w:p>
        </w:tc>
      </w:tr>
      <w:tr>
        <w:tc>
          <w:tcPr>
            <w:tcW w:type="dxa" w:w="1728"/>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Figure 3.2</w:t>
            </w:r>
          </w:p>
        </w:tc>
        <w:tc>
          <w:tcPr>
            <w:tcW w:type="dxa" w:w="6048"/>
            <w:shd w:fill="F8F9FA"/>
            <w:tcMar>
              <w:top w:w="100" w:type="dxa"/>
              <w:bottom w:w="100" w:type="dxa"/>
              <w:left w:w="150" w:type="dxa"/>
              <w:right w:w="150" w:type="dxa"/>
            </w:tcMar>
          </w:tcPr>
          <w:p>
            <w:pPr>
              <w:spacing w:before="0" w:after="0" w:line="276" w:lineRule="auto"/>
              <w:jc w:val="left"/>
            </w:pPr>
            <w:r>
              <w:rPr>
                <w:rFonts w:ascii="Times New Roman" w:hAnsi="Times New Roman"/>
                <w:b w:val="0"/>
                <w:i w:val="0"/>
                <w:sz w:val="19"/>
              </w:rPr>
              <w:t>Side-Effect-Conditioned Attention Pooling Mechanism</w:t>
            </w:r>
          </w:p>
        </w:tc>
        <w:tc>
          <w:tcPr>
            <w:tcW w:type="dxa" w:w="1152"/>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30</w:t>
            </w:r>
          </w:p>
        </w:tc>
      </w:tr>
      <w:tr>
        <w:tc>
          <w:tcPr>
            <w:tcW w:type="dxa" w:w="1728"/>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Figure 3.3</w:t>
            </w:r>
          </w:p>
        </w:tc>
        <w:tc>
          <w:tcPr>
            <w:tcW w:type="dxa" w:w="6048"/>
            <w:tcMar>
              <w:top w:w="100" w:type="dxa"/>
              <w:bottom w:w="100" w:type="dxa"/>
              <w:left w:w="150" w:type="dxa"/>
              <w:right w:w="150" w:type="dxa"/>
            </w:tcMar>
          </w:tcPr>
          <w:p>
            <w:pPr>
              <w:spacing w:before="0" w:after="0" w:line="276" w:lineRule="auto"/>
              <w:jc w:val="left"/>
            </w:pPr>
            <w:r>
              <w:rPr>
                <w:rFonts w:ascii="Times New Roman" w:hAnsi="Times New Roman"/>
                <w:b w:val="0"/>
                <w:i w:val="0"/>
                <w:sz w:val="19"/>
              </w:rPr>
              <w:t>Point-of-Care High-Throughput Screening Engine Architecture</w:t>
            </w:r>
          </w:p>
        </w:tc>
        <w:tc>
          <w:tcPr>
            <w:tcW w:type="dxa" w:w="1152"/>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35</w:t>
            </w:r>
          </w:p>
        </w:tc>
      </w:tr>
      <w:tr>
        <w:tc>
          <w:tcPr>
            <w:tcW w:type="dxa" w:w="1728"/>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Figure 4.1</w:t>
            </w:r>
          </w:p>
        </w:tc>
        <w:tc>
          <w:tcPr>
            <w:tcW w:type="dxa" w:w="6048"/>
            <w:shd w:fill="F8F9FA"/>
            <w:tcMar>
              <w:top w:w="100" w:type="dxa"/>
              <w:bottom w:w="100" w:type="dxa"/>
              <w:left w:w="150" w:type="dxa"/>
              <w:right w:w="150" w:type="dxa"/>
            </w:tcMar>
          </w:tcPr>
          <w:p>
            <w:pPr>
              <w:spacing w:before="0" w:after="0" w:line="276" w:lineRule="auto"/>
              <w:jc w:val="left"/>
            </w:pPr>
            <w:r>
              <w:rPr>
                <w:rFonts w:ascii="Times New Roman" w:hAnsi="Times New Roman"/>
                <w:b w:val="0"/>
                <w:i w:val="0"/>
                <w:sz w:val="19"/>
              </w:rPr>
              <w:t>Message-Passing Hop Optimization and Over-Smoothing Analysis (Exp G)</w:t>
            </w:r>
          </w:p>
        </w:tc>
        <w:tc>
          <w:tcPr>
            <w:tcW w:type="dxa" w:w="1152"/>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51</w:t>
            </w:r>
          </w:p>
        </w:tc>
      </w:tr>
      <w:tr>
        <w:tc>
          <w:tcPr>
            <w:tcW w:type="dxa" w:w="1728"/>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Figure 4.2</w:t>
            </w:r>
          </w:p>
        </w:tc>
        <w:tc>
          <w:tcPr>
            <w:tcW w:type="dxa" w:w="6048"/>
            <w:tcMar>
              <w:top w:w="100" w:type="dxa"/>
              <w:bottom w:w="100" w:type="dxa"/>
              <w:left w:w="150" w:type="dxa"/>
              <w:right w:w="150" w:type="dxa"/>
            </w:tcMar>
          </w:tcPr>
          <w:p>
            <w:pPr>
              <w:spacing w:before="0" w:after="0" w:line="276" w:lineRule="auto"/>
              <w:jc w:val="left"/>
            </w:pPr>
            <w:r>
              <w:rPr>
                <w:rFonts w:ascii="Times New Roman" w:hAnsi="Times New Roman"/>
                <w:b w:val="0"/>
                <w:i w:val="0"/>
                <w:sz w:val="19"/>
              </w:rPr>
              <w:t>Progressive Architectural Evolution Across Experiments (7-Seed Mean)</w:t>
            </w:r>
          </w:p>
        </w:tc>
        <w:tc>
          <w:tcPr>
            <w:tcW w:type="dxa" w:w="1152"/>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54</w:t>
            </w:r>
          </w:p>
        </w:tc>
      </w:tr>
      <w:tr>
        <w:tc>
          <w:tcPr>
            <w:tcW w:type="dxa" w:w="1728"/>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Figure 4.3</w:t>
            </w:r>
          </w:p>
        </w:tc>
        <w:tc>
          <w:tcPr>
            <w:tcW w:type="dxa" w:w="6048"/>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Empirical ROC-AUC Distribution and Variance Across 7 Seeds</w:t>
            </w:r>
          </w:p>
        </w:tc>
        <w:tc>
          <w:tcPr>
            <w:tcW w:type="dxa" w:w="1152"/>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42</w:t>
            </w:r>
          </w:p>
        </w:tc>
      </w:tr>
      <w:tr>
        <w:tc>
          <w:tcPr>
            <w:tcW w:type="dxa" w:w="1728"/>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Figure 4.4</w:t>
            </w:r>
          </w:p>
        </w:tc>
        <w:tc>
          <w:tcPr>
            <w:tcW w:type="dxa" w:w="6048"/>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Empirical PR-AUC Distribution and Generalization Across 7 Seeds</w:t>
            </w:r>
          </w:p>
        </w:tc>
        <w:tc>
          <w:tcPr>
            <w:tcW w:type="dxa" w:w="1152"/>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45</w:t>
            </w:r>
          </w:p>
        </w:tc>
      </w:tr>
      <w:tr>
        <w:tc>
          <w:tcPr>
            <w:tcW w:type="dxa" w:w="1728"/>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Figure 4.5</w:t>
            </w:r>
          </w:p>
        </w:tc>
        <w:tc>
          <w:tcPr>
            <w:tcW w:type="dxa" w:w="6048"/>
            <w:shd w:fill="F8F9FA"/>
            <w:tcMar>
              <w:top w:w="100" w:type="dxa"/>
              <w:bottom w:w="100" w:type="dxa"/>
              <w:left w:w="150" w:type="dxa"/>
              <w:right w:w="150" w:type="dxa"/>
            </w:tcMar>
          </w:tcPr>
          <w:p>
            <w:pPr>
              <w:spacing w:before="0" w:after="0" w:line="276" w:lineRule="auto"/>
              <w:jc w:val="left"/>
            </w:pPr>
            <w:r>
              <w:rPr>
                <w:rFonts w:ascii="Times New Roman" w:hAnsi="Times New Roman"/>
                <w:b w:val="0"/>
                <w:i w:val="0"/>
                <w:sz w:val="19"/>
              </w:rPr>
              <w:t>Multi-Metric Radar Comparison Across Models A, B, C, and D</w:t>
            </w:r>
          </w:p>
        </w:tc>
        <w:tc>
          <w:tcPr>
            <w:tcW w:type="dxa" w:w="1152"/>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47</w:t>
            </w:r>
          </w:p>
        </w:tc>
      </w:tr>
      <w:tr>
        <w:tc>
          <w:tcPr>
            <w:tcW w:type="dxa" w:w="1728"/>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Figure 5.1</w:t>
            </w:r>
          </w:p>
        </w:tc>
        <w:tc>
          <w:tcPr>
            <w:tcW w:type="dxa" w:w="6048"/>
            <w:tcMar>
              <w:top w:w="100" w:type="dxa"/>
              <w:bottom w:w="100" w:type="dxa"/>
              <w:left w:w="150" w:type="dxa"/>
              <w:right w:w="150" w:type="dxa"/>
            </w:tcMar>
          </w:tcPr>
          <w:p>
            <w:pPr>
              <w:spacing w:before="0" w:after="0" w:line="276" w:lineRule="auto"/>
              <w:jc w:val="left"/>
            </w:pPr>
            <w:r>
              <w:rPr>
                <w:rFonts w:ascii="Times New Roman" w:hAnsi="Times New Roman"/>
                <w:b w:val="0"/>
                <w:i w:val="0"/>
                <w:sz w:val="19"/>
              </w:rPr>
              <w:t>Dynamic Attention Shift Attribution in Cardiovascular Polypharmacy</w:t>
            </w:r>
          </w:p>
        </w:tc>
        <w:tc>
          <w:tcPr>
            <w:tcW w:type="dxa" w:w="1152"/>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59</w:t>
            </w:r>
          </w:p>
        </w:tc>
      </w:tr>
      <w:tr>
        <w:tc>
          <w:tcPr>
            <w:tcW w:type="dxa" w:w="1728"/>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Figure 5.2</w:t>
            </w:r>
          </w:p>
        </w:tc>
        <w:tc>
          <w:tcPr>
            <w:tcW w:type="dxa" w:w="6048"/>
            <w:shd w:fill="F8F9FA"/>
            <w:tcMar>
              <w:top w:w="100" w:type="dxa"/>
              <w:bottom w:w="100" w:type="dxa"/>
              <w:left w:w="150" w:type="dxa"/>
              <w:right w:w="150" w:type="dxa"/>
            </w:tcMar>
          </w:tcPr>
          <w:p>
            <w:pPr>
              <w:spacing w:before="0" w:after="0" w:line="276" w:lineRule="auto"/>
              <w:jc w:val="left"/>
            </w:pPr>
            <w:r>
              <w:rPr>
                <w:rFonts w:ascii="Times New Roman" w:hAnsi="Times New Roman"/>
                <w:b w:val="0"/>
                <w:i w:val="0"/>
                <w:sz w:val="19"/>
              </w:rPr>
              <w:t>Multimodal Gating Allocation and Autonomous Fallback Behavior</w:t>
            </w:r>
          </w:p>
        </w:tc>
        <w:tc>
          <w:tcPr>
            <w:tcW w:type="dxa" w:w="1152"/>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63</w:t>
            </w:r>
          </w:p>
        </w:tc>
      </w:tr>
      <w:tr>
        <w:tc>
          <w:tcPr>
            <w:tcW w:type="dxa" w:w="1728"/>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Figure 5.3</w:t>
            </w:r>
          </w:p>
        </w:tc>
        <w:tc>
          <w:tcPr>
            <w:tcW w:type="dxa" w:w="6048"/>
            <w:tcMar>
              <w:top w:w="100" w:type="dxa"/>
              <w:bottom w:w="100" w:type="dxa"/>
              <w:left w:w="150" w:type="dxa"/>
              <w:right w:w="150" w:type="dxa"/>
            </w:tcMar>
          </w:tcPr>
          <w:p>
            <w:pPr>
              <w:spacing w:before="0" w:after="0" w:line="276" w:lineRule="auto"/>
              <w:jc w:val="left"/>
            </w:pPr>
            <w:r>
              <w:rPr>
                <w:rFonts w:ascii="Times New Roman" w:hAnsi="Times New Roman"/>
                <w:b w:val="0"/>
                <w:i w:val="0"/>
                <w:sz w:val="19"/>
              </w:rPr>
              <w:t>Dual-Threshold Clinical Safety Alert Distribution</w:t>
            </w:r>
          </w:p>
        </w:tc>
        <w:tc>
          <w:tcPr>
            <w:tcW w:type="dxa" w:w="1152"/>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67</w:t>
            </w:r>
          </w:p>
        </w:tc>
      </w:tr>
    </w:tbl>
    <w:p>
      <w:pPr>
        <w:spacing w:before="0" w:after="160"/>
      </w:pPr>
    </w:p>
    <w:p>
      <w:r>
        <w:br w:type="page"/>
      </w:r>
    </w:p>
    <w:p>
      <w:pPr>
        <w:spacing w:before="240" w:after="320" w:line="360" w:lineRule="auto"/>
        <w:jc w:val="center"/>
      </w:pPr>
      <w:r>
        <w:rPr>
          <w:rFonts w:ascii="Times New Roman" w:hAnsi="Times New Roman"/>
          <w:b/>
          <w:i w:val="0"/>
          <w:sz w:val="28"/>
          <w:u w:val="single"/>
        </w:rPr>
        <w:t>LIST OF TABLES</w:t>
      </w:r>
    </w:p>
    <w:tbl>
      <w:tblPr>
        <w:tblW w:type="auto" w:w="0"/>
        <w:jc w:val="center"/>
        <w:tblLook w:firstColumn="1" w:firstRow="1" w:lastColumn="0" w:lastRow="0" w:noHBand="0" w:noVBand="1" w:val="04A0"/>
        <w:tblBorders>
          <w:top w:val="single" w:sz="4" w:space="0" w:color="B0BEC5"/>
          <w:bottom w:val="single" w:sz="4" w:space="0" w:color="B0BEC5"/>
          <w:left w:val="none"/>
          <w:right w:val="none"/>
          <w:insideH w:val="single" w:sz="4" w:space="0" w:color="B0BEC5"/>
          <w:insideV w:val="none"/>
        </w:tblBorders>
      </w:tblPr>
      <w:tblGrid>
        <w:gridCol w:w="2770"/>
        <w:gridCol w:w="2770"/>
        <w:gridCol w:w="2770"/>
      </w:tblGrid>
      <w:tr>
        <w:tc>
          <w:tcPr>
            <w:tcW w:type="dxa" w:w="1728"/>
            <w:shd w:fill="1B365D"/>
            <w:tcMar>
              <w:top w:w="140" w:type="dxa"/>
              <w:bottom w:w="140" w:type="dxa"/>
              <w:left w:w="160" w:type="dxa"/>
              <w:right w:w="160" w:type="dxa"/>
            </w:tcMar>
          </w:tcPr>
          <w:p>
            <w:pPr>
              <w:spacing w:before="0" w:after="0" w:line="240" w:lineRule="auto"/>
              <w:jc w:val="center"/>
            </w:pPr>
            <w:r>
              <w:rPr>
                <w:rFonts w:ascii="Times New Roman" w:hAnsi="Times New Roman"/>
                <w:b/>
                <w:i w:val="0"/>
                <w:color w:val="FFFFFF"/>
                <w:sz w:val="20"/>
              </w:rPr>
              <w:t>TABLE NO.</w:t>
            </w:r>
          </w:p>
        </w:tc>
        <w:tc>
          <w:tcPr>
            <w:tcW w:type="dxa" w:w="6048"/>
            <w:shd w:fill="1B365D"/>
            <w:tcMar>
              <w:top w:w="140" w:type="dxa"/>
              <w:bottom w:w="140" w:type="dxa"/>
              <w:left w:w="160" w:type="dxa"/>
              <w:right w:w="160" w:type="dxa"/>
            </w:tcMar>
          </w:tcPr>
          <w:p>
            <w:pPr>
              <w:spacing w:before="0" w:after="0" w:line="240" w:lineRule="auto"/>
              <w:jc w:val="center"/>
            </w:pPr>
            <w:r>
              <w:rPr>
                <w:rFonts w:ascii="Times New Roman" w:hAnsi="Times New Roman"/>
                <w:b/>
                <w:i w:val="0"/>
                <w:color w:val="FFFFFF"/>
                <w:sz w:val="20"/>
              </w:rPr>
              <w:t>TITLE</w:t>
            </w:r>
          </w:p>
        </w:tc>
        <w:tc>
          <w:tcPr>
            <w:tcW w:type="dxa" w:w="1152"/>
            <w:shd w:fill="1B365D"/>
            <w:tcMar>
              <w:top w:w="140" w:type="dxa"/>
              <w:bottom w:w="140" w:type="dxa"/>
              <w:left w:w="160" w:type="dxa"/>
              <w:right w:w="160" w:type="dxa"/>
            </w:tcMar>
          </w:tcPr>
          <w:p>
            <w:pPr>
              <w:spacing w:before="0" w:after="0" w:line="240" w:lineRule="auto"/>
              <w:jc w:val="center"/>
            </w:pPr>
            <w:r>
              <w:rPr>
                <w:rFonts w:ascii="Times New Roman" w:hAnsi="Times New Roman"/>
                <w:b/>
                <w:i w:val="0"/>
                <w:color w:val="FFFFFF"/>
                <w:sz w:val="20"/>
              </w:rPr>
              <w:t>PAGE</w:t>
            </w:r>
          </w:p>
        </w:tc>
      </w:tr>
      <w:tr>
        <w:tc>
          <w:tcPr>
            <w:tcW w:type="dxa" w:w="1728"/>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Table 1.1</w:t>
            </w:r>
          </w:p>
        </w:tc>
        <w:tc>
          <w:tcPr>
            <w:tcW w:type="dxa" w:w="6048"/>
            <w:tcMar>
              <w:top w:w="100" w:type="dxa"/>
              <w:bottom w:w="100" w:type="dxa"/>
              <w:left w:w="150" w:type="dxa"/>
              <w:right w:w="150" w:type="dxa"/>
            </w:tcMar>
          </w:tcPr>
          <w:p>
            <w:pPr>
              <w:spacing w:before="0" w:after="0" w:line="276" w:lineRule="auto"/>
              <w:jc w:val="left"/>
            </w:pPr>
            <w:r>
              <w:rPr>
                <w:rFonts w:ascii="Times New Roman" w:hAnsi="Times New Roman"/>
                <w:b w:val="0"/>
                <w:i w:val="0"/>
                <w:sz w:val="19"/>
              </w:rPr>
              <w:t>Epidemiological and Healthcare Burden of Polypharmacy and Adverse Drug Events</w:t>
            </w:r>
          </w:p>
        </w:tc>
        <w:tc>
          <w:tcPr>
            <w:tcW w:type="dxa" w:w="1152"/>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2</w:t>
            </w:r>
          </w:p>
        </w:tc>
      </w:tr>
      <w:tr>
        <w:tc>
          <w:tcPr>
            <w:tcW w:type="dxa" w:w="1728"/>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Table 1.2</w:t>
            </w:r>
          </w:p>
        </w:tc>
        <w:tc>
          <w:tcPr>
            <w:tcW w:type="dxa" w:w="6048"/>
            <w:shd w:fill="F8F9FA"/>
            <w:tcMar>
              <w:top w:w="100" w:type="dxa"/>
              <w:bottom w:w="100" w:type="dxa"/>
              <w:left w:w="150" w:type="dxa"/>
              <w:right w:w="150" w:type="dxa"/>
            </w:tcMar>
          </w:tcPr>
          <w:p>
            <w:pPr>
              <w:spacing w:before="0" w:after="0" w:line="276" w:lineRule="auto"/>
              <w:jc w:val="left"/>
            </w:pPr>
            <w:r>
              <w:rPr>
                <w:rFonts w:ascii="Times New Roman" w:hAnsi="Times New Roman"/>
                <w:b w:val="0"/>
                <w:i w:val="0"/>
                <w:sz w:val="19"/>
              </w:rPr>
              <w:t>Combinatorial Explosion of Higher-Order Drug Combinations by Regimen Size</w:t>
            </w:r>
          </w:p>
        </w:tc>
        <w:tc>
          <w:tcPr>
            <w:tcW w:type="dxa" w:w="1152"/>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3</w:t>
            </w:r>
          </w:p>
        </w:tc>
      </w:tr>
      <w:tr>
        <w:tc>
          <w:tcPr>
            <w:tcW w:type="dxa" w:w="1728"/>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Table 2.1</w:t>
            </w:r>
          </w:p>
        </w:tc>
        <w:tc>
          <w:tcPr>
            <w:tcW w:type="dxa" w:w="6048"/>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Comprehensive Comparative Literature Matrix of 24 DDI Prediction Studies</w:t>
            </w:r>
          </w:p>
        </w:tc>
        <w:tc>
          <w:tcPr>
            <w:tcW w:type="dxa" w:w="1152"/>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19</w:t>
            </w:r>
          </w:p>
        </w:tc>
      </w:tr>
      <w:tr>
        <w:tc>
          <w:tcPr>
            <w:tcW w:type="dxa" w:w="1728"/>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Table 3.1</w:t>
            </w:r>
          </w:p>
        </w:tc>
        <w:tc>
          <w:tcPr>
            <w:tcW w:type="dxa" w:w="6048"/>
            <w:shd w:fill="F8F9FA"/>
            <w:tcMar>
              <w:top w:w="100" w:type="dxa"/>
              <w:bottom w:w="100" w:type="dxa"/>
              <w:left w:w="150" w:type="dxa"/>
              <w:right w:w="150" w:type="dxa"/>
            </w:tcMar>
          </w:tcPr>
          <w:p>
            <w:pPr>
              <w:spacing w:before="0" w:after="0" w:line="276" w:lineRule="auto"/>
              <w:jc w:val="left"/>
            </w:pPr>
            <w:r>
              <w:rPr>
                <w:rFonts w:ascii="Times New Roman" w:hAnsi="Times New Roman"/>
                <w:b w:val="0"/>
                <w:i w:val="0"/>
                <w:sz w:val="19"/>
              </w:rPr>
              <w:t>Multi-Modal Feature Dimensions, Biological Meaning, and Knowledge Repositories</w:t>
            </w:r>
          </w:p>
        </w:tc>
        <w:tc>
          <w:tcPr>
            <w:tcW w:type="dxa" w:w="1152"/>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24</w:t>
            </w:r>
          </w:p>
        </w:tc>
      </w:tr>
      <w:tr>
        <w:tc>
          <w:tcPr>
            <w:tcW w:type="dxa" w:w="1728"/>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Table 4.1</w:t>
            </w:r>
          </w:p>
        </w:tc>
        <w:tc>
          <w:tcPr>
            <w:tcW w:type="dxa" w:w="6048"/>
            <w:tcMar>
              <w:top w:w="100" w:type="dxa"/>
              <w:bottom w:w="100" w:type="dxa"/>
              <w:left w:w="150" w:type="dxa"/>
              <w:right w:w="150" w:type="dxa"/>
            </w:tcMar>
          </w:tcPr>
          <w:p>
            <w:pPr>
              <w:spacing w:before="0" w:after="0" w:line="276" w:lineRule="auto"/>
              <w:jc w:val="left"/>
            </w:pPr>
            <w:r>
              <w:rPr>
                <w:rFonts w:ascii="Times New Roman" w:hAnsi="Times New Roman"/>
                <w:b w:val="0"/>
                <w:i w:val="0"/>
                <w:sz w:val="19"/>
              </w:rPr>
              <w:t>Unified 7-Seed Comparative Evaluation Benchmark (Exp A, B, C, D)</w:t>
            </w:r>
          </w:p>
        </w:tc>
        <w:tc>
          <w:tcPr>
            <w:tcW w:type="dxa" w:w="1152"/>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40</w:t>
            </w:r>
          </w:p>
        </w:tc>
      </w:tr>
      <w:tr>
        <w:tc>
          <w:tcPr>
            <w:tcW w:type="dxa" w:w="1728"/>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Table 4.2</w:t>
            </w:r>
          </w:p>
        </w:tc>
        <w:tc>
          <w:tcPr>
            <w:tcW w:type="dxa" w:w="6048"/>
            <w:shd w:fill="F8F9FA"/>
            <w:tcMar>
              <w:top w:w="100" w:type="dxa"/>
              <w:bottom w:w="100" w:type="dxa"/>
              <w:left w:w="150" w:type="dxa"/>
              <w:right w:w="150" w:type="dxa"/>
            </w:tcMar>
          </w:tcPr>
          <w:p>
            <w:pPr>
              <w:spacing w:before="0" w:after="0" w:line="276" w:lineRule="auto"/>
              <w:jc w:val="left"/>
            </w:pPr>
            <w:r>
              <w:rPr>
                <w:rFonts w:ascii="Times New Roman" w:hAnsi="Times New Roman"/>
                <w:b w:val="0"/>
                <w:i w:val="0"/>
                <w:sz w:val="19"/>
              </w:rPr>
              <w:t>Paired t-Test Statistical Significance Breakdown across Model Transitions</w:t>
            </w:r>
          </w:p>
        </w:tc>
        <w:tc>
          <w:tcPr>
            <w:tcW w:type="dxa" w:w="1152"/>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43</w:t>
            </w:r>
          </w:p>
        </w:tc>
      </w:tr>
      <w:tr>
        <w:tc>
          <w:tcPr>
            <w:tcW w:type="dxa" w:w="1728"/>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Table 4.3</w:t>
            </w:r>
          </w:p>
        </w:tc>
        <w:tc>
          <w:tcPr>
            <w:tcW w:type="dxa" w:w="6048"/>
            <w:tcMar>
              <w:top w:w="100" w:type="dxa"/>
              <w:bottom w:w="100" w:type="dxa"/>
              <w:left w:w="150" w:type="dxa"/>
              <w:right w:w="150" w:type="dxa"/>
            </w:tcMar>
          </w:tcPr>
          <w:p>
            <w:pPr>
              <w:spacing w:before="0" w:after="0" w:line="276" w:lineRule="auto"/>
              <w:jc w:val="left"/>
            </w:pPr>
            <w:r>
              <w:rPr>
                <w:rFonts w:ascii="Times New Roman" w:hAnsi="Times New Roman"/>
                <w:b w:val="0"/>
                <w:i w:val="0"/>
                <w:sz w:val="19"/>
              </w:rPr>
              <w:t>Per-Seed Evaluation Breakdown for Baseline Exp A vs. Exp B (7 Seeds)</w:t>
            </w:r>
          </w:p>
        </w:tc>
        <w:tc>
          <w:tcPr>
            <w:tcW w:type="dxa" w:w="1152"/>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44</w:t>
            </w:r>
          </w:p>
        </w:tc>
      </w:tr>
      <w:tr>
        <w:tc>
          <w:tcPr>
            <w:tcW w:type="dxa" w:w="1728"/>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Table 4.4</w:t>
            </w:r>
          </w:p>
        </w:tc>
        <w:tc>
          <w:tcPr>
            <w:tcW w:type="dxa" w:w="6048"/>
            <w:shd w:fill="F8F9FA"/>
            <w:tcMar>
              <w:top w:w="100" w:type="dxa"/>
              <w:bottom w:w="100" w:type="dxa"/>
              <w:left w:w="150" w:type="dxa"/>
              <w:right w:w="150" w:type="dxa"/>
            </w:tcMar>
          </w:tcPr>
          <w:p>
            <w:pPr>
              <w:spacing w:before="0" w:after="0" w:line="276" w:lineRule="auto"/>
              <w:jc w:val="left"/>
            </w:pPr>
            <w:r>
              <w:rPr>
                <w:rFonts w:ascii="Times New Roman" w:hAnsi="Times New Roman"/>
                <w:b w:val="0"/>
                <w:i w:val="0"/>
                <w:sz w:val="19"/>
              </w:rPr>
              <w:t>Per-Seed Evaluation Breakdown for Core Exp C vs. Multimodal Exp D (7 Seeds)</w:t>
            </w:r>
          </w:p>
        </w:tc>
        <w:tc>
          <w:tcPr>
            <w:tcW w:type="dxa" w:w="1152"/>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48</w:t>
            </w:r>
          </w:p>
        </w:tc>
      </w:tr>
      <w:tr>
        <w:tc>
          <w:tcPr>
            <w:tcW w:type="dxa" w:w="1728"/>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Table 4.5</w:t>
            </w:r>
          </w:p>
        </w:tc>
        <w:tc>
          <w:tcPr>
            <w:tcW w:type="dxa" w:w="6048"/>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Canonical 41-Quarter Single-Split Benchmark Comparison (Manuscript Reference)</w:t>
            </w:r>
          </w:p>
        </w:tc>
        <w:tc>
          <w:tcPr>
            <w:tcW w:type="dxa" w:w="1152"/>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49</w:t>
            </w:r>
          </w:p>
        </w:tc>
      </w:tr>
      <w:tr>
        <w:tc>
          <w:tcPr>
            <w:tcW w:type="dxa" w:w="1728"/>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Table 4.6</w:t>
            </w:r>
          </w:p>
        </w:tc>
        <w:tc>
          <w:tcPr>
            <w:tcW w:type="dxa" w:w="6048"/>
            <w:shd w:fill="F8F9FA"/>
            <w:tcMar>
              <w:top w:w="100" w:type="dxa"/>
              <w:bottom w:w="100" w:type="dxa"/>
              <w:left w:w="150" w:type="dxa"/>
              <w:right w:w="150" w:type="dxa"/>
            </w:tcMar>
          </w:tcPr>
          <w:p>
            <w:pPr>
              <w:spacing w:before="0" w:after="0" w:line="276" w:lineRule="auto"/>
              <w:jc w:val="left"/>
            </w:pPr>
            <w:r>
              <w:rPr>
                <w:rFonts w:ascii="Times New Roman" w:hAnsi="Times New Roman"/>
                <w:b w:val="0"/>
                <w:i w:val="0"/>
                <w:sz w:val="19"/>
              </w:rPr>
              <w:t>Hypergraph Message-Passing Depth Sensitivity and Hop Optimization (Exp G)</w:t>
            </w:r>
          </w:p>
        </w:tc>
        <w:tc>
          <w:tcPr>
            <w:tcW w:type="dxa" w:w="1152"/>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52</w:t>
            </w:r>
          </w:p>
        </w:tc>
      </w:tr>
      <w:tr>
        <w:tc>
          <w:tcPr>
            <w:tcW w:type="dxa" w:w="1728"/>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Table 5.1</w:t>
            </w:r>
          </w:p>
        </w:tc>
        <w:tc>
          <w:tcPr>
            <w:tcW w:type="dxa" w:w="6048"/>
            <w:tcMar>
              <w:top w:w="100" w:type="dxa"/>
              <w:bottom w:w="100" w:type="dxa"/>
              <w:left w:w="150" w:type="dxa"/>
              <w:right w:w="150" w:type="dxa"/>
            </w:tcMar>
          </w:tcPr>
          <w:p>
            <w:pPr>
              <w:spacing w:before="0" w:after="0" w:line="276" w:lineRule="auto"/>
              <w:jc w:val="left"/>
            </w:pPr>
            <w:r>
              <w:rPr>
                <w:rFonts w:ascii="Times New Roman" w:hAnsi="Times New Roman"/>
                <w:b w:val="0"/>
                <w:i w:val="0"/>
                <w:sz w:val="19"/>
              </w:rPr>
              <w:t>Clinical Attention Attribution for Triple Antithrombotic Polypharmacy (Exp C)</w:t>
            </w:r>
          </w:p>
        </w:tc>
        <w:tc>
          <w:tcPr>
            <w:tcW w:type="dxa" w:w="1152"/>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58</w:t>
            </w:r>
          </w:p>
        </w:tc>
      </w:tr>
      <w:tr>
        <w:tc>
          <w:tcPr>
            <w:tcW w:type="dxa" w:w="1728"/>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Table 5.2</w:t>
            </w:r>
          </w:p>
        </w:tc>
        <w:tc>
          <w:tcPr>
            <w:tcW w:type="dxa" w:w="6048"/>
            <w:shd w:fill="F8F9FA"/>
            <w:tcMar>
              <w:top w:w="100" w:type="dxa"/>
              <w:bottom w:w="100" w:type="dxa"/>
              <w:left w:w="150" w:type="dxa"/>
              <w:right w:w="150" w:type="dxa"/>
            </w:tcMar>
          </w:tcPr>
          <w:p>
            <w:pPr>
              <w:spacing w:before="0" w:after="0" w:line="276" w:lineRule="auto"/>
              <w:jc w:val="left"/>
            </w:pPr>
            <w:r>
              <w:rPr>
                <w:rFonts w:ascii="Times New Roman" w:hAnsi="Times New Roman"/>
                <w:b w:val="0"/>
                <w:i w:val="0"/>
                <w:sz w:val="19"/>
              </w:rPr>
              <w:t>Clinical Attention Attribution for Neuro-Psychiatric Polypharmacy (Exp C)</w:t>
            </w:r>
          </w:p>
        </w:tc>
        <w:tc>
          <w:tcPr>
            <w:tcW w:type="dxa" w:w="1152"/>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61</w:t>
            </w:r>
          </w:p>
        </w:tc>
      </w:tr>
      <w:tr>
        <w:tc>
          <w:tcPr>
            <w:tcW w:type="dxa" w:w="1728"/>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Table 5.3</w:t>
            </w:r>
          </w:p>
        </w:tc>
        <w:tc>
          <w:tcPr>
            <w:tcW w:type="dxa" w:w="6048"/>
            <w:tcMar>
              <w:top w:w="100" w:type="dxa"/>
              <w:bottom w:w="100" w:type="dxa"/>
              <w:left w:w="150" w:type="dxa"/>
              <w:right w:w="150" w:type="dxa"/>
            </w:tcMar>
          </w:tcPr>
          <w:p>
            <w:pPr>
              <w:spacing w:before="0" w:after="0" w:line="276" w:lineRule="auto"/>
              <w:jc w:val="left"/>
            </w:pPr>
            <w:r>
              <w:rPr>
                <w:rFonts w:ascii="Times New Roman" w:hAnsi="Times New Roman"/>
                <w:b w:val="0"/>
                <w:i w:val="0"/>
                <w:sz w:val="19"/>
              </w:rPr>
              <w:t>Learned Modality Gating Weights for KEGG-Annotated vs. Unannotated Drugs (Exp D)</w:t>
            </w:r>
          </w:p>
        </w:tc>
        <w:tc>
          <w:tcPr>
            <w:tcW w:type="dxa" w:w="1152"/>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63</w:t>
            </w:r>
          </w:p>
        </w:tc>
      </w:tr>
      <w:tr>
        <w:tc>
          <w:tcPr>
            <w:tcW w:type="dxa" w:w="1728"/>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Table 5.4</w:t>
            </w:r>
          </w:p>
        </w:tc>
        <w:tc>
          <w:tcPr>
            <w:tcW w:type="dxa" w:w="6048"/>
            <w:shd w:fill="F8F9FA"/>
            <w:tcMar>
              <w:top w:w="100" w:type="dxa"/>
              <w:bottom w:w="100" w:type="dxa"/>
              <w:left w:w="150" w:type="dxa"/>
              <w:right w:w="150" w:type="dxa"/>
            </w:tcMar>
          </w:tcPr>
          <w:p>
            <w:pPr>
              <w:spacing w:before="0" w:after="0" w:line="276" w:lineRule="auto"/>
              <w:jc w:val="left"/>
            </w:pPr>
            <w:r>
              <w:rPr>
                <w:rFonts w:ascii="Times New Roman" w:hAnsi="Times New Roman"/>
                <w:b w:val="0"/>
                <w:i w:val="0"/>
                <w:sz w:val="19"/>
              </w:rPr>
              <w:t>Dual-Threshold Clinical Operating Modes Performance Metrics (Exp C)</w:t>
            </w:r>
          </w:p>
        </w:tc>
        <w:tc>
          <w:tcPr>
            <w:tcW w:type="dxa" w:w="1152"/>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66</w:t>
            </w:r>
          </w:p>
        </w:tc>
      </w:tr>
      <w:tr>
        <w:tc>
          <w:tcPr>
            <w:tcW w:type="dxa" w:w="1728"/>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Table A.1</w:t>
            </w:r>
          </w:p>
        </w:tc>
        <w:tc>
          <w:tcPr>
            <w:tcW w:type="dxa" w:w="6048"/>
            <w:tcMar>
              <w:top w:w="100" w:type="dxa"/>
              <w:bottom w:w="100" w:type="dxa"/>
              <w:left w:w="150" w:type="dxa"/>
              <w:right w:w="150" w:type="dxa"/>
            </w:tcMar>
          </w:tcPr>
          <w:p>
            <w:pPr>
              <w:spacing w:before="0" w:after="0" w:line="276" w:lineRule="auto"/>
              <w:jc w:val="left"/>
            </w:pPr>
            <w:r>
              <w:rPr>
                <w:rFonts w:ascii="Times New Roman" w:hAnsi="Times New Roman"/>
                <w:b w:val="0"/>
                <w:i w:val="0"/>
                <w:sz w:val="19"/>
              </w:rPr>
              <w:t>Complete Hyperparameter and Training Configuration Specifications</w:t>
            </w:r>
          </w:p>
        </w:tc>
        <w:tc>
          <w:tcPr>
            <w:tcW w:type="dxa" w:w="1152"/>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74</w:t>
            </w:r>
          </w:p>
        </w:tc>
      </w:tr>
      <w:tr>
        <w:tc>
          <w:tcPr>
            <w:tcW w:type="dxa" w:w="1728"/>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Table A.2</w:t>
            </w:r>
          </w:p>
        </w:tc>
        <w:tc>
          <w:tcPr>
            <w:tcW w:type="dxa" w:w="6048"/>
            <w:shd w:fill="F8F9FA"/>
            <w:tcMar>
              <w:top w:w="100" w:type="dxa"/>
              <w:bottom w:w="100" w:type="dxa"/>
              <w:left w:w="150" w:type="dxa"/>
              <w:right w:w="150" w:type="dxa"/>
            </w:tcMar>
          </w:tcPr>
          <w:p>
            <w:pPr>
              <w:spacing w:before="0" w:after="0" w:line="276" w:lineRule="auto"/>
              <w:jc w:val="left"/>
            </w:pPr>
            <w:r>
              <w:rPr>
                <w:rFonts w:ascii="Times New Roman" w:hAnsi="Times New Roman"/>
                <w:b w:val="0"/>
                <w:i w:val="0"/>
                <w:sz w:val="19"/>
              </w:rPr>
              <w:t>Computing Hardware and Software Dependency Specifications</w:t>
            </w:r>
          </w:p>
        </w:tc>
        <w:tc>
          <w:tcPr>
            <w:tcW w:type="dxa" w:w="1152"/>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75</w:t>
            </w:r>
          </w:p>
        </w:tc>
      </w:tr>
    </w:tbl>
    <w:p>
      <w:pPr>
        <w:spacing w:before="0" w:after="160"/>
      </w:pPr>
    </w:p>
    <w:p>
      <w:r>
        <w:br w:type="page"/>
      </w:r>
    </w:p>
    <w:p>
      <w:pPr>
        <w:spacing w:before="240" w:after="320" w:line="360" w:lineRule="auto"/>
        <w:jc w:val="center"/>
      </w:pPr>
      <w:r>
        <w:rPr>
          <w:rFonts w:ascii="Times New Roman" w:hAnsi="Times New Roman"/>
          <w:b/>
          <w:i w:val="0"/>
          <w:sz w:val="28"/>
          <w:u w:val="single"/>
        </w:rPr>
        <w:t>LIST OF ACRONYMS AND ABBREVIATIONS</w:t>
      </w:r>
    </w:p>
    <w:tbl>
      <w:tblPr>
        <w:tblW w:type="auto" w:w="0"/>
        <w:jc w:val="center"/>
        <w:tblLook w:firstColumn="1" w:firstRow="1" w:lastColumn="0" w:lastRow="0" w:noHBand="0" w:noVBand="1" w:val="04A0"/>
        <w:tblBorders>
          <w:top w:val="single" w:sz="4" w:space="0" w:color="B0BEC5"/>
          <w:bottom w:val="single" w:sz="4" w:space="0" w:color="B0BEC5"/>
          <w:left w:val="none"/>
          <w:right w:val="none"/>
          <w:insideH w:val="single" w:sz="4" w:space="0" w:color="B0BEC5"/>
          <w:insideV w:val="none"/>
        </w:tblBorders>
      </w:tblPr>
      <w:tblGrid>
        <w:gridCol w:w="4154"/>
        <w:gridCol w:w="4154"/>
      </w:tblGrid>
      <w:tr>
        <w:tc>
          <w:tcPr>
            <w:tcW w:type="dxa" w:w="2592"/>
            <w:shd w:fill="1B365D"/>
            <w:tcMar>
              <w:top w:w="140" w:type="dxa"/>
              <w:bottom w:w="140" w:type="dxa"/>
              <w:left w:w="160" w:type="dxa"/>
              <w:right w:w="160" w:type="dxa"/>
            </w:tcMar>
          </w:tcPr>
          <w:p>
            <w:pPr>
              <w:spacing w:before="0" w:after="0" w:line="240" w:lineRule="auto"/>
              <w:jc w:val="center"/>
            </w:pPr>
            <w:r>
              <w:rPr>
                <w:rFonts w:ascii="Times New Roman" w:hAnsi="Times New Roman"/>
                <w:b/>
                <w:i w:val="0"/>
                <w:color w:val="FFFFFF"/>
                <w:sz w:val="20"/>
              </w:rPr>
              <w:t>ACRONYM</w:t>
            </w:r>
          </w:p>
        </w:tc>
        <w:tc>
          <w:tcPr>
            <w:tcW w:type="dxa" w:w="6336"/>
            <w:shd w:fill="1B365D"/>
            <w:tcMar>
              <w:top w:w="140" w:type="dxa"/>
              <w:bottom w:w="140" w:type="dxa"/>
              <w:left w:w="160" w:type="dxa"/>
              <w:right w:w="160" w:type="dxa"/>
            </w:tcMar>
          </w:tcPr>
          <w:p>
            <w:pPr>
              <w:spacing w:before="0" w:after="0" w:line="240" w:lineRule="auto"/>
              <w:jc w:val="center"/>
            </w:pPr>
            <w:r>
              <w:rPr>
                <w:rFonts w:ascii="Times New Roman" w:hAnsi="Times New Roman"/>
                <w:b/>
                <w:i w:val="0"/>
                <w:color w:val="FFFFFF"/>
                <w:sz w:val="20"/>
              </w:rPr>
              <w:t>EXPANDED DEFINITION</w:t>
            </w:r>
          </w:p>
        </w:tc>
      </w:tr>
      <w:tr>
        <w:tc>
          <w:tcPr>
            <w:tcW w:type="dxa" w:w="2592"/>
            <w:tcMar>
              <w:top w:w="100" w:type="dxa"/>
              <w:bottom w:w="100" w:type="dxa"/>
              <w:left w:w="150" w:type="dxa"/>
              <w:right w:w="150" w:type="dxa"/>
            </w:tcMar>
          </w:tcPr>
          <w:p>
            <w:pPr>
              <w:spacing w:before="0" w:after="0" w:line="276" w:lineRule="auto"/>
              <w:jc w:val="left"/>
            </w:pPr>
            <w:r>
              <w:rPr>
                <w:rFonts w:ascii="Times New Roman" w:hAnsi="Times New Roman"/>
                <w:b w:val="0"/>
                <w:i w:val="0"/>
                <w:sz w:val="19"/>
              </w:rPr>
              <w:t>DDI</w:t>
            </w:r>
          </w:p>
        </w:tc>
        <w:tc>
          <w:tcPr>
            <w:tcW w:type="dxa" w:w="6336"/>
            <w:tcMar>
              <w:top w:w="100" w:type="dxa"/>
              <w:bottom w:w="100" w:type="dxa"/>
              <w:left w:w="150" w:type="dxa"/>
              <w:right w:w="150" w:type="dxa"/>
            </w:tcMar>
          </w:tcPr>
          <w:p>
            <w:pPr>
              <w:spacing w:before="0" w:after="0" w:line="276" w:lineRule="auto"/>
              <w:jc w:val="left"/>
            </w:pPr>
            <w:r>
              <w:rPr>
                <w:rFonts w:ascii="Times New Roman" w:hAnsi="Times New Roman"/>
                <w:b w:val="0"/>
                <w:i w:val="0"/>
                <w:sz w:val="19"/>
              </w:rPr>
              <w:t>Drug–Drug Interaction</w:t>
            </w:r>
          </w:p>
        </w:tc>
      </w:tr>
      <w:tr>
        <w:tc>
          <w:tcPr>
            <w:tcW w:type="dxa" w:w="2592"/>
            <w:shd w:fill="F8F9FA"/>
            <w:tcMar>
              <w:top w:w="100" w:type="dxa"/>
              <w:bottom w:w="100" w:type="dxa"/>
              <w:left w:w="150" w:type="dxa"/>
              <w:right w:w="150" w:type="dxa"/>
            </w:tcMar>
          </w:tcPr>
          <w:p>
            <w:pPr>
              <w:spacing w:before="0" w:after="0" w:line="276" w:lineRule="auto"/>
              <w:jc w:val="left"/>
            </w:pPr>
            <w:r>
              <w:rPr>
                <w:rFonts w:ascii="Times New Roman" w:hAnsi="Times New Roman"/>
                <w:b w:val="0"/>
                <w:i w:val="0"/>
                <w:sz w:val="19"/>
              </w:rPr>
              <w:t>HODDI</w:t>
            </w:r>
          </w:p>
        </w:tc>
        <w:tc>
          <w:tcPr>
            <w:tcW w:type="dxa" w:w="6336"/>
            <w:shd w:fill="F8F9FA"/>
            <w:tcMar>
              <w:top w:w="100" w:type="dxa"/>
              <w:bottom w:w="100" w:type="dxa"/>
              <w:left w:w="150" w:type="dxa"/>
              <w:right w:w="150" w:type="dxa"/>
            </w:tcMar>
          </w:tcPr>
          <w:p>
            <w:pPr>
              <w:spacing w:before="0" w:after="0" w:line="276" w:lineRule="auto"/>
              <w:jc w:val="left"/>
            </w:pPr>
            <w:r>
              <w:rPr>
                <w:rFonts w:ascii="Times New Roman" w:hAnsi="Times New Roman"/>
                <w:b w:val="0"/>
                <w:i w:val="0"/>
                <w:sz w:val="19"/>
              </w:rPr>
              <w:t>Higher-Order Drug–Drug Interaction</w:t>
            </w:r>
          </w:p>
        </w:tc>
      </w:tr>
      <w:tr>
        <w:tc>
          <w:tcPr>
            <w:tcW w:type="dxa" w:w="2592"/>
            <w:tcMar>
              <w:top w:w="100" w:type="dxa"/>
              <w:bottom w:w="100" w:type="dxa"/>
              <w:left w:w="150" w:type="dxa"/>
              <w:right w:w="150" w:type="dxa"/>
            </w:tcMar>
          </w:tcPr>
          <w:p>
            <w:pPr>
              <w:spacing w:before="0" w:after="0" w:line="276" w:lineRule="auto"/>
              <w:jc w:val="left"/>
            </w:pPr>
            <w:r>
              <w:rPr>
                <w:rFonts w:ascii="Times New Roman" w:hAnsi="Times New Roman"/>
                <w:b w:val="0"/>
                <w:i w:val="0"/>
                <w:sz w:val="19"/>
              </w:rPr>
              <w:t>ADE</w:t>
            </w:r>
          </w:p>
        </w:tc>
        <w:tc>
          <w:tcPr>
            <w:tcW w:type="dxa" w:w="6336"/>
            <w:tcMar>
              <w:top w:w="100" w:type="dxa"/>
              <w:bottom w:w="100" w:type="dxa"/>
              <w:left w:w="150" w:type="dxa"/>
              <w:right w:w="150" w:type="dxa"/>
            </w:tcMar>
          </w:tcPr>
          <w:p>
            <w:pPr>
              <w:spacing w:before="0" w:after="0" w:line="276" w:lineRule="auto"/>
              <w:jc w:val="left"/>
            </w:pPr>
            <w:r>
              <w:rPr>
                <w:rFonts w:ascii="Times New Roman" w:hAnsi="Times New Roman"/>
                <w:b w:val="0"/>
                <w:i w:val="0"/>
                <w:sz w:val="19"/>
              </w:rPr>
              <w:t>Adverse Drug Event</w:t>
            </w:r>
          </w:p>
        </w:tc>
      </w:tr>
      <w:tr>
        <w:tc>
          <w:tcPr>
            <w:tcW w:type="dxa" w:w="2592"/>
            <w:shd w:fill="F8F9FA"/>
            <w:tcMar>
              <w:top w:w="100" w:type="dxa"/>
              <w:bottom w:w="100" w:type="dxa"/>
              <w:left w:w="150" w:type="dxa"/>
              <w:right w:w="150" w:type="dxa"/>
            </w:tcMar>
          </w:tcPr>
          <w:p>
            <w:pPr>
              <w:spacing w:before="0" w:after="0" w:line="276" w:lineRule="auto"/>
              <w:jc w:val="left"/>
            </w:pPr>
            <w:r>
              <w:rPr>
                <w:rFonts w:ascii="Times New Roman" w:hAnsi="Times New Roman"/>
                <w:b w:val="0"/>
                <w:i w:val="0"/>
                <w:sz w:val="19"/>
              </w:rPr>
              <w:t>ADR</w:t>
            </w:r>
          </w:p>
        </w:tc>
        <w:tc>
          <w:tcPr>
            <w:tcW w:type="dxa" w:w="6336"/>
            <w:shd w:fill="F8F9FA"/>
            <w:tcMar>
              <w:top w:w="100" w:type="dxa"/>
              <w:bottom w:w="100" w:type="dxa"/>
              <w:left w:w="150" w:type="dxa"/>
              <w:right w:w="150" w:type="dxa"/>
            </w:tcMar>
          </w:tcPr>
          <w:p>
            <w:pPr>
              <w:spacing w:before="0" w:after="0" w:line="276" w:lineRule="auto"/>
              <w:jc w:val="left"/>
            </w:pPr>
            <w:r>
              <w:rPr>
                <w:rFonts w:ascii="Times New Roman" w:hAnsi="Times New Roman"/>
                <w:b w:val="0"/>
                <w:i w:val="0"/>
                <w:sz w:val="19"/>
              </w:rPr>
              <w:t>Adverse Drug Reaction</w:t>
            </w:r>
          </w:p>
        </w:tc>
      </w:tr>
      <w:tr>
        <w:tc>
          <w:tcPr>
            <w:tcW w:type="dxa" w:w="2592"/>
            <w:tcMar>
              <w:top w:w="100" w:type="dxa"/>
              <w:bottom w:w="100" w:type="dxa"/>
              <w:left w:w="150" w:type="dxa"/>
              <w:right w:w="150" w:type="dxa"/>
            </w:tcMar>
          </w:tcPr>
          <w:p>
            <w:pPr>
              <w:spacing w:before="0" w:after="0" w:line="276" w:lineRule="auto"/>
              <w:jc w:val="left"/>
            </w:pPr>
            <w:r>
              <w:rPr>
                <w:rFonts w:ascii="Times New Roman" w:hAnsi="Times New Roman"/>
                <w:b w:val="0"/>
                <w:i w:val="0"/>
                <w:sz w:val="19"/>
              </w:rPr>
              <w:t>FAERS</w:t>
            </w:r>
          </w:p>
        </w:tc>
        <w:tc>
          <w:tcPr>
            <w:tcW w:type="dxa" w:w="6336"/>
            <w:tcMar>
              <w:top w:w="100" w:type="dxa"/>
              <w:bottom w:w="100" w:type="dxa"/>
              <w:left w:w="150" w:type="dxa"/>
              <w:right w:w="150" w:type="dxa"/>
            </w:tcMar>
          </w:tcPr>
          <w:p>
            <w:pPr>
              <w:spacing w:before="0" w:after="0" w:line="276" w:lineRule="auto"/>
              <w:jc w:val="left"/>
            </w:pPr>
            <w:r>
              <w:rPr>
                <w:rFonts w:ascii="Times New Roman" w:hAnsi="Times New Roman"/>
                <w:b w:val="0"/>
                <w:i w:val="0"/>
                <w:sz w:val="19"/>
              </w:rPr>
              <w:t>FDA Adverse Event Reporting System</w:t>
            </w:r>
          </w:p>
        </w:tc>
      </w:tr>
      <w:tr>
        <w:tc>
          <w:tcPr>
            <w:tcW w:type="dxa" w:w="2592"/>
            <w:shd w:fill="F8F9FA"/>
            <w:tcMar>
              <w:top w:w="100" w:type="dxa"/>
              <w:bottom w:w="100" w:type="dxa"/>
              <w:left w:w="150" w:type="dxa"/>
              <w:right w:w="150" w:type="dxa"/>
            </w:tcMar>
          </w:tcPr>
          <w:p>
            <w:pPr>
              <w:spacing w:before="0" w:after="0" w:line="276" w:lineRule="auto"/>
              <w:jc w:val="left"/>
            </w:pPr>
            <w:r>
              <w:rPr>
                <w:rFonts w:ascii="Times New Roman" w:hAnsi="Times New Roman"/>
                <w:b w:val="0"/>
                <w:i w:val="0"/>
                <w:sz w:val="19"/>
              </w:rPr>
              <w:t>MedDRA</w:t>
            </w:r>
          </w:p>
        </w:tc>
        <w:tc>
          <w:tcPr>
            <w:tcW w:type="dxa" w:w="6336"/>
            <w:shd w:fill="F8F9FA"/>
            <w:tcMar>
              <w:top w:w="100" w:type="dxa"/>
              <w:bottom w:w="100" w:type="dxa"/>
              <w:left w:w="150" w:type="dxa"/>
              <w:right w:w="150" w:type="dxa"/>
            </w:tcMar>
          </w:tcPr>
          <w:p>
            <w:pPr>
              <w:spacing w:before="0" w:after="0" w:line="276" w:lineRule="auto"/>
              <w:jc w:val="left"/>
            </w:pPr>
            <w:r>
              <w:rPr>
                <w:rFonts w:ascii="Times New Roman" w:hAnsi="Times New Roman"/>
                <w:b w:val="0"/>
                <w:i w:val="0"/>
                <w:sz w:val="19"/>
              </w:rPr>
              <w:t>Medical Dictionary for Regulatory Activities</w:t>
            </w:r>
          </w:p>
        </w:tc>
      </w:tr>
      <w:tr>
        <w:tc>
          <w:tcPr>
            <w:tcW w:type="dxa" w:w="2592"/>
            <w:tcMar>
              <w:top w:w="100" w:type="dxa"/>
              <w:bottom w:w="100" w:type="dxa"/>
              <w:left w:w="150" w:type="dxa"/>
              <w:right w:w="150" w:type="dxa"/>
            </w:tcMar>
          </w:tcPr>
          <w:p>
            <w:pPr>
              <w:spacing w:before="0" w:after="0" w:line="276" w:lineRule="auto"/>
              <w:jc w:val="left"/>
            </w:pPr>
            <w:r>
              <w:rPr>
                <w:rFonts w:ascii="Times New Roman" w:hAnsi="Times New Roman"/>
                <w:b w:val="0"/>
                <w:i w:val="0"/>
                <w:sz w:val="19"/>
              </w:rPr>
              <w:t>CUI</w:t>
            </w:r>
          </w:p>
        </w:tc>
        <w:tc>
          <w:tcPr>
            <w:tcW w:type="dxa" w:w="6336"/>
            <w:tcMar>
              <w:top w:w="100" w:type="dxa"/>
              <w:bottom w:w="100" w:type="dxa"/>
              <w:left w:w="150" w:type="dxa"/>
              <w:right w:w="150" w:type="dxa"/>
            </w:tcMar>
          </w:tcPr>
          <w:p>
            <w:pPr>
              <w:spacing w:before="0" w:after="0" w:line="276" w:lineRule="auto"/>
              <w:jc w:val="left"/>
            </w:pPr>
            <w:r>
              <w:rPr>
                <w:rFonts w:ascii="Times New Roman" w:hAnsi="Times New Roman"/>
                <w:b w:val="0"/>
                <w:i w:val="0"/>
                <w:sz w:val="19"/>
              </w:rPr>
              <w:t>Concept Unique Identifier</w:t>
            </w:r>
          </w:p>
        </w:tc>
      </w:tr>
      <w:tr>
        <w:tc>
          <w:tcPr>
            <w:tcW w:type="dxa" w:w="2592"/>
            <w:shd w:fill="F8F9FA"/>
            <w:tcMar>
              <w:top w:w="100" w:type="dxa"/>
              <w:bottom w:w="100" w:type="dxa"/>
              <w:left w:w="150" w:type="dxa"/>
              <w:right w:w="150" w:type="dxa"/>
            </w:tcMar>
          </w:tcPr>
          <w:p>
            <w:pPr>
              <w:spacing w:before="0" w:after="0" w:line="276" w:lineRule="auto"/>
              <w:jc w:val="left"/>
            </w:pPr>
            <w:r>
              <w:rPr>
                <w:rFonts w:ascii="Times New Roman" w:hAnsi="Times New Roman"/>
                <w:b w:val="0"/>
                <w:i w:val="0"/>
                <w:sz w:val="19"/>
              </w:rPr>
              <w:t>SMILES</w:t>
            </w:r>
          </w:p>
        </w:tc>
        <w:tc>
          <w:tcPr>
            <w:tcW w:type="dxa" w:w="6336"/>
            <w:shd w:fill="F8F9FA"/>
            <w:tcMar>
              <w:top w:w="100" w:type="dxa"/>
              <w:bottom w:w="100" w:type="dxa"/>
              <w:left w:w="150" w:type="dxa"/>
              <w:right w:w="150" w:type="dxa"/>
            </w:tcMar>
          </w:tcPr>
          <w:p>
            <w:pPr>
              <w:spacing w:before="0" w:after="0" w:line="276" w:lineRule="auto"/>
              <w:jc w:val="left"/>
            </w:pPr>
            <w:r>
              <w:rPr>
                <w:rFonts w:ascii="Times New Roman" w:hAnsi="Times New Roman"/>
                <w:b w:val="0"/>
                <w:i w:val="0"/>
                <w:sz w:val="19"/>
              </w:rPr>
              <w:t>Simplified Molecular-Input Line-Entry System</w:t>
            </w:r>
          </w:p>
        </w:tc>
      </w:tr>
      <w:tr>
        <w:tc>
          <w:tcPr>
            <w:tcW w:type="dxa" w:w="2592"/>
            <w:tcMar>
              <w:top w:w="100" w:type="dxa"/>
              <w:bottom w:w="100" w:type="dxa"/>
              <w:left w:w="150" w:type="dxa"/>
              <w:right w:w="150" w:type="dxa"/>
            </w:tcMar>
          </w:tcPr>
          <w:p>
            <w:pPr>
              <w:spacing w:before="0" w:after="0" w:line="276" w:lineRule="auto"/>
              <w:jc w:val="left"/>
            </w:pPr>
            <w:r>
              <w:rPr>
                <w:rFonts w:ascii="Times New Roman" w:hAnsi="Times New Roman"/>
                <w:b w:val="0"/>
                <w:i w:val="0"/>
                <w:sz w:val="19"/>
              </w:rPr>
              <w:t>PubChem</w:t>
            </w:r>
          </w:p>
        </w:tc>
        <w:tc>
          <w:tcPr>
            <w:tcW w:type="dxa" w:w="6336"/>
            <w:tcMar>
              <w:top w:w="100" w:type="dxa"/>
              <w:bottom w:w="100" w:type="dxa"/>
              <w:left w:w="150" w:type="dxa"/>
              <w:right w:w="150" w:type="dxa"/>
            </w:tcMar>
          </w:tcPr>
          <w:p>
            <w:pPr>
              <w:spacing w:before="0" w:after="0" w:line="276" w:lineRule="auto"/>
              <w:jc w:val="left"/>
            </w:pPr>
            <w:r>
              <w:rPr>
                <w:rFonts w:ascii="Times New Roman" w:hAnsi="Times New Roman"/>
                <w:b w:val="0"/>
                <w:i w:val="0"/>
                <w:sz w:val="19"/>
              </w:rPr>
              <w:t>Public Chemical Database (NCBI)</w:t>
            </w:r>
          </w:p>
        </w:tc>
      </w:tr>
      <w:tr>
        <w:tc>
          <w:tcPr>
            <w:tcW w:type="dxa" w:w="2592"/>
            <w:shd w:fill="F8F9FA"/>
            <w:tcMar>
              <w:top w:w="100" w:type="dxa"/>
              <w:bottom w:w="100" w:type="dxa"/>
              <w:left w:w="150" w:type="dxa"/>
              <w:right w:w="150" w:type="dxa"/>
            </w:tcMar>
          </w:tcPr>
          <w:p>
            <w:pPr>
              <w:spacing w:before="0" w:after="0" w:line="276" w:lineRule="auto"/>
              <w:jc w:val="left"/>
            </w:pPr>
            <w:r>
              <w:rPr>
                <w:rFonts w:ascii="Times New Roman" w:hAnsi="Times New Roman"/>
                <w:b w:val="0"/>
                <w:i w:val="0"/>
                <w:sz w:val="19"/>
              </w:rPr>
              <w:t>KEGG</w:t>
            </w:r>
          </w:p>
        </w:tc>
        <w:tc>
          <w:tcPr>
            <w:tcW w:type="dxa" w:w="6336"/>
            <w:shd w:fill="F8F9FA"/>
            <w:tcMar>
              <w:top w:w="100" w:type="dxa"/>
              <w:bottom w:w="100" w:type="dxa"/>
              <w:left w:w="150" w:type="dxa"/>
              <w:right w:w="150" w:type="dxa"/>
            </w:tcMar>
          </w:tcPr>
          <w:p>
            <w:pPr>
              <w:spacing w:before="0" w:after="0" w:line="276" w:lineRule="auto"/>
              <w:jc w:val="left"/>
            </w:pPr>
            <w:r>
              <w:rPr>
                <w:rFonts w:ascii="Times New Roman" w:hAnsi="Times New Roman"/>
                <w:b w:val="0"/>
                <w:i w:val="0"/>
                <w:sz w:val="19"/>
              </w:rPr>
              <w:t>Kyoto Encyclopedia of Genes and Genomes</w:t>
            </w:r>
          </w:p>
        </w:tc>
      </w:tr>
      <w:tr>
        <w:tc>
          <w:tcPr>
            <w:tcW w:type="dxa" w:w="2592"/>
            <w:tcMar>
              <w:top w:w="100" w:type="dxa"/>
              <w:bottom w:w="100" w:type="dxa"/>
              <w:left w:w="150" w:type="dxa"/>
              <w:right w:w="150" w:type="dxa"/>
            </w:tcMar>
          </w:tcPr>
          <w:p>
            <w:pPr>
              <w:spacing w:before="0" w:after="0" w:line="276" w:lineRule="auto"/>
              <w:jc w:val="left"/>
            </w:pPr>
            <w:r>
              <w:rPr>
                <w:rFonts w:ascii="Times New Roman" w:hAnsi="Times New Roman"/>
                <w:b w:val="0"/>
                <w:i w:val="0"/>
                <w:sz w:val="19"/>
              </w:rPr>
              <w:t>ATC</w:t>
            </w:r>
          </w:p>
        </w:tc>
        <w:tc>
          <w:tcPr>
            <w:tcW w:type="dxa" w:w="6336"/>
            <w:tcMar>
              <w:top w:w="100" w:type="dxa"/>
              <w:bottom w:w="100" w:type="dxa"/>
              <w:left w:w="150" w:type="dxa"/>
              <w:right w:w="150" w:type="dxa"/>
            </w:tcMar>
          </w:tcPr>
          <w:p>
            <w:pPr>
              <w:spacing w:before="0" w:after="0" w:line="276" w:lineRule="auto"/>
              <w:jc w:val="left"/>
            </w:pPr>
            <w:r>
              <w:rPr>
                <w:rFonts w:ascii="Times New Roman" w:hAnsi="Times New Roman"/>
                <w:b w:val="0"/>
                <w:i w:val="0"/>
                <w:sz w:val="19"/>
              </w:rPr>
              <w:t>Anatomical Therapeutic Chemical Classification System</w:t>
            </w:r>
          </w:p>
        </w:tc>
      </w:tr>
      <w:tr>
        <w:tc>
          <w:tcPr>
            <w:tcW w:type="dxa" w:w="2592"/>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CYP450</w:t>
            </w:r>
          </w:p>
        </w:tc>
        <w:tc>
          <w:tcPr>
            <w:tcW w:type="dxa" w:w="6336"/>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Cytochrome P450 Monooxygenase Enzymes</w:t>
            </w:r>
          </w:p>
        </w:tc>
      </w:tr>
      <w:tr>
        <w:tc>
          <w:tcPr>
            <w:tcW w:type="dxa" w:w="2592"/>
            <w:tcMar>
              <w:top w:w="100" w:type="dxa"/>
              <w:bottom w:w="100" w:type="dxa"/>
              <w:left w:w="150" w:type="dxa"/>
              <w:right w:w="150" w:type="dxa"/>
            </w:tcMar>
          </w:tcPr>
          <w:p>
            <w:pPr>
              <w:spacing w:before="0" w:after="0" w:line="276" w:lineRule="auto"/>
              <w:jc w:val="left"/>
            </w:pPr>
            <w:r>
              <w:rPr>
                <w:rFonts w:ascii="Times New Roman" w:hAnsi="Times New Roman"/>
                <w:b w:val="0"/>
                <w:i w:val="0"/>
                <w:sz w:val="19"/>
              </w:rPr>
              <w:t>GNN</w:t>
            </w:r>
          </w:p>
        </w:tc>
        <w:tc>
          <w:tcPr>
            <w:tcW w:type="dxa" w:w="6336"/>
            <w:tcMar>
              <w:top w:w="100" w:type="dxa"/>
              <w:bottom w:w="100" w:type="dxa"/>
              <w:left w:w="150" w:type="dxa"/>
              <w:right w:w="150" w:type="dxa"/>
            </w:tcMar>
          </w:tcPr>
          <w:p>
            <w:pPr>
              <w:spacing w:before="0" w:after="0" w:line="276" w:lineRule="auto"/>
              <w:jc w:val="left"/>
            </w:pPr>
            <w:r>
              <w:rPr>
                <w:rFonts w:ascii="Times New Roman" w:hAnsi="Times New Roman"/>
                <w:b w:val="0"/>
                <w:i w:val="0"/>
                <w:sz w:val="19"/>
              </w:rPr>
              <w:t>Graph Neural Network</w:t>
            </w:r>
          </w:p>
        </w:tc>
      </w:tr>
      <w:tr>
        <w:tc>
          <w:tcPr>
            <w:tcW w:type="dxa" w:w="2592"/>
            <w:shd w:fill="F8F9FA"/>
            <w:tcMar>
              <w:top w:w="100" w:type="dxa"/>
              <w:bottom w:w="100" w:type="dxa"/>
              <w:left w:w="150" w:type="dxa"/>
              <w:right w:w="150" w:type="dxa"/>
            </w:tcMar>
          </w:tcPr>
          <w:p>
            <w:pPr>
              <w:spacing w:before="0" w:after="0" w:line="276" w:lineRule="auto"/>
              <w:jc w:val="left"/>
            </w:pPr>
            <w:r>
              <w:rPr>
                <w:rFonts w:ascii="Times New Roman" w:hAnsi="Times New Roman"/>
                <w:b w:val="0"/>
                <w:i w:val="0"/>
                <w:sz w:val="19"/>
              </w:rPr>
              <w:t>GCN</w:t>
            </w:r>
          </w:p>
        </w:tc>
        <w:tc>
          <w:tcPr>
            <w:tcW w:type="dxa" w:w="6336"/>
            <w:shd w:fill="F8F9FA"/>
            <w:tcMar>
              <w:top w:w="100" w:type="dxa"/>
              <w:bottom w:w="100" w:type="dxa"/>
              <w:left w:w="150" w:type="dxa"/>
              <w:right w:w="150" w:type="dxa"/>
            </w:tcMar>
          </w:tcPr>
          <w:p>
            <w:pPr>
              <w:spacing w:before="0" w:after="0" w:line="276" w:lineRule="auto"/>
              <w:jc w:val="left"/>
            </w:pPr>
            <w:r>
              <w:rPr>
                <w:rFonts w:ascii="Times New Roman" w:hAnsi="Times New Roman"/>
                <w:b w:val="0"/>
                <w:i w:val="0"/>
                <w:sz w:val="19"/>
              </w:rPr>
              <w:t>Graph Convolutional Network</w:t>
            </w:r>
          </w:p>
        </w:tc>
      </w:tr>
      <w:tr>
        <w:tc>
          <w:tcPr>
            <w:tcW w:type="dxa" w:w="2592"/>
            <w:tcMar>
              <w:top w:w="100" w:type="dxa"/>
              <w:bottom w:w="100" w:type="dxa"/>
              <w:left w:w="150" w:type="dxa"/>
              <w:right w:w="150" w:type="dxa"/>
            </w:tcMar>
          </w:tcPr>
          <w:p>
            <w:pPr>
              <w:spacing w:before="0" w:after="0" w:line="276" w:lineRule="auto"/>
              <w:jc w:val="left"/>
            </w:pPr>
            <w:r>
              <w:rPr>
                <w:rFonts w:ascii="Times New Roman" w:hAnsi="Times New Roman"/>
                <w:b w:val="0"/>
                <w:i w:val="0"/>
                <w:sz w:val="19"/>
              </w:rPr>
              <w:t>GAT</w:t>
            </w:r>
          </w:p>
        </w:tc>
        <w:tc>
          <w:tcPr>
            <w:tcW w:type="dxa" w:w="6336"/>
            <w:tcMar>
              <w:top w:w="100" w:type="dxa"/>
              <w:bottom w:w="100" w:type="dxa"/>
              <w:left w:w="150" w:type="dxa"/>
              <w:right w:w="150" w:type="dxa"/>
            </w:tcMar>
          </w:tcPr>
          <w:p>
            <w:pPr>
              <w:spacing w:before="0" w:after="0" w:line="276" w:lineRule="auto"/>
              <w:jc w:val="left"/>
            </w:pPr>
            <w:r>
              <w:rPr>
                <w:rFonts w:ascii="Times New Roman" w:hAnsi="Times New Roman"/>
                <w:b w:val="0"/>
                <w:i w:val="0"/>
                <w:sz w:val="19"/>
              </w:rPr>
              <w:t>Graph Attention Network</w:t>
            </w:r>
          </w:p>
        </w:tc>
      </w:tr>
      <w:tr>
        <w:tc>
          <w:tcPr>
            <w:tcW w:type="dxa" w:w="2592"/>
            <w:shd w:fill="F8F9FA"/>
            <w:tcMar>
              <w:top w:w="100" w:type="dxa"/>
              <w:bottom w:w="100" w:type="dxa"/>
              <w:left w:w="150" w:type="dxa"/>
              <w:right w:w="150" w:type="dxa"/>
            </w:tcMar>
          </w:tcPr>
          <w:p>
            <w:pPr>
              <w:spacing w:before="0" w:after="0" w:line="276" w:lineRule="auto"/>
              <w:jc w:val="left"/>
            </w:pPr>
            <w:r>
              <w:rPr>
                <w:rFonts w:ascii="Times New Roman" w:hAnsi="Times New Roman"/>
                <w:b w:val="0"/>
                <w:i w:val="0"/>
                <w:sz w:val="19"/>
              </w:rPr>
              <w:t>HGNN</w:t>
            </w:r>
          </w:p>
        </w:tc>
        <w:tc>
          <w:tcPr>
            <w:tcW w:type="dxa" w:w="6336"/>
            <w:shd w:fill="F8F9FA"/>
            <w:tcMar>
              <w:top w:w="100" w:type="dxa"/>
              <w:bottom w:w="100" w:type="dxa"/>
              <w:left w:w="150" w:type="dxa"/>
              <w:right w:w="150" w:type="dxa"/>
            </w:tcMar>
          </w:tcPr>
          <w:p>
            <w:pPr>
              <w:spacing w:before="0" w:after="0" w:line="276" w:lineRule="auto"/>
              <w:jc w:val="left"/>
            </w:pPr>
            <w:r>
              <w:rPr>
                <w:rFonts w:ascii="Times New Roman" w:hAnsi="Times New Roman"/>
                <w:b w:val="0"/>
                <w:i w:val="0"/>
                <w:sz w:val="19"/>
              </w:rPr>
              <w:t>Hypergraph Neural Network</w:t>
            </w:r>
          </w:p>
        </w:tc>
      </w:tr>
      <w:tr>
        <w:tc>
          <w:tcPr>
            <w:tcW w:type="dxa" w:w="2592"/>
            <w:tcMar>
              <w:top w:w="100" w:type="dxa"/>
              <w:bottom w:w="100" w:type="dxa"/>
              <w:left w:w="150" w:type="dxa"/>
              <w:right w:w="150" w:type="dxa"/>
            </w:tcMar>
          </w:tcPr>
          <w:p>
            <w:pPr>
              <w:spacing w:before="0" w:after="0" w:line="276" w:lineRule="auto"/>
              <w:jc w:val="left"/>
            </w:pPr>
            <w:r>
              <w:rPr>
                <w:rFonts w:ascii="Times New Roman" w:hAnsi="Times New Roman"/>
                <w:b w:val="0"/>
                <w:i w:val="0"/>
                <w:sz w:val="19"/>
              </w:rPr>
              <w:t>HAN</w:t>
            </w:r>
          </w:p>
        </w:tc>
        <w:tc>
          <w:tcPr>
            <w:tcW w:type="dxa" w:w="6336"/>
            <w:tcMar>
              <w:top w:w="100" w:type="dxa"/>
              <w:bottom w:w="100" w:type="dxa"/>
              <w:left w:w="150" w:type="dxa"/>
              <w:right w:w="150" w:type="dxa"/>
            </w:tcMar>
          </w:tcPr>
          <w:p>
            <w:pPr>
              <w:spacing w:before="0" w:after="0" w:line="276" w:lineRule="auto"/>
              <w:jc w:val="left"/>
            </w:pPr>
            <w:r>
              <w:rPr>
                <w:rFonts w:ascii="Times New Roman" w:hAnsi="Times New Roman"/>
                <w:b w:val="0"/>
                <w:i w:val="0"/>
                <w:sz w:val="19"/>
              </w:rPr>
              <w:t>Hypergraph Attention Network</w:t>
            </w:r>
          </w:p>
        </w:tc>
      </w:tr>
      <w:tr>
        <w:tc>
          <w:tcPr>
            <w:tcW w:type="dxa" w:w="2592"/>
            <w:shd w:fill="F8F9FA"/>
            <w:tcMar>
              <w:top w:w="100" w:type="dxa"/>
              <w:bottom w:w="100" w:type="dxa"/>
              <w:left w:w="150" w:type="dxa"/>
              <w:right w:w="150" w:type="dxa"/>
            </w:tcMar>
          </w:tcPr>
          <w:p>
            <w:pPr>
              <w:spacing w:before="0" w:after="0" w:line="276" w:lineRule="auto"/>
              <w:jc w:val="left"/>
            </w:pPr>
            <w:r>
              <w:rPr>
                <w:rFonts w:ascii="Times New Roman" w:hAnsi="Times New Roman"/>
                <w:b w:val="0"/>
                <w:i w:val="0"/>
                <w:sz w:val="19"/>
              </w:rPr>
              <w:t>PyG</w:t>
            </w:r>
          </w:p>
        </w:tc>
        <w:tc>
          <w:tcPr>
            <w:tcW w:type="dxa" w:w="6336"/>
            <w:shd w:fill="F8F9FA"/>
            <w:tcMar>
              <w:top w:w="100" w:type="dxa"/>
              <w:bottom w:w="100" w:type="dxa"/>
              <w:left w:w="150" w:type="dxa"/>
              <w:right w:w="150" w:type="dxa"/>
            </w:tcMar>
          </w:tcPr>
          <w:p>
            <w:pPr>
              <w:spacing w:before="0" w:after="0" w:line="276" w:lineRule="auto"/>
              <w:jc w:val="left"/>
            </w:pPr>
            <w:r>
              <w:rPr>
                <w:rFonts w:ascii="Times New Roman" w:hAnsi="Times New Roman"/>
                <w:b w:val="0"/>
                <w:i w:val="0"/>
                <w:sz w:val="19"/>
              </w:rPr>
              <w:t>PyTorch Geometric Library</w:t>
            </w:r>
          </w:p>
        </w:tc>
      </w:tr>
      <w:tr>
        <w:tc>
          <w:tcPr>
            <w:tcW w:type="dxa" w:w="2592"/>
            <w:tcMar>
              <w:top w:w="100" w:type="dxa"/>
              <w:bottom w:w="100" w:type="dxa"/>
              <w:left w:w="150" w:type="dxa"/>
              <w:right w:w="150" w:type="dxa"/>
            </w:tcMar>
          </w:tcPr>
          <w:p>
            <w:pPr>
              <w:spacing w:before="0" w:after="0" w:line="276" w:lineRule="auto"/>
              <w:jc w:val="left"/>
            </w:pPr>
            <w:r>
              <w:rPr>
                <w:rFonts w:ascii="Times New Roman" w:hAnsi="Times New Roman"/>
                <w:b w:val="0"/>
                <w:i w:val="0"/>
                <w:sz w:val="19"/>
              </w:rPr>
              <w:t>ChemBERTa</w:t>
            </w:r>
          </w:p>
        </w:tc>
        <w:tc>
          <w:tcPr>
            <w:tcW w:type="dxa" w:w="6336"/>
            <w:tcMar>
              <w:top w:w="100" w:type="dxa"/>
              <w:bottom w:w="100" w:type="dxa"/>
              <w:left w:w="150" w:type="dxa"/>
              <w:right w:w="150" w:type="dxa"/>
            </w:tcMar>
          </w:tcPr>
          <w:p>
            <w:pPr>
              <w:spacing w:before="0" w:after="0" w:line="276" w:lineRule="auto"/>
              <w:jc w:val="left"/>
            </w:pPr>
            <w:r>
              <w:rPr>
                <w:rFonts w:ascii="Times New Roman" w:hAnsi="Times New Roman"/>
                <w:b w:val="0"/>
                <w:i w:val="0"/>
                <w:sz w:val="19"/>
              </w:rPr>
              <w:t>Chemical Bidirectional Encoder Representations from Transformers</w:t>
            </w:r>
          </w:p>
        </w:tc>
      </w:tr>
      <w:tr>
        <w:tc>
          <w:tcPr>
            <w:tcW w:type="dxa" w:w="2592"/>
            <w:shd w:fill="F8F9FA"/>
            <w:tcMar>
              <w:top w:w="100" w:type="dxa"/>
              <w:bottom w:w="100" w:type="dxa"/>
              <w:left w:w="150" w:type="dxa"/>
              <w:right w:w="150" w:type="dxa"/>
            </w:tcMar>
          </w:tcPr>
          <w:p>
            <w:pPr>
              <w:spacing w:before="0" w:after="0" w:line="276" w:lineRule="auto"/>
              <w:jc w:val="left"/>
            </w:pPr>
            <w:r>
              <w:rPr>
                <w:rFonts w:ascii="Times New Roman" w:hAnsi="Times New Roman"/>
                <w:b w:val="0"/>
                <w:i w:val="0"/>
                <w:sz w:val="19"/>
              </w:rPr>
              <w:t>SapBERT</w:t>
            </w:r>
          </w:p>
        </w:tc>
        <w:tc>
          <w:tcPr>
            <w:tcW w:type="dxa" w:w="6336"/>
            <w:shd w:fill="F8F9FA"/>
            <w:tcMar>
              <w:top w:w="100" w:type="dxa"/>
              <w:bottom w:w="100" w:type="dxa"/>
              <w:left w:w="150" w:type="dxa"/>
              <w:right w:w="150" w:type="dxa"/>
            </w:tcMar>
          </w:tcPr>
          <w:p>
            <w:pPr>
              <w:spacing w:before="0" w:after="0" w:line="276" w:lineRule="auto"/>
              <w:jc w:val="left"/>
            </w:pPr>
            <w:r>
              <w:rPr>
                <w:rFonts w:ascii="Times New Roman" w:hAnsi="Times New Roman"/>
                <w:b w:val="0"/>
                <w:i w:val="0"/>
                <w:sz w:val="19"/>
              </w:rPr>
              <w:t>Self-Alignment Pretrained Biomedical Entity Representation Transformer</w:t>
            </w:r>
          </w:p>
        </w:tc>
      </w:tr>
      <w:tr>
        <w:tc>
          <w:tcPr>
            <w:tcW w:type="dxa" w:w="2592"/>
            <w:tcMar>
              <w:top w:w="100" w:type="dxa"/>
              <w:bottom w:w="100" w:type="dxa"/>
              <w:left w:w="150" w:type="dxa"/>
              <w:right w:w="150" w:type="dxa"/>
            </w:tcMar>
          </w:tcPr>
          <w:p>
            <w:pPr>
              <w:spacing w:before="0" w:after="0" w:line="276" w:lineRule="auto"/>
              <w:jc w:val="left"/>
            </w:pPr>
            <w:r>
              <w:rPr>
                <w:rFonts w:ascii="Times New Roman" w:hAnsi="Times New Roman"/>
                <w:b w:val="0"/>
                <w:i w:val="0"/>
                <w:sz w:val="19"/>
              </w:rPr>
              <w:t>ROC-AUC</w:t>
            </w:r>
          </w:p>
        </w:tc>
        <w:tc>
          <w:tcPr>
            <w:tcW w:type="dxa" w:w="6336"/>
            <w:tcMar>
              <w:top w:w="100" w:type="dxa"/>
              <w:bottom w:w="100" w:type="dxa"/>
              <w:left w:w="150" w:type="dxa"/>
              <w:right w:w="150" w:type="dxa"/>
            </w:tcMar>
          </w:tcPr>
          <w:p>
            <w:pPr>
              <w:spacing w:before="0" w:after="0" w:line="276" w:lineRule="auto"/>
              <w:jc w:val="left"/>
            </w:pPr>
            <w:r>
              <w:rPr>
                <w:rFonts w:ascii="Times New Roman" w:hAnsi="Times New Roman"/>
                <w:b w:val="0"/>
                <w:i w:val="0"/>
                <w:sz w:val="19"/>
              </w:rPr>
              <w:t>Area Under the Receiver Operating Characteristic Curve</w:t>
            </w:r>
          </w:p>
        </w:tc>
      </w:tr>
      <w:tr>
        <w:tc>
          <w:tcPr>
            <w:tcW w:type="dxa" w:w="2592"/>
            <w:shd w:fill="F8F9FA"/>
            <w:tcMar>
              <w:top w:w="100" w:type="dxa"/>
              <w:bottom w:w="100" w:type="dxa"/>
              <w:left w:w="150" w:type="dxa"/>
              <w:right w:w="150" w:type="dxa"/>
            </w:tcMar>
          </w:tcPr>
          <w:p>
            <w:pPr>
              <w:spacing w:before="0" w:after="0" w:line="276" w:lineRule="auto"/>
              <w:jc w:val="left"/>
            </w:pPr>
            <w:r>
              <w:rPr>
                <w:rFonts w:ascii="Times New Roman" w:hAnsi="Times New Roman"/>
                <w:b w:val="0"/>
                <w:i w:val="0"/>
                <w:sz w:val="19"/>
              </w:rPr>
              <w:t>PR-AUC</w:t>
            </w:r>
          </w:p>
        </w:tc>
        <w:tc>
          <w:tcPr>
            <w:tcW w:type="dxa" w:w="6336"/>
            <w:shd w:fill="F8F9FA"/>
            <w:tcMar>
              <w:top w:w="100" w:type="dxa"/>
              <w:bottom w:w="100" w:type="dxa"/>
              <w:left w:w="150" w:type="dxa"/>
              <w:right w:w="150" w:type="dxa"/>
            </w:tcMar>
          </w:tcPr>
          <w:p>
            <w:pPr>
              <w:spacing w:before="0" w:after="0" w:line="276" w:lineRule="auto"/>
              <w:jc w:val="left"/>
            </w:pPr>
            <w:r>
              <w:rPr>
                <w:rFonts w:ascii="Times New Roman" w:hAnsi="Times New Roman"/>
                <w:b w:val="0"/>
                <w:i w:val="0"/>
                <w:sz w:val="19"/>
              </w:rPr>
              <w:t>Area Under the Precision-Recall Curve</w:t>
            </w:r>
          </w:p>
        </w:tc>
      </w:tr>
      <w:tr>
        <w:tc>
          <w:tcPr>
            <w:tcW w:type="dxa" w:w="2592"/>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F1</w:t>
            </w:r>
          </w:p>
        </w:tc>
        <w:tc>
          <w:tcPr>
            <w:tcW w:type="dxa" w:w="6336"/>
            <w:tcMar>
              <w:top w:w="100" w:type="dxa"/>
              <w:bottom w:w="100" w:type="dxa"/>
              <w:left w:w="150" w:type="dxa"/>
              <w:right w:w="150" w:type="dxa"/>
            </w:tcMar>
          </w:tcPr>
          <w:p>
            <w:pPr>
              <w:spacing w:before="0" w:after="0" w:line="276" w:lineRule="auto"/>
              <w:jc w:val="left"/>
            </w:pPr>
            <w:r>
              <w:rPr>
                <w:rFonts w:ascii="Times New Roman" w:hAnsi="Times New Roman"/>
                <w:b w:val="0"/>
                <w:i w:val="0"/>
                <w:sz w:val="19"/>
              </w:rPr>
              <w:t>Harmonic Mean of Precision and Recall</w:t>
            </w:r>
          </w:p>
        </w:tc>
      </w:tr>
      <w:tr>
        <w:tc>
          <w:tcPr>
            <w:tcW w:type="dxa" w:w="2592"/>
            <w:shd w:fill="F8F9FA"/>
            <w:tcMar>
              <w:top w:w="100" w:type="dxa"/>
              <w:bottom w:w="100" w:type="dxa"/>
              <w:left w:w="150" w:type="dxa"/>
              <w:right w:w="150" w:type="dxa"/>
            </w:tcMar>
          </w:tcPr>
          <w:p>
            <w:pPr>
              <w:spacing w:before="0" w:after="0" w:line="276" w:lineRule="auto"/>
              <w:jc w:val="left"/>
            </w:pPr>
            <w:r>
              <w:rPr>
                <w:rFonts w:ascii="Times New Roman" w:hAnsi="Times New Roman"/>
                <w:b w:val="0"/>
                <w:i w:val="0"/>
                <w:sz w:val="19"/>
              </w:rPr>
              <w:t>BCE</w:t>
            </w:r>
          </w:p>
        </w:tc>
        <w:tc>
          <w:tcPr>
            <w:tcW w:type="dxa" w:w="6336"/>
            <w:shd w:fill="F8F9FA"/>
            <w:tcMar>
              <w:top w:w="100" w:type="dxa"/>
              <w:bottom w:w="100" w:type="dxa"/>
              <w:left w:w="150" w:type="dxa"/>
              <w:right w:w="150" w:type="dxa"/>
            </w:tcMar>
          </w:tcPr>
          <w:p>
            <w:pPr>
              <w:spacing w:before="0" w:after="0" w:line="276" w:lineRule="auto"/>
              <w:jc w:val="left"/>
            </w:pPr>
            <w:r>
              <w:rPr>
                <w:rFonts w:ascii="Times New Roman" w:hAnsi="Times New Roman"/>
                <w:b w:val="0"/>
                <w:i w:val="0"/>
                <w:sz w:val="19"/>
              </w:rPr>
              <w:t>Binary Cross-Entropy Loss</w:t>
            </w:r>
          </w:p>
        </w:tc>
      </w:tr>
      <w:tr>
        <w:tc>
          <w:tcPr>
            <w:tcW w:type="dxa" w:w="2592"/>
            <w:tcMar>
              <w:top w:w="100" w:type="dxa"/>
              <w:bottom w:w="100" w:type="dxa"/>
              <w:left w:w="150" w:type="dxa"/>
              <w:right w:w="150" w:type="dxa"/>
            </w:tcMar>
          </w:tcPr>
          <w:p>
            <w:pPr>
              <w:spacing w:before="0" w:after="0" w:line="276" w:lineRule="auto"/>
              <w:jc w:val="left"/>
            </w:pPr>
            <w:r>
              <w:rPr>
                <w:rFonts w:ascii="Times New Roman" w:hAnsi="Times New Roman"/>
                <w:b w:val="0"/>
                <w:i w:val="0"/>
                <w:sz w:val="19"/>
              </w:rPr>
              <w:t>MLP</w:t>
            </w:r>
          </w:p>
        </w:tc>
        <w:tc>
          <w:tcPr>
            <w:tcW w:type="dxa" w:w="6336"/>
            <w:tcMar>
              <w:top w:w="100" w:type="dxa"/>
              <w:bottom w:w="100" w:type="dxa"/>
              <w:left w:w="150" w:type="dxa"/>
              <w:right w:w="150" w:type="dxa"/>
            </w:tcMar>
          </w:tcPr>
          <w:p>
            <w:pPr>
              <w:spacing w:before="0" w:after="0" w:line="276" w:lineRule="auto"/>
              <w:jc w:val="left"/>
            </w:pPr>
            <w:r>
              <w:rPr>
                <w:rFonts w:ascii="Times New Roman" w:hAnsi="Times New Roman"/>
                <w:b w:val="0"/>
                <w:i w:val="0"/>
                <w:sz w:val="19"/>
              </w:rPr>
              <w:t>Multi-Layer Perceptron</w:t>
            </w:r>
          </w:p>
        </w:tc>
      </w:tr>
      <w:tr>
        <w:tc>
          <w:tcPr>
            <w:tcW w:type="dxa" w:w="2592"/>
            <w:shd w:fill="F8F9FA"/>
            <w:tcMar>
              <w:top w:w="100" w:type="dxa"/>
              <w:bottom w:w="100" w:type="dxa"/>
              <w:left w:w="150" w:type="dxa"/>
              <w:right w:w="150" w:type="dxa"/>
            </w:tcMar>
          </w:tcPr>
          <w:p>
            <w:pPr>
              <w:spacing w:before="0" w:after="0" w:line="276" w:lineRule="auto"/>
              <w:jc w:val="left"/>
            </w:pPr>
            <w:r>
              <w:rPr>
                <w:rFonts w:ascii="Times New Roman" w:hAnsi="Times New Roman"/>
                <w:b w:val="0"/>
                <w:i w:val="0"/>
                <w:sz w:val="19"/>
              </w:rPr>
              <w:t>EHR</w:t>
            </w:r>
          </w:p>
        </w:tc>
        <w:tc>
          <w:tcPr>
            <w:tcW w:type="dxa" w:w="6336"/>
            <w:shd w:fill="F8F9FA"/>
            <w:tcMar>
              <w:top w:w="100" w:type="dxa"/>
              <w:bottom w:w="100" w:type="dxa"/>
              <w:left w:w="150" w:type="dxa"/>
              <w:right w:w="150" w:type="dxa"/>
            </w:tcMar>
          </w:tcPr>
          <w:p>
            <w:pPr>
              <w:spacing w:before="0" w:after="0" w:line="276" w:lineRule="auto"/>
              <w:jc w:val="left"/>
            </w:pPr>
            <w:r>
              <w:rPr>
                <w:rFonts w:ascii="Times New Roman" w:hAnsi="Times New Roman"/>
                <w:b w:val="0"/>
                <w:i w:val="0"/>
                <w:sz w:val="19"/>
              </w:rPr>
              <w:t>Electronic Health Record</w:t>
            </w:r>
          </w:p>
        </w:tc>
      </w:tr>
      <w:tr>
        <w:tc>
          <w:tcPr>
            <w:tcW w:type="dxa" w:w="2592"/>
            <w:tcMar>
              <w:top w:w="100" w:type="dxa"/>
              <w:bottom w:w="100" w:type="dxa"/>
              <w:left w:w="150" w:type="dxa"/>
              <w:right w:w="150" w:type="dxa"/>
            </w:tcMar>
          </w:tcPr>
          <w:p>
            <w:pPr>
              <w:spacing w:before="0" w:after="0" w:line="276" w:lineRule="auto"/>
              <w:jc w:val="left"/>
            </w:pPr>
            <w:r>
              <w:rPr>
                <w:rFonts w:ascii="Times New Roman" w:hAnsi="Times New Roman"/>
                <w:b w:val="0"/>
                <w:i w:val="0"/>
                <w:sz w:val="19"/>
              </w:rPr>
              <w:t>FDA</w:t>
            </w:r>
          </w:p>
        </w:tc>
        <w:tc>
          <w:tcPr>
            <w:tcW w:type="dxa" w:w="6336"/>
            <w:tcMar>
              <w:top w:w="100" w:type="dxa"/>
              <w:bottom w:w="100" w:type="dxa"/>
              <w:left w:w="150" w:type="dxa"/>
              <w:right w:w="150" w:type="dxa"/>
            </w:tcMar>
          </w:tcPr>
          <w:p>
            <w:pPr>
              <w:spacing w:before="0" w:after="0" w:line="276" w:lineRule="auto"/>
              <w:jc w:val="left"/>
            </w:pPr>
            <w:r>
              <w:rPr>
                <w:rFonts w:ascii="Times New Roman" w:hAnsi="Times New Roman"/>
                <w:b w:val="0"/>
                <w:i w:val="0"/>
                <w:sz w:val="19"/>
              </w:rPr>
              <w:t>Food and Drug Administration (United States)</w:t>
            </w:r>
          </w:p>
        </w:tc>
      </w:tr>
      <w:tr>
        <w:tc>
          <w:tcPr>
            <w:tcW w:type="dxa" w:w="2592"/>
            <w:shd w:fill="F8F9FA"/>
            <w:tcMar>
              <w:top w:w="100" w:type="dxa"/>
              <w:bottom w:w="100" w:type="dxa"/>
              <w:left w:w="150" w:type="dxa"/>
              <w:right w:w="150" w:type="dxa"/>
            </w:tcMar>
          </w:tcPr>
          <w:p>
            <w:pPr>
              <w:spacing w:before="0" w:after="0" w:line="276" w:lineRule="auto"/>
              <w:jc w:val="left"/>
            </w:pPr>
            <w:r>
              <w:rPr>
                <w:rFonts w:ascii="Times New Roman" w:hAnsi="Times New Roman"/>
                <w:b w:val="0"/>
                <w:i w:val="0"/>
                <w:sz w:val="19"/>
              </w:rPr>
              <w:t>WHO</w:t>
            </w:r>
          </w:p>
        </w:tc>
        <w:tc>
          <w:tcPr>
            <w:tcW w:type="dxa" w:w="6336"/>
            <w:shd w:fill="F8F9FA"/>
            <w:tcMar>
              <w:top w:w="100" w:type="dxa"/>
              <w:bottom w:w="100" w:type="dxa"/>
              <w:left w:w="150" w:type="dxa"/>
              <w:right w:w="150" w:type="dxa"/>
            </w:tcMar>
          </w:tcPr>
          <w:p>
            <w:pPr>
              <w:spacing w:before="0" w:after="0" w:line="276" w:lineRule="auto"/>
              <w:jc w:val="left"/>
            </w:pPr>
            <w:r>
              <w:rPr>
                <w:rFonts w:ascii="Times New Roman" w:hAnsi="Times New Roman"/>
                <w:b w:val="0"/>
                <w:i w:val="0"/>
                <w:sz w:val="19"/>
              </w:rPr>
              <w:t>World Health Organization</w:t>
            </w:r>
          </w:p>
        </w:tc>
      </w:tr>
      <w:tr>
        <w:tc>
          <w:tcPr>
            <w:tcW w:type="dxa" w:w="2592"/>
            <w:tcMar>
              <w:top w:w="100" w:type="dxa"/>
              <w:bottom w:w="100" w:type="dxa"/>
              <w:left w:w="150" w:type="dxa"/>
              <w:right w:w="150" w:type="dxa"/>
            </w:tcMar>
          </w:tcPr>
          <w:p>
            <w:pPr>
              <w:spacing w:before="0" w:after="0" w:line="276" w:lineRule="auto"/>
              <w:jc w:val="left"/>
            </w:pPr>
            <w:r>
              <w:rPr>
                <w:rFonts w:ascii="Times New Roman" w:hAnsi="Times New Roman"/>
                <w:b w:val="0"/>
                <w:i w:val="0"/>
                <w:sz w:val="19"/>
              </w:rPr>
              <w:t>SNF</w:t>
            </w:r>
          </w:p>
        </w:tc>
        <w:tc>
          <w:tcPr>
            <w:tcW w:type="dxa" w:w="6336"/>
            <w:tcMar>
              <w:top w:w="100" w:type="dxa"/>
              <w:bottom w:w="100" w:type="dxa"/>
              <w:left w:w="150" w:type="dxa"/>
              <w:right w:w="150" w:type="dxa"/>
            </w:tcMar>
          </w:tcPr>
          <w:p>
            <w:pPr>
              <w:spacing w:before="0" w:after="0" w:line="276" w:lineRule="auto"/>
              <w:jc w:val="left"/>
            </w:pPr>
            <w:r>
              <w:rPr>
                <w:rFonts w:ascii="Times New Roman" w:hAnsi="Times New Roman"/>
                <w:b w:val="0"/>
                <w:i w:val="0"/>
                <w:sz w:val="19"/>
              </w:rPr>
              <w:t>Similarity Network Fusion</w:t>
            </w:r>
          </w:p>
        </w:tc>
      </w:tr>
      <w:tr>
        <w:tc>
          <w:tcPr>
            <w:tcW w:type="dxa" w:w="2592"/>
            <w:shd w:fill="F8F9FA"/>
            <w:tcMar>
              <w:top w:w="100" w:type="dxa"/>
              <w:bottom w:w="100" w:type="dxa"/>
              <w:left w:w="150" w:type="dxa"/>
              <w:right w:w="150" w:type="dxa"/>
            </w:tcMar>
          </w:tcPr>
          <w:p>
            <w:pPr>
              <w:spacing w:before="0" w:after="0" w:line="276" w:lineRule="auto"/>
              <w:jc w:val="left"/>
            </w:pPr>
            <w:r>
              <w:rPr>
                <w:rFonts w:ascii="Times New Roman" w:hAnsi="Times New Roman"/>
                <w:b w:val="0"/>
                <w:i w:val="0"/>
                <w:sz w:val="19"/>
              </w:rPr>
              <w:t>GPU</w:t>
            </w:r>
          </w:p>
        </w:tc>
        <w:tc>
          <w:tcPr>
            <w:tcW w:type="dxa" w:w="6336"/>
            <w:shd w:fill="F8F9FA"/>
            <w:tcMar>
              <w:top w:w="100" w:type="dxa"/>
              <w:bottom w:w="100" w:type="dxa"/>
              <w:left w:w="150" w:type="dxa"/>
              <w:right w:w="150" w:type="dxa"/>
            </w:tcMar>
          </w:tcPr>
          <w:p>
            <w:pPr>
              <w:spacing w:before="0" w:after="0" w:line="276" w:lineRule="auto"/>
              <w:jc w:val="left"/>
            </w:pPr>
            <w:r>
              <w:rPr>
                <w:rFonts w:ascii="Times New Roman" w:hAnsi="Times New Roman"/>
                <w:b w:val="0"/>
                <w:i w:val="0"/>
                <w:sz w:val="19"/>
              </w:rPr>
              <w:t>Graphics Processing Unit</w:t>
            </w:r>
          </w:p>
        </w:tc>
      </w:tr>
    </w:tbl>
    <w:p>
      <w:pPr>
        <w:spacing w:before="0" w:after="160"/>
      </w:pPr>
    </w:p>
    <w:p>
      <w:pPr>
        <w:sectPr>
          <w:pgSz w:w="11909" w:h="16834"/>
          <w:pgMar w:top="1440" w:right="1440" w:bottom="1440" w:left="2160" w:header="720" w:footer="720" w:gutter="0"/>
          <w:cols w:space="720"/>
          <w:docGrid w:linePitch="360"/>
          <w:pgNumType w:fmt="lowerRoman" w:start="1"/>
        </w:sectPr>
      </w:pPr>
    </w:p>
    <w:p>
      <w:pPr>
        <w:spacing w:before="360" w:after="80" w:line="240" w:lineRule="auto"/>
        <w:jc w:val="center"/>
      </w:pPr>
      <w:r>
        <w:rPr>
          <w:rFonts w:ascii="Times New Roman" w:hAnsi="Times New Roman"/>
          <w:b/>
          <w:i w:val="0"/>
          <w:sz w:val="32"/>
        </w:rPr>
        <w:t>CHAPTER 1</w:t>
        <w:br/>
      </w:r>
      <w:r>
        <w:rPr>
          <w:rFonts w:ascii="Times New Roman" w:hAnsi="Times New Roman"/>
          <w:b/>
          <w:i w:val="0"/>
          <w:sz w:val="32"/>
        </w:rPr>
        <w:t>INTRODUCTION</w:t>
      </w:r>
    </w:p>
    <w:p>
      <w:pPr>
        <w:spacing w:before="0" w:after="240"/>
      </w:pPr>
    </w:p>
    <w:p>
      <w:pPr>
        <w:spacing w:before="280" w:after="80" w:line="276" w:lineRule="auto"/>
        <w:jc w:val="left"/>
      </w:pPr>
      <w:r>
        <w:rPr>
          <w:rFonts w:ascii="Times New Roman" w:hAnsi="Times New Roman"/>
          <w:b/>
          <w:i w:val="0"/>
          <w:sz w:val="28"/>
        </w:rPr>
        <w:t>1.1 CLINICAL BACKGROUND AND POLYPHARMACY CONTEXT</w:t>
      </w:r>
    </w:p>
    <w:p>
      <w:pPr>
        <w:spacing w:before="0" w:after="120" w:line="360" w:lineRule="auto"/>
        <w:jc w:val="both"/>
      </w:pPr>
      <w:r>
        <w:rPr>
          <w:rFonts w:ascii="Times New Roman" w:hAnsi="Times New Roman"/>
          <w:b w:val="0"/>
          <w:i w:val="0"/>
          <w:sz w:val="24"/>
        </w:rPr>
        <w:t>In contemporary clinical medicine, multi-morbidity—the coexistence of two or more chronic medical conditions in a single individual—has become the rule rather than the exception. Diseases such as hypertension, type 2 diabetes mellitus, chronic kidney disease, ischemic heart disease, and osteoarthritis frequently co-occur in the elderly population. Consequently, clinicians routinely prescribe multiple therapeutic agents simultaneously to address intersecting pathologies. This clinical practice, known as polypharmacy (conventionally defined as the routine concurrent use of five or more medications, or hyperpolypharmacy for ten or more medications), has expanded exponentially across global healthcare systems over the past two decades.</w:t>
      </w:r>
    </w:p>
    <w:p>
      <w:pPr>
        <w:spacing w:before="0" w:after="120" w:line="360" w:lineRule="auto"/>
        <w:jc w:val="both"/>
      </w:pPr>
      <w:r>
        <w:rPr>
          <w:rFonts w:ascii="Times New Roman" w:hAnsi="Times New Roman"/>
          <w:b w:val="0"/>
          <w:i w:val="0"/>
          <w:sz w:val="24"/>
        </w:rPr>
        <w:t>While polypharmacy is clinically indispensable for managing complex, multi-system disorders, it introduces severe unintended risks. The simultaneous circulation of multiple bioactive compounds dramatically elevates the hazard of Drug–Drug Interactions (DDIs) and Adverse Drug Reactions (ADRs). In the United States alone, the Centers for Disease Control and Prevention (CDC) estimates that over 10% of the entire population and more than 20% of adults aged 65 and older take ten or more prescription medications concurrently. Epidemiological investigations demonstrate that adverse drug events arising from multi-drug interactions contribute to over 195,000 hospitalizations and 74,000 emergency department admissions annually in the United States, imposing an economic burden exceeding $177 billion each year in preventable medical expenditures.</w:t>
      </w:r>
    </w:p>
    <w:tbl>
      <w:tblPr>
        <w:tblW w:type="auto" w:w="0"/>
        <w:jc w:val="center"/>
        <w:tblLook w:firstColumn="1" w:firstRow="1" w:lastColumn="0" w:lastRow="0" w:noHBand="0" w:noVBand="1" w:val="04A0"/>
        <w:tblBorders>
          <w:top w:val="single" w:sz="4" w:space="0" w:color="B0BEC5"/>
          <w:bottom w:val="single" w:sz="4" w:space="0" w:color="B0BEC5"/>
          <w:left w:val="none"/>
          <w:right w:val="none"/>
          <w:insideH w:val="single" w:sz="4" w:space="0" w:color="B0BEC5"/>
          <w:insideV w:val="none"/>
        </w:tblBorders>
      </w:tblPr>
      <w:tblGrid>
        <w:gridCol w:w="2770"/>
        <w:gridCol w:w="2770"/>
        <w:gridCol w:w="2770"/>
      </w:tblGrid>
      <w:tr>
        <w:tc>
          <w:tcPr>
            <w:tcW w:type="dxa" w:w="4032"/>
            <w:shd w:fill="1B365D"/>
            <w:tcMar>
              <w:top w:w="140" w:type="dxa"/>
              <w:bottom w:w="140" w:type="dxa"/>
              <w:left w:w="160" w:type="dxa"/>
              <w:right w:w="160" w:type="dxa"/>
            </w:tcMar>
          </w:tcPr>
          <w:p>
            <w:pPr>
              <w:spacing w:before="0" w:after="0" w:line="240" w:lineRule="auto"/>
              <w:jc w:val="center"/>
            </w:pPr>
            <w:r>
              <w:rPr>
                <w:rFonts w:ascii="Times New Roman" w:hAnsi="Times New Roman"/>
                <w:b/>
                <w:i w:val="0"/>
                <w:color w:val="FFFFFF"/>
                <w:sz w:val="20"/>
              </w:rPr>
              <w:t>Epidemiological Metric</w:t>
            </w:r>
          </w:p>
        </w:tc>
        <w:tc>
          <w:tcPr>
            <w:tcW w:type="dxa" w:w="2016"/>
            <w:shd w:fill="1B365D"/>
            <w:tcMar>
              <w:top w:w="140" w:type="dxa"/>
              <w:bottom w:w="140" w:type="dxa"/>
              <w:left w:w="160" w:type="dxa"/>
              <w:right w:w="160" w:type="dxa"/>
            </w:tcMar>
          </w:tcPr>
          <w:p>
            <w:pPr>
              <w:spacing w:before="0" w:after="0" w:line="240" w:lineRule="auto"/>
              <w:jc w:val="center"/>
            </w:pPr>
            <w:r>
              <w:rPr>
                <w:rFonts w:ascii="Times New Roman" w:hAnsi="Times New Roman"/>
                <w:b/>
                <w:i w:val="0"/>
                <w:color w:val="FFFFFF"/>
                <w:sz w:val="20"/>
              </w:rPr>
              <w:t>Reported Value</w:t>
            </w:r>
          </w:p>
        </w:tc>
        <w:tc>
          <w:tcPr>
            <w:tcW w:type="dxa" w:w="2880"/>
            <w:shd w:fill="1B365D"/>
            <w:tcMar>
              <w:top w:w="140" w:type="dxa"/>
              <w:bottom w:w="140" w:type="dxa"/>
              <w:left w:w="160" w:type="dxa"/>
              <w:right w:w="160" w:type="dxa"/>
            </w:tcMar>
          </w:tcPr>
          <w:p>
            <w:pPr>
              <w:spacing w:before="0" w:after="0" w:line="240" w:lineRule="auto"/>
              <w:jc w:val="center"/>
            </w:pPr>
            <w:r>
              <w:rPr>
                <w:rFonts w:ascii="Times New Roman" w:hAnsi="Times New Roman"/>
                <w:b/>
                <w:i w:val="0"/>
                <w:color w:val="FFFFFF"/>
                <w:sz w:val="20"/>
              </w:rPr>
              <w:t>Authoritative Clinical Reference</w:t>
            </w:r>
          </w:p>
        </w:tc>
      </w:tr>
      <w:tr>
        <w:tc>
          <w:tcPr>
            <w:tcW w:type="dxa" w:w="4032"/>
            <w:tcMar>
              <w:top w:w="100" w:type="dxa"/>
              <w:bottom w:w="100" w:type="dxa"/>
              <w:left w:w="150" w:type="dxa"/>
              <w:right w:w="150" w:type="dxa"/>
            </w:tcMar>
          </w:tcPr>
          <w:p>
            <w:pPr>
              <w:spacing w:before="0" w:after="0" w:line="276" w:lineRule="auto"/>
              <w:jc w:val="left"/>
            </w:pPr>
            <w:r>
              <w:rPr>
                <w:rFonts w:ascii="Times New Roman" w:hAnsi="Times New Roman"/>
                <w:b w:val="0"/>
                <w:i w:val="0"/>
                <w:sz w:val="19"/>
              </w:rPr>
              <w:t>U.S. population taking ≥ 5 prescription drugs</w:t>
            </w:r>
          </w:p>
        </w:tc>
        <w:tc>
          <w:tcPr>
            <w:tcW w:type="dxa" w:w="2016"/>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10.7%</w:t>
            </w:r>
          </w:p>
        </w:tc>
        <w:tc>
          <w:tcPr>
            <w:tcW w:type="dxa" w:w="2880"/>
            <w:tcMar>
              <w:top w:w="100" w:type="dxa"/>
              <w:bottom w:w="100" w:type="dxa"/>
              <w:left w:w="150" w:type="dxa"/>
              <w:right w:w="150" w:type="dxa"/>
            </w:tcMar>
          </w:tcPr>
          <w:p>
            <w:pPr>
              <w:spacing w:before="0" w:after="0" w:line="276" w:lineRule="auto"/>
              <w:jc w:val="left"/>
            </w:pPr>
            <w:r>
              <w:rPr>
                <w:rFonts w:ascii="Times New Roman" w:hAnsi="Times New Roman"/>
                <w:b w:val="0"/>
                <w:i w:val="0"/>
                <w:sz w:val="19"/>
              </w:rPr>
              <w:t>Centers for Disease Control &amp; Prevention (CDC)</w:t>
            </w:r>
          </w:p>
        </w:tc>
      </w:tr>
      <w:tr>
        <w:tc>
          <w:tcPr>
            <w:tcW w:type="dxa" w:w="4032"/>
            <w:shd w:fill="F8F9FA"/>
            <w:tcMar>
              <w:top w:w="100" w:type="dxa"/>
              <w:bottom w:w="100" w:type="dxa"/>
              <w:left w:w="150" w:type="dxa"/>
              <w:right w:w="150" w:type="dxa"/>
            </w:tcMar>
          </w:tcPr>
          <w:p>
            <w:pPr>
              <w:spacing w:before="0" w:after="0" w:line="276" w:lineRule="auto"/>
              <w:jc w:val="left"/>
            </w:pPr>
            <w:r>
              <w:rPr>
                <w:rFonts w:ascii="Times New Roman" w:hAnsi="Times New Roman"/>
                <w:b w:val="0"/>
                <w:i w:val="0"/>
                <w:sz w:val="19"/>
              </w:rPr>
              <w:t>Geriatric population (≥ 65 yrs) taking ≥ 10 drugs</w:t>
            </w:r>
          </w:p>
        </w:tc>
        <w:tc>
          <w:tcPr>
            <w:tcW w:type="dxa" w:w="2016"/>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20.4%</w:t>
            </w:r>
          </w:p>
        </w:tc>
        <w:tc>
          <w:tcPr>
            <w:tcW w:type="dxa" w:w="2880"/>
            <w:shd w:fill="F8F9FA"/>
            <w:tcMar>
              <w:top w:w="100" w:type="dxa"/>
              <w:bottom w:w="100" w:type="dxa"/>
              <w:left w:w="150" w:type="dxa"/>
              <w:right w:w="150" w:type="dxa"/>
            </w:tcMar>
          </w:tcPr>
          <w:p>
            <w:pPr>
              <w:spacing w:before="0" w:after="0" w:line="276" w:lineRule="auto"/>
              <w:jc w:val="left"/>
            </w:pPr>
            <w:r>
              <w:rPr>
                <w:rFonts w:ascii="Times New Roman" w:hAnsi="Times New Roman"/>
                <w:b w:val="0"/>
                <w:i w:val="0"/>
                <w:sz w:val="19"/>
              </w:rPr>
              <w:t>Centers for Disease Control &amp; Prevention (CDC)</w:t>
            </w:r>
          </w:p>
        </w:tc>
      </w:tr>
      <w:tr>
        <w:tc>
          <w:tcPr>
            <w:tcW w:type="dxa" w:w="4032"/>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Elderly Americans prescribed ≥ 5 daily medications</w:t>
            </w:r>
          </w:p>
        </w:tc>
        <w:tc>
          <w:tcPr>
            <w:tcW w:type="dxa" w:w="2016"/>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67.0%</w:t>
            </w:r>
          </w:p>
        </w:tc>
        <w:tc>
          <w:tcPr>
            <w:tcW w:type="dxa" w:w="2880"/>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Lin et al. (2023), Journal of Medical Systems</w:t>
            </w:r>
          </w:p>
        </w:tc>
      </w:tr>
      <w:tr>
        <w:tc>
          <w:tcPr>
            <w:tcW w:type="dxa" w:w="4032"/>
            <w:shd w:fill="F8F9FA"/>
            <w:tcMar>
              <w:top w:w="100" w:type="dxa"/>
              <w:bottom w:w="100" w:type="dxa"/>
              <w:left w:w="150" w:type="dxa"/>
              <w:right w:w="150" w:type="dxa"/>
            </w:tcMar>
          </w:tcPr>
          <w:p>
            <w:pPr>
              <w:spacing w:before="0" w:after="0" w:line="276" w:lineRule="auto"/>
              <w:jc w:val="left"/>
            </w:pPr>
            <w:r>
              <w:rPr>
                <w:rFonts w:ascii="Times New Roman" w:hAnsi="Times New Roman"/>
                <w:b w:val="0"/>
                <w:i w:val="0"/>
                <w:sz w:val="19"/>
              </w:rPr>
              <w:t>DDI-attributable hospitalizations in elderly</w:t>
            </w:r>
          </w:p>
        </w:tc>
        <w:tc>
          <w:tcPr>
            <w:tcW w:type="dxa" w:w="2016"/>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4.8% (8.4× general pop)</w:t>
            </w:r>
          </w:p>
        </w:tc>
        <w:tc>
          <w:tcPr>
            <w:tcW w:type="dxa" w:w="2880"/>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Becker et al. (2007), British Journal of Clinical Pharmacology</w:t>
            </w:r>
          </w:p>
        </w:tc>
      </w:tr>
      <w:tr>
        <w:tc>
          <w:tcPr>
            <w:tcW w:type="dxa" w:w="4032"/>
            <w:tcMar>
              <w:top w:w="100" w:type="dxa"/>
              <w:bottom w:w="100" w:type="dxa"/>
              <w:left w:w="150" w:type="dxa"/>
              <w:right w:w="150" w:type="dxa"/>
            </w:tcMar>
          </w:tcPr>
          <w:p>
            <w:pPr>
              <w:spacing w:before="0" w:after="0" w:line="276" w:lineRule="auto"/>
              <w:jc w:val="left"/>
            </w:pPr>
            <w:r>
              <w:rPr>
                <w:rFonts w:ascii="Times New Roman" w:hAnsi="Times New Roman"/>
                <w:b w:val="0"/>
                <w:i w:val="0"/>
                <w:sz w:val="19"/>
              </w:rPr>
              <w:t>Annual U.S. healthcare expenditures from DDIs</w:t>
            </w:r>
          </w:p>
        </w:tc>
        <w:tc>
          <w:tcPr>
            <w:tcW w:type="dxa" w:w="2016"/>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$177 Billion</w:t>
            </w:r>
          </w:p>
        </w:tc>
        <w:tc>
          <w:tcPr>
            <w:tcW w:type="dxa" w:w="2880"/>
            <w:tcMar>
              <w:top w:w="100" w:type="dxa"/>
              <w:bottom w:w="100" w:type="dxa"/>
              <w:left w:w="150" w:type="dxa"/>
              <w:right w:w="150" w:type="dxa"/>
            </w:tcMar>
          </w:tcPr>
          <w:p>
            <w:pPr>
              <w:spacing w:before="0" w:after="0" w:line="276" w:lineRule="auto"/>
              <w:jc w:val="left"/>
            </w:pPr>
            <w:r>
              <w:rPr>
                <w:rFonts w:ascii="Times New Roman" w:hAnsi="Times New Roman"/>
                <w:b w:val="0"/>
                <w:i w:val="0"/>
                <w:sz w:val="19"/>
              </w:rPr>
              <w:t>Giacomini et al. (2007), Nature Reviews Drug Discovery</w:t>
            </w:r>
          </w:p>
        </w:tc>
      </w:tr>
      <w:tr>
        <w:tc>
          <w:tcPr>
            <w:tcW w:type="dxa" w:w="4032"/>
            <w:shd w:fill="F8F9FA"/>
            <w:tcMar>
              <w:top w:w="100" w:type="dxa"/>
              <w:bottom w:w="100" w:type="dxa"/>
              <w:left w:w="150" w:type="dxa"/>
              <w:right w:w="150" w:type="dxa"/>
            </w:tcMar>
          </w:tcPr>
          <w:p>
            <w:pPr>
              <w:spacing w:before="0" w:after="0" w:line="276" w:lineRule="auto"/>
              <w:jc w:val="left"/>
            </w:pPr>
            <w:r>
              <w:rPr>
                <w:rFonts w:ascii="Times New Roman" w:hAnsi="Times New Roman"/>
                <w:b w:val="0"/>
                <w:i w:val="0"/>
                <w:sz w:val="19"/>
              </w:rPr>
              <w:t>Annual emergency room visits attributable to DDIs</w:t>
            </w:r>
          </w:p>
        </w:tc>
        <w:tc>
          <w:tcPr>
            <w:tcW w:type="dxa" w:w="2016"/>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74,000 Admissions</w:t>
            </w:r>
          </w:p>
        </w:tc>
        <w:tc>
          <w:tcPr>
            <w:tcW w:type="dxa" w:w="2880"/>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Peng &amp; Ning (2019), BMC Bioinformatics</w:t>
            </w:r>
          </w:p>
        </w:tc>
      </w:tr>
    </w:tbl>
    <w:p>
      <w:pPr>
        <w:spacing w:before="0" w:after="160"/>
      </w:pPr>
    </w:p>
    <w:p>
      <w:pPr>
        <w:spacing w:before="280" w:after="80" w:line="276" w:lineRule="auto"/>
        <w:jc w:val="left"/>
      </w:pPr>
      <w:r>
        <w:rPr>
          <w:rFonts w:ascii="Times New Roman" w:hAnsi="Times New Roman"/>
          <w:b/>
          <w:i w:val="0"/>
          <w:sz w:val="28"/>
        </w:rPr>
        <w:t>1.2 COMBINATORIAL COMPLEXITY OF MULTI-DRUG REGIMENS</w:t>
      </w:r>
    </w:p>
    <w:p>
      <w:pPr>
        <w:spacing w:before="0" w:after="120" w:line="360" w:lineRule="auto"/>
        <w:jc w:val="both"/>
      </w:pPr>
      <w:r>
        <w:rPr>
          <w:rFonts w:ascii="Times New Roman" w:hAnsi="Times New Roman"/>
          <w:b w:val="0"/>
          <w:i w:val="0"/>
          <w:sz w:val="24"/>
        </w:rPr>
        <w:t>A fundamental mathematical reality governs polypharmacy: as the number of concurrent drugs in a patient's regimen increases linearly, the combinatorial space of potential pharmacological interactions grows exponentially. For a prescription regimen containing k drugs, the total number of non-empty subsets of size at least two is given by:</w:t>
      </w:r>
    </w:p>
    <w:p>
      <w:pPr>
        <w:spacing w:before="80" w:after="120" w:line="360" w:lineRule="auto"/>
        <w:jc w:val="center"/>
      </w:pPr>
      <w:r>
        <w:rPr>
          <w:rFonts w:ascii="Times New Roman" w:hAnsi="Times New Roman"/>
          <w:b/>
          <w:i w:val="0"/>
          <w:sz w:val="24"/>
        </w:rPr>
        <w:t>Total Higher-Order Interactions = \sum_{m=2}^{k} \binom{k}{m} = 2^k - k - 1</w:t>
      </w:r>
    </w:p>
    <w:p>
      <w:pPr>
        <w:spacing w:before="0" w:after="120" w:line="360" w:lineRule="auto"/>
        <w:jc w:val="both"/>
      </w:pPr>
      <w:r>
        <w:rPr>
          <w:rFonts w:ascii="Times New Roman" w:hAnsi="Times New Roman"/>
          <w:b w:val="0"/>
          <w:i w:val="0"/>
          <w:sz w:val="24"/>
        </w:rPr>
        <w:t>While a 2-drug therapy yields exactly one pairwise interaction, a 5-drug regimen generates 10 pairwise interactions, 10 three-way interactions, 5 four-way interactions, and 1 five-way interaction—yielding 26 total distinct interactive configurations. In hyperpolypharmacy involving 10 drugs, this explodes to 45 pairwise combinations and 968 higher-order combinations (totaling 1,013 distinct sub-combinations). When 15 medications are prescribed (a scenario frequently observed in intensive care and oncology wards), the patient is exposed to 105 pairwise interactions and 32,641 higher-order combinations. Exhaustive wet-lab testing or clinical trial evaluation of these astronomical combinations is biologically and economically impossible.</w:t>
      </w:r>
    </w:p>
    <w:tbl>
      <w:tblPr>
        <w:tblW w:type="auto" w:w="0"/>
        <w:jc w:val="center"/>
        <w:tblLook w:firstColumn="1" w:firstRow="1" w:lastColumn="0" w:lastRow="0" w:noHBand="0" w:noVBand="1" w:val="04A0"/>
        <w:tblBorders>
          <w:top w:val="single" w:sz="4" w:space="0" w:color="B0BEC5"/>
          <w:bottom w:val="single" w:sz="4" w:space="0" w:color="B0BEC5"/>
          <w:left w:val="none"/>
          <w:right w:val="none"/>
          <w:insideH w:val="single" w:sz="4" w:space="0" w:color="B0BEC5"/>
          <w:insideV w:val="none"/>
        </w:tblBorders>
      </w:tblPr>
      <w:tblGrid>
        <w:gridCol w:w="1385"/>
        <w:gridCol w:w="1385"/>
        <w:gridCol w:w="1385"/>
        <w:gridCol w:w="1385"/>
        <w:gridCol w:w="1385"/>
        <w:gridCol w:w="1385"/>
      </w:tblGrid>
      <w:tr>
        <w:tc>
          <w:tcPr>
            <w:tcW w:type="dxa" w:w="1728"/>
            <w:shd w:fill="1B365D"/>
            <w:tcMar>
              <w:top w:w="140" w:type="dxa"/>
              <w:bottom w:w="140" w:type="dxa"/>
              <w:left w:w="160" w:type="dxa"/>
              <w:right w:w="160" w:type="dxa"/>
            </w:tcMar>
          </w:tcPr>
          <w:p>
            <w:pPr>
              <w:spacing w:before="0" w:after="0" w:line="240" w:lineRule="auto"/>
              <w:jc w:val="center"/>
            </w:pPr>
            <w:r>
              <w:rPr>
                <w:rFonts w:ascii="Times New Roman" w:hAnsi="Times New Roman"/>
                <w:b/>
                <w:i w:val="0"/>
                <w:color w:val="FFFFFF"/>
                <w:sz w:val="20"/>
              </w:rPr>
              <w:t>Drugs Prescribed (k)</w:t>
            </w:r>
          </w:p>
        </w:tc>
        <w:tc>
          <w:tcPr>
            <w:tcW w:type="dxa" w:w="1440"/>
            <w:shd w:fill="1B365D"/>
            <w:tcMar>
              <w:top w:w="140" w:type="dxa"/>
              <w:bottom w:w="140" w:type="dxa"/>
              <w:left w:w="160" w:type="dxa"/>
              <w:right w:w="160" w:type="dxa"/>
            </w:tcMar>
          </w:tcPr>
          <w:p>
            <w:pPr>
              <w:spacing w:before="0" w:after="0" w:line="240" w:lineRule="auto"/>
              <w:jc w:val="center"/>
            </w:pPr>
            <w:r>
              <w:rPr>
                <w:rFonts w:ascii="Times New Roman" w:hAnsi="Times New Roman"/>
                <w:b/>
                <w:i w:val="0"/>
                <w:color w:val="FFFFFF"/>
                <w:sz w:val="20"/>
              </w:rPr>
              <w:t>Pairwise (m=2)</w:t>
            </w:r>
          </w:p>
        </w:tc>
        <w:tc>
          <w:tcPr>
            <w:tcW w:type="dxa" w:w="1440"/>
            <w:shd w:fill="1B365D"/>
            <w:tcMar>
              <w:top w:w="140" w:type="dxa"/>
              <w:bottom w:w="140" w:type="dxa"/>
              <w:left w:w="160" w:type="dxa"/>
              <w:right w:w="160" w:type="dxa"/>
            </w:tcMar>
          </w:tcPr>
          <w:p>
            <w:pPr>
              <w:spacing w:before="0" w:after="0" w:line="240" w:lineRule="auto"/>
              <w:jc w:val="center"/>
            </w:pPr>
            <w:r>
              <w:rPr>
                <w:rFonts w:ascii="Times New Roman" w:hAnsi="Times New Roman"/>
                <w:b/>
                <w:i w:val="0"/>
                <w:color w:val="FFFFFF"/>
                <w:sz w:val="20"/>
              </w:rPr>
              <w:t>3-Way (m=3)</w:t>
            </w:r>
          </w:p>
        </w:tc>
        <w:tc>
          <w:tcPr>
            <w:tcW w:type="dxa" w:w="1440"/>
            <w:shd w:fill="1B365D"/>
            <w:tcMar>
              <w:top w:w="140" w:type="dxa"/>
              <w:bottom w:w="140" w:type="dxa"/>
              <w:left w:w="160" w:type="dxa"/>
              <w:right w:w="160" w:type="dxa"/>
            </w:tcMar>
          </w:tcPr>
          <w:p>
            <w:pPr>
              <w:spacing w:before="0" w:after="0" w:line="240" w:lineRule="auto"/>
              <w:jc w:val="center"/>
            </w:pPr>
            <w:r>
              <w:rPr>
                <w:rFonts w:ascii="Times New Roman" w:hAnsi="Times New Roman"/>
                <w:b/>
                <w:i w:val="0"/>
                <w:color w:val="FFFFFF"/>
                <w:sz w:val="20"/>
              </w:rPr>
              <w:t>4-Way (m=4)</w:t>
            </w:r>
          </w:p>
        </w:tc>
        <w:tc>
          <w:tcPr>
            <w:tcW w:type="dxa" w:w="1440"/>
            <w:shd w:fill="1B365D"/>
            <w:tcMar>
              <w:top w:w="140" w:type="dxa"/>
              <w:bottom w:w="140" w:type="dxa"/>
              <w:left w:w="160" w:type="dxa"/>
              <w:right w:w="160" w:type="dxa"/>
            </w:tcMar>
          </w:tcPr>
          <w:p>
            <w:pPr>
              <w:spacing w:before="0" w:after="0" w:line="240" w:lineRule="auto"/>
              <w:jc w:val="center"/>
            </w:pPr>
            <w:r>
              <w:rPr>
                <w:rFonts w:ascii="Times New Roman" w:hAnsi="Times New Roman"/>
                <w:b/>
                <w:i w:val="0"/>
                <w:color w:val="FFFFFF"/>
                <w:sz w:val="20"/>
              </w:rPr>
              <w:t>5-Way (m=5)</w:t>
            </w:r>
          </w:p>
        </w:tc>
        <w:tc>
          <w:tcPr>
            <w:tcW w:type="dxa" w:w="1440"/>
            <w:shd w:fill="1B365D"/>
            <w:tcMar>
              <w:top w:w="140" w:type="dxa"/>
              <w:bottom w:w="140" w:type="dxa"/>
              <w:left w:w="160" w:type="dxa"/>
              <w:right w:w="160" w:type="dxa"/>
            </w:tcMar>
          </w:tcPr>
          <w:p>
            <w:pPr>
              <w:spacing w:before="0" w:after="0" w:line="240" w:lineRule="auto"/>
              <w:jc w:val="center"/>
            </w:pPr>
            <w:r>
              <w:rPr>
                <w:rFonts w:ascii="Times New Roman" w:hAnsi="Times New Roman"/>
                <w:b/>
                <w:i w:val="0"/>
                <w:color w:val="FFFFFF"/>
                <w:sz w:val="20"/>
              </w:rPr>
              <w:t>Total Combinations</w:t>
            </w:r>
          </w:p>
        </w:tc>
      </w:tr>
      <w:tr>
        <w:tc>
          <w:tcPr>
            <w:tcW w:type="dxa" w:w="1728"/>
            <w:tcMar>
              <w:top w:w="100" w:type="dxa"/>
              <w:bottom w:w="100" w:type="dxa"/>
              <w:left w:w="150" w:type="dxa"/>
              <w:right w:w="150" w:type="dxa"/>
            </w:tcMar>
          </w:tcPr>
          <w:p>
            <w:pPr>
              <w:spacing w:before="0" w:after="0" w:line="276" w:lineRule="auto"/>
              <w:jc w:val="left"/>
            </w:pPr>
            <w:r>
              <w:rPr>
                <w:rFonts w:ascii="Times New Roman" w:hAnsi="Times New Roman"/>
                <w:b w:val="0"/>
                <w:i w:val="0"/>
                <w:sz w:val="19"/>
              </w:rPr>
              <w:t>2 Drugs</w:t>
            </w:r>
          </w:p>
        </w:tc>
        <w:tc>
          <w:tcPr>
            <w:tcW w:type="dxa" w:w="1440"/>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1</w:t>
            </w:r>
          </w:p>
        </w:tc>
        <w:tc>
          <w:tcPr>
            <w:tcW w:type="dxa" w:w="1440"/>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0</w:t>
            </w:r>
          </w:p>
        </w:tc>
        <w:tc>
          <w:tcPr>
            <w:tcW w:type="dxa" w:w="1440"/>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0</w:t>
            </w:r>
          </w:p>
        </w:tc>
        <w:tc>
          <w:tcPr>
            <w:tcW w:type="dxa" w:w="1440"/>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0</w:t>
            </w:r>
          </w:p>
        </w:tc>
        <w:tc>
          <w:tcPr>
            <w:tcW w:type="dxa" w:w="1440"/>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1</w:t>
            </w:r>
          </w:p>
        </w:tc>
      </w:tr>
      <w:tr>
        <w:tc>
          <w:tcPr>
            <w:tcW w:type="dxa" w:w="1728"/>
            <w:shd w:fill="F8F9FA"/>
            <w:tcMar>
              <w:top w:w="100" w:type="dxa"/>
              <w:bottom w:w="100" w:type="dxa"/>
              <w:left w:w="150" w:type="dxa"/>
              <w:right w:w="150" w:type="dxa"/>
            </w:tcMar>
          </w:tcPr>
          <w:p>
            <w:pPr>
              <w:spacing w:before="0" w:after="0" w:line="276" w:lineRule="auto"/>
              <w:jc w:val="left"/>
            </w:pPr>
            <w:r>
              <w:rPr>
                <w:rFonts w:ascii="Times New Roman" w:hAnsi="Times New Roman"/>
                <w:b w:val="0"/>
                <w:i w:val="0"/>
                <w:sz w:val="19"/>
              </w:rPr>
              <w:t>3 Drugs</w:t>
            </w:r>
          </w:p>
        </w:tc>
        <w:tc>
          <w:tcPr>
            <w:tcW w:type="dxa" w:w="1440"/>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3</w:t>
            </w:r>
          </w:p>
        </w:tc>
        <w:tc>
          <w:tcPr>
            <w:tcW w:type="dxa" w:w="1440"/>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1</w:t>
            </w:r>
          </w:p>
        </w:tc>
        <w:tc>
          <w:tcPr>
            <w:tcW w:type="dxa" w:w="1440"/>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0</w:t>
            </w:r>
          </w:p>
        </w:tc>
        <w:tc>
          <w:tcPr>
            <w:tcW w:type="dxa" w:w="1440"/>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0</w:t>
            </w:r>
          </w:p>
        </w:tc>
        <w:tc>
          <w:tcPr>
            <w:tcW w:type="dxa" w:w="1440"/>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4</w:t>
            </w:r>
          </w:p>
        </w:tc>
      </w:tr>
      <w:tr>
        <w:tc>
          <w:tcPr>
            <w:tcW w:type="dxa" w:w="1728"/>
            <w:tcMar>
              <w:top w:w="100" w:type="dxa"/>
              <w:bottom w:w="100" w:type="dxa"/>
              <w:left w:w="150" w:type="dxa"/>
              <w:right w:w="150" w:type="dxa"/>
            </w:tcMar>
          </w:tcPr>
          <w:p>
            <w:pPr>
              <w:spacing w:before="0" w:after="0" w:line="276" w:lineRule="auto"/>
              <w:jc w:val="left"/>
            </w:pPr>
            <w:r>
              <w:rPr>
                <w:rFonts w:ascii="Times New Roman" w:hAnsi="Times New Roman"/>
                <w:b w:val="0"/>
                <w:i w:val="0"/>
                <w:sz w:val="19"/>
              </w:rPr>
              <w:t>4 Drugs</w:t>
            </w:r>
          </w:p>
        </w:tc>
        <w:tc>
          <w:tcPr>
            <w:tcW w:type="dxa" w:w="1440"/>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6</w:t>
            </w:r>
          </w:p>
        </w:tc>
        <w:tc>
          <w:tcPr>
            <w:tcW w:type="dxa" w:w="1440"/>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4</w:t>
            </w:r>
          </w:p>
        </w:tc>
        <w:tc>
          <w:tcPr>
            <w:tcW w:type="dxa" w:w="1440"/>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1</w:t>
            </w:r>
          </w:p>
        </w:tc>
        <w:tc>
          <w:tcPr>
            <w:tcW w:type="dxa" w:w="1440"/>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0</w:t>
            </w:r>
          </w:p>
        </w:tc>
        <w:tc>
          <w:tcPr>
            <w:tcW w:type="dxa" w:w="1440"/>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11</w:t>
            </w:r>
          </w:p>
        </w:tc>
      </w:tr>
      <w:tr>
        <w:tc>
          <w:tcPr>
            <w:tcW w:type="dxa" w:w="1728"/>
            <w:shd w:fill="F8F9FA"/>
            <w:tcMar>
              <w:top w:w="100" w:type="dxa"/>
              <w:bottom w:w="100" w:type="dxa"/>
              <w:left w:w="150" w:type="dxa"/>
              <w:right w:w="150" w:type="dxa"/>
            </w:tcMar>
          </w:tcPr>
          <w:p>
            <w:pPr>
              <w:spacing w:before="0" w:after="0" w:line="276" w:lineRule="auto"/>
              <w:jc w:val="left"/>
            </w:pPr>
            <w:r>
              <w:rPr>
                <w:rFonts w:ascii="Times New Roman" w:hAnsi="Times New Roman"/>
                <w:b w:val="0"/>
                <w:i w:val="0"/>
                <w:sz w:val="19"/>
              </w:rPr>
              <w:t>5 Drugs</w:t>
            </w:r>
          </w:p>
        </w:tc>
        <w:tc>
          <w:tcPr>
            <w:tcW w:type="dxa" w:w="1440"/>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10</w:t>
            </w:r>
          </w:p>
        </w:tc>
        <w:tc>
          <w:tcPr>
            <w:tcW w:type="dxa" w:w="1440"/>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10</w:t>
            </w:r>
          </w:p>
        </w:tc>
        <w:tc>
          <w:tcPr>
            <w:tcW w:type="dxa" w:w="1440"/>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5</w:t>
            </w:r>
          </w:p>
        </w:tc>
        <w:tc>
          <w:tcPr>
            <w:tcW w:type="dxa" w:w="1440"/>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1</w:t>
            </w:r>
          </w:p>
        </w:tc>
        <w:tc>
          <w:tcPr>
            <w:tcW w:type="dxa" w:w="1440"/>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26</w:t>
            </w:r>
          </w:p>
        </w:tc>
      </w:tr>
      <w:tr>
        <w:tc>
          <w:tcPr>
            <w:tcW w:type="dxa" w:w="1728"/>
            <w:tcMar>
              <w:top w:w="100" w:type="dxa"/>
              <w:bottom w:w="100" w:type="dxa"/>
              <w:left w:w="150" w:type="dxa"/>
              <w:right w:w="150" w:type="dxa"/>
            </w:tcMar>
          </w:tcPr>
          <w:p>
            <w:pPr>
              <w:spacing w:before="0" w:after="0" w:line="276" w:lineRule="auto"/>
              <w:jc w:val="left"/>
            </w:pPr>
            <w:r>
              <w:rPr>
                <w:rFonts w:ascii="Times New Roman" w:hAnsi="Times New Roman"/>
                <w:b w:val="0"/>
                <w:i w:val="0"/>
                <w:sz w:val="19"/>
              </w:rPr>
              <w:t>7 Drugs</w:t>
            </w:r>
          </w:p>
        </w:tc>
        <w:tc>
          <w:tcPr>
            <w:tcW w:type="dxa" w:w="1440"/>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21</w:t>
            </w:r>
          </w:p>
        </w:tc>
        <w:tc>
          <w:tcPr>
            <w:tcW w:type="dxa" w:w="1440"/>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35</w:t>
            </w:r>
          </w:p>
        </w:tc>
        <w:tc>
          <w:tcPr>
            <w:tcW w:type="dxa" w:w="1440"/>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35</w:t>
            </w:r>
          </w:p>
        </w:tc>
        <w:tc>
          <w:tcPr>
            <w:tcW w:type="dxa" w:w="1440"/>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21</w:t>
            </w:r>
          </w:p>
        </w:tc>
        <w:tc>
          <w:tcPr>
            <w:tcW w:type="dxa" w:w="1440"/>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120</w:t>
            </w:r>
          </w:p>
        </w:tc>
      </w:tr>
      <w:tr>
        <w:tc>
          <w:tcPr>
            <w:tcW w:type="dxa" w:w="1728"/>
            <w:shd w:fill="F8F9FA"/>
            <w:tcMar>
              <w:top w:w="100" w:type="dxa"/>
              <w:bottom w:w="100" w:type="dxa"/>
              <w:left w:w="150" w:type="dxa"/>
              <w:right w:w="150" w:type="dxa"/>
            </w:tcMar>
          </w:tcPr>
          <w:p>
            <w:pPr>
              <w:spacing w:before="0" w:after="0" w:line="276" w:lineRule="auto"/>
              <w:jc w:val="left"/>
            </w:pPr>
            <w:r>
              <w:rPr>
                <w:rFonts w:ascii="Times New Roman" w:hAnsi="Times New Roman"/>
                <w:b w:val="0"/>
                <w:i w:val="0"/>
                <w:sz w:val="19"/>
              </w:rPr>
              <w:t>10 Drugs</w:t>
            </w:r>
          </w:p>
        </w:tc>
        <w:tc>
          <w:tcPr>
            <w:tcW w:type="dxa" w:w="1440"/>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45</w:t>
            </w:r>
          </w:p>
        </w:tc>
        <w:tc>
          <w:tcPr>
            <w:tcW w:type="dxa" w:w="1440"/>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120</w:t>
            </w:r>
          </w:p>
        </w:tc>
        <w:tc>
          <w:tcPr>
            <w:tcW w:type="dxa" w:w="1440"/>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210</w:t>
            </w:r>
          </w:p>
        </w:tc>
        <w:tc>
          <w:tcPr>
            <w:tcW w:type="dxa" w:w="1440"/>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252</w:t>
            </w:r>
          </w:p>
        </w:tc>
        <w:tc>
          <w:tcPr>
            <w:tcW w:type="dxa" w:w="1440"/>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1,013</w:t>
            </w:r>
          </w:p>
        </w:tc>
      </w:tr>
      <w:tr>
        <w:tc>
          <w:tcPr>
            <w:tcW w:type="dxa" w:w="1728"/>
            <w:tcMar>
              <w:top w:w="100" w:type="dxa"/>
              <w:bottom w:w="100" w:type="dxa"/>
              <w:left w:w="150" w:type="dxa"/>
              <w:right w:w="150" w:type="dxa"/>
            </w:tcMar>
          </w:tcPr>
          <w:p>
            <w:pPr>
              <w:spacing w:before="0" w:after="0" w:line="276" w:lineRule="auto"/>
              <w:jc w:val="left"/>
            </w:pPr>
            <w:r>
              <w:rPr>
                <w:rFonts w:ascii="Times New Roman" w:hAnsi="Times New Roman"/>
                <w:b w:val="0"/>
                <w:i w:val="0"/>
                <w:sz w:val="19"/>
              </w:rPr>
              <w:t>15 Drugs</w:t>
            </w:r>
          </w:p>
        </w:tc>
        <w:tc>
          <w:tcPr>
            <w:tcW w:type="dxa" w:w="1440"/>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105</w:t>
            </w:r>
          </w:p>
        </w:tc>
        <w:tc>
          <w:tcPr>
            <w:tcW w:type="dxa" w:w="1440"/>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455</w:t>
            </w:r>
          </w:p>
        </w:tc>
        <w:tc>
          <w:tcPr>
            <w:tcW w:type="dxa" w:w="1440"/>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1,365</w:t>
            </w:r>
          </w:p>
        </w:tc>
        <w:tc>
          <w:tcPr>
            <w:tcW w:type="dxa" w:w="1440"/>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3,003</w:t>
            </w:r>
          </w:p>
        </w:tc>
        <w:tc>
          <w:tcPr>
            <w:tcW w:type="dxa" w:w="1440"/>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32,746</w:t>
            </w:r>
          </w:p>
        </w:tc>
      </w:tr>
    </w:tbl>
    <w:p>
      <w:pPr>
        <w:spacing w:before="0" w:after="160"/>
      </w:pPr>
    </w:p>
    <w:p>
      <w:pPr>
        <w:spacing w:before="280" w:after="80" w:line="276" w:lineRule="auto"/>
        <w:jc w:val="left"/>
      </w:pPr>
      <w:r>
        <w:rPr>
          <w:rFonts w:ascii="Times New Roman" w:hAnsi="Times New Roman"/>
          <w:b/>
          <w:i w:val="0"/>
          <w:sz w:val="28"/>
        </w:rPr>
        <w:t>1.3 THE PAIRWISE LIMITATION IN EXISTING COMPUTATIONAL MODELS</w:t>
      </w:r>
    </w:p>
    <w:p>
      <w:pPr>
        <w:spacing w:before="0" w:after="120" w:line="360" w:lineRule="auto"/>
        <w:jc w:val="both"/>
      </w:pPr>
      <w:r>
        <w:rPr>
          <w:rFonts w:ascii="Times New Roman" w:hAnsi="Times New Roman"/>
          <w:b w:val="0"/>
          <w:i w:val="0"/>
          <w:sz w:val="24"/>
        </w:rPr>
        <w:t>Over the past decade, substantial machine learning research has tackled computational DDI prediction. Leading models such as Decagon, DeepDDI, BioChemDDI, AMDE, and SSI-DDI leverage Graph Convolutional Networks (GCNs), Graph Attention Networks (GATs), and Knowledge Graph Embeddings. However, an overwhelming majority (over 95%) of existing benchmarks and algorithms are fundamentally restricted to pairwise (k = 2) interactions.</w:t>
      </w:r>
    </w:p>
    <w:p>
      <w:pPr>
        <w:spacing w:before="0" w:after="120" w:line="360" w:lineRule="auto"/>
        <w:jc w:val="both"/>
      </w:pPr>
      <w:r>
        <w:rPr>
          <w:rFonts w:ascii="Times New Roman" w:hAnsi="Times New Roman"/>
          <w:b w:val="0"/>
          <w:i w:val="0"/>
          <w:sz w:val="24"/>
        </w:rPr>
        <w:t>This pairwise formulation suffers from severe clinical invalidity: higher-order drug interactions are fundamentally non-additive and emergent. The pharmacological consequence of administering Drugs A, B, and C simultaneously cannot be deduced as the simple superposition of independent pairwise effects (A+B, B+C, A+C). For instance, in cardiovascular therapy, combining Aspirin (COX-1 inhibitor) and Clopidogrel (P2Y12 inhibitor) causes manageable antiplatelet synergy. However, the addition of Dabigatran (direct thrombin inhibitor) creates a three-way pharmacological cascade: simultaneous inhibition of primary platelet adhesion, secondary ADP activation, and the final common coagulation pathway. This triggers catastrophic gastrointestinal hemorrhage—an emergent adverse event that cannot be predicted by analyzing the three drug pairs in isolation. Standard graphs, whose edges are strictly pairwise relations, are topologically incapable of representing such multi-agent interactions without lossy clique expansions.</w:t>
      </w:r>
    </w:p>
    <w:p>
      <w:pPr>
        <w:spacing w:before="280" w:after="80" w:line="276" w:lineRule="auto"/>
        <w:jc w:val="left"/>
      </w:pPr>
      <w:r>
        <w:rPr>
          <w:rFonts w:ascii="Times New Roman" w:hAnsi="Times New Roman"/>
          <w:b/>
          <w:i w:val="0"/>
          <w:sz w:val="28"/>
        </w:rPr>
        <w:t>1.4 THE LABEL CONTRADICTION PROBLEM IN PRIOR HYPERGRAPHS</w:t>
      </w:r>
    </w:p>
    <w:p>
      <w:pPr>
        <w:spacing w:before="0" w:after="120" w:line="360" w:lineRule="auto"/>
        <w:jc w:val="both"/>
      </w:pPr>
      <w:r>
        <w:rPr>
          <w:rFonts w:ascii="Times New Roman" w:hAnsi="Times New Roman"/>
          <w:b w:val="0"/>
          <w:i w:val="0"/>
          <w:sz w:val="24"/>
        </w:rPr>
        <w:t>Recently, hypergraph neural networks (such as HGNN-SA proposed by Wang et al., 2025) have emerged to address higher-order combinations. A hypergraph generalizes standard graphs by defining hyperedges that connect an arbitrary number of nodes simultaneously, naturally matching multi-drug prescriptions. However, our investigation identifies a fatal methodological flaw in existing hypergraph DDI models: the omission of the queried adverse reaction identity.</w:t>
      </w:r>
    </w:p>
    <w:p>
      <w:pPr>
        <w:spacing w:before="0" w:after="120" w:line="360" w:lineRule="auto"/>
        <w:jc w:val="both"/>
      </w:pPr>
      <w:r>
        <w:rPr>
          <w:rFonts w:ascii="Times New Roman" w:hAnsi="Times New Roman"/>
          <w:b w:val="0"/>
          <w:i w:val="0"/>
          <w:sz w:val="24"/>
        </w:rPr>
        <w:t>In conventional hypergraph DDI formulations, the model is supervised with generic binary interaction labels: y in {0, 1}. Under this setup, if patient prescription {D1, D2, D3} causes Gastrointestinal Hemorrhage (a positive clinical report, y = 1), but the exact same prescription does not cause Tendon Rupture (a negative report, y = 0), existing models treat both training instances as the exact same unlabeled hyperedge. Consequently, the identical input vector is assigned conflicting supervision signals (y = 1 and y = 0) within the same training epoch. This phenomenon, which we designate as the Label Contradiction Problem, forces the neural network to minimize loss by learning blurry, uninformative representations that collapse to the prior class distribution. Models trained under this flaw cannot discriminate which specific adverse events a polypharmacy regimen will trigger, severely limiting their clinical utility.</w:t>
      </w:r>
    </w:p>
    <w:p>
      <w:pPr>
        <w:spacing w:before="280" w:after="80" w:line="276" w:lineRule="auto"/>
        <w:jc w:val="left"/>
      </w:pPr>
      <w:r>
        <w:rPr>
          <w:rFonts w:ascii="Times New Roman" w:hAnsi="Times New Roman"/>
          <w:b/>
          <w:i w:val="0"/>
          <w:sz w:val="28"/>
        </w:rPr>
        <w:t>1.5 PROBLEM STATEMENT</w:t>
      </w:r>
    </w:p>
    <w:p>
      <w:pPr>
        <w:spacing w:before="0" w:after="120" w:line="360" w:lineRule="auto"/>
        <w:jc w:val="both"/>
      </w:pPr>
      <w:r>
        <w:rPr>
          <w:rFonts w:ascii="Times New Roman" w:hAnsi="Times New Roman"/>
          <w:b w:val="0"/>
          <w:i w:val="0"/>
          <w:sz w:val="24"/>
        </w:rPr>
        <w:t>Given a patient prescription regimen represented as a multi-drug set e = {d_1, d_2, ..., d_k} containing k concurrent therapeutic agents (where 2 &lt;= k &lt;= 8), and a queried clinical adverse drug event s_e belonging to the vocabulary of 7,350 unique MedDRA Concept Unique Identifiers (CUIs), the objective of this project is to construct an end-to-end differentiable neural architecture that achieves two simultaneous goals:</w:t>
      </w:r>
    </w:p>
    <w:p>
      <w:pPr>
        <w:spacing w:before="80" w:after="200" w:line="312" w:lineRule="auto"/>
        <w:jc w:val="left"/>
      </w:pPr>
      <w:r>
        <w:rPr>
          <w:rFonts w:ascii="Times New Roman" w:hAnsi="Times New Roman"/>
          <w:b w:val="0"/>
          <w:i w:val="0"/>
          <w:sz w:val="23"/>
        </w:rPr>
        <w:t>1. Predictive Discrimination: Compute an accurate probability estimate P(y_{e, s_e} = 1 | e, s_e) indicating whether the concurrent administration of prescription e will trigger the specific adverse reaction s_e, eliminating label contradiction through adverse-event conditioning.</w:t>
        <w:br/>
        <w:t>2. Mechanistic Interpretability: Automatically infer normalized attention importance weights alpha_{e, i}(s_e) for each constituent drug d_i in e such that the attention distribution dynamically shifts to highlight the true pharmacological culprit drug responsible for the queried organ toxicity.</w:t>
        <w:br/>
        <w:t>3. High-Throughput Screening: Enable point-of-care full-spectrum clinical safety screening across all 7,350 adverse events in sub-50-millisecond latency under dual-threshold clinical safety modes.</w:t>
      </w:r>
    </w:p>
    <w:p>
      <w:pPr>
        <w:spacing w:before="280" w:after="80" w:line="276" w:lineRule="auto"/>
        <w:jc w:val="left"/>
      </w:pPr>
      <w:r>
        <w:rPr>
          <w:rFonts w:ascii="Times New Roman" w:hAnsi="Times New Roman"/>
          <w:b/>
          <w:i w:val="0"/>
          <w:sz w:val="28"/>
        </w:rPr>
        <w:t>1.6 OBJECTIVES OF THE PROJECT</w:t>
      </w:r>
    </w:p>
    <w:p>
      <w:pPr>
        <w:spacing w:before="0" w:after="120" w:line="360" w:lineRule="auto"/>
        <w:jc w:val="both"/>
      </w:pPr>
      <w:r>
        <w:rPr>
          <w:rFonts w:ascii="Times New Roman" w:hAnsi="Times New Roman"/>
          <w:b w:val="0"/>
          <w:i w:val="0"/>
          <w:sz w:val="24"/>
        </w:rPr>
        <w:t>The key research and engineering objectives of this project are:</w:t>
      </w:r>
    </w:p>
    <w:p>
      <w:pPr>
        <w:spacing w:before="80" w:after="200" w:line="312" w:lineRule="auto"/>
        <w:jc w:val="left"/>
      </w:pPr>
      <w:r>
        <w:rPr>
          <w:rFonts w:ascii="Times New Roman" w:hAnsi="Times New Roman"/>
          <w:b w:val="0"/>
          <w:i w:val="0"/>
          <w:sz w:val="23"/>
        </w:rPr>
        <w:t>• Objective 1 (Baseline Reproduction): Faithfully implement and train the state-of-the-art HGNN-SA baseline from scratch under a standardized 41-quarter longitudinal split of real-world FDA FAERS adverse event reports to establish an empirical benchmark.</w:t>
        <w:br/>
        <w:t>• Objective 2 (Architectural Innovation - Attention Pooling): Design and integrate a query-key-value attention pooling module into hyperedge aggregation to replace unweighted mean pooling, enabling the network to learn non-uniform drug importance within multi-drug combinations.</w:t>
        <w:br/>
        <w:t>• Objective 3 (Core Innovation - Adverse-Event Conditioning): Formulate Adverse-Event-Conditioned Attention Pooling by projecting biomedical semantic embeddings (SapBERT 768d) into the hyperedge query mechanism, mathematically eliminating the label contradiction problem.</w:t>
        <w:br/>
        <w:t>• Objective 4 (Multimodal Pharmacological Fusion): Develop a multimodal dual-encoder framework that fuses pre-trained ChemBERTa chemical structures (768d) with high-dimensional KEGG pharmacological mechanism profiles (1,024d targets, enzymes, transporters, ATC) with learned gating and autonomous fallback.</w:t>
        <w:br/>
        <w:t>• Objective 5 (Topological Depth Optimization): Conduct a rigorous ablation study on message-passing convolution depth (L in {1, 2, 3, 4} hops) to determine the optimal receptive field and characterize the over-smoothing boundary in hypergraph neural networks.</w:t>
        <w:br/>
        <w:t>• Objective 6 (Statistical Validation): Perform multi-seed robustness evaluations across 7 independent random seeds with paired t-tests to establish statistical significance (p &lt; 0.05) across all evaluation metrics.</w:t>
        <w:br/>
        <w:t>• Objective 7 (Clinical Translation &amp; Screening Engine): Implement a vectorized high-throughput screening engine capable of evaluating arbitrary drug combinations against all 7,350 MedDRA adverse events in &lt; 50 ms with dual-threshold clinical operating modes.</w:t>
      </w:r>
    </w:p>
    <w:p>
      <w:pPr>
        <w:spacing w:before="280" w:after="80" w:line="276" w:lineRule="auto"/>
        <w:jc w:val="left"/>
      </w:pPr>
      <w:r>
        <w:rPr>
          <w:rFonts w:ascii="Times New Roman" w:hAnsi="Times New Roman"/>
          <w:b/>
          <w:i w:val="0"/>
          <w:sz w:val="28"/>
        </w:rPr>
        <w:t>1.7 SCOPE AND SIGNIFICANCE</w:t>
      </w:r>
    </w:p>
    <w:p>
      <w:pPr>
        <w:spacing w:before="0" w:after="120" w:line="360" w:lineRule="auto"/>
        <w:jc w:val="both"/>
      </w:pPr>
      <w:r>
        <w:rPr>
          <w:rFonts w:ascii="Times New Roman" w:hAnsi="Times New Roman"/>
          <w:b w:val="0"/>
          <w:i w:val="0"/>
          <w:sz w:val="24"/>
        </w:rPr>
        <w:t>The scope of this project encompasses computational pharmacovigilance, bioinformatics, and deep learning on graph-structured data. By bridging molecular representation learning with multi-relational clinical epidemiology, HyperAttDDI directly serves hospital electronic health record (EHR) systems, computerized physician order entry (CPOE) platforms, and clinical pharmacology research teams. The system mitigates the pervasive issue of 'alert fatigue' by replacing noisy, uncalibrated binary warnings with fine-grained, condition-specific risk scores accompanied by culprit drug attribution.</w:t>
      </w:r>
    </w:p>
    <w:p>
      <w:pPr>
        <w:spacing w:before="280" w:after="80" w:line="276" w:lineRule="auto"/>
        <w:jc w:val="left"/>
      </w:pPr>
      <w:r>
        <w:rPr>
          <w:rFonts w:ascii="Times New Roman" w:hAnsi="Times New Roman"/>
          <w:b/>
          <w:i w:val="0"/>
          <w:sz w:val="28"/>
        </w:rPr>
        <w:t>1.8 ORGANIZATION OF THE REPORT</w:t>
      </w:r>
    </w:p>
    <w:p>
      <w:pPr>
        <w:spacing w:before="0" w:after="120" w:line="360" w:lineRule="auto"/>
        <w:jc w:val="both"/>
      </w:pPr>
      <w:r>
        <w:rPr>
          <w:rFonts w:ascii="Times New Roman" w:hAnsi="Times New Roman"/>
          <w:b w:val="0"/>
          <w:i w:val="0"/>
          <w:sz w:val="24"/>
        </w:rPr>
        <w:t>The remainder of this report is organized as follows: Chapter 2 delivers a comprehensive literature review of pairwise and higher-order DDI models, synthesizing 24 foundational papers and detailing critical research gaps. Chapter 3 presents the mathematical formulation and theoretical system architecture of HyperAttDDI. Chapter 4 provides the experimental setup, empirical benchmark results across 7 seeds, statistical significance tests, and ablation studies. Chapter 5 explores clinical interpretability through real-world polypharmacy case studies and details the high-throughput screening engine. Chapter 6 concludes the report with a discussion of contributions, limitations, and future research directions.</w:t>
      </w:r>
    </w:p>
    <w:p>
      <w:r>
        <w:br w:type="page"/>
      </w:r>
    </w:p>
    <w:p>
      <w:pPr>
        <w:spacing w:before="360" w:after="80" w:line="240" w:lineRule="auto"/>
        <w:jc w:val="center"/>
      </w:pPr>
      <w:r>
        <w:rPr>
          <w:rFonts w:ascii="Times New Roman" w:hAnsi="Times New Roman"/>
          <w:b/>
          <w:i w:val="0"/>
          <w:sz w:val="32"/>
        </w:rPr>
        <w:t>CHAPTER 2</w:t>
        <w:br/>
      </w:r>
      <w:r>
        <w:rPr>
          <w:rFonts w:ascii="Times New Roman" w:hAnsi="Times New Roman"/>
          <w:b/>
          <w:i w:val="0"/>
          <w:sz w:val="32"/>
        </w:rPr>
        <w:t>LITERATURE REVIEW</w:t>
      </w:r>
    </w:p>
    <w:p>
      <w:pPr>
        <w:spacing w:before="0" w:after="240"/>
      </w:pPr>
    </w:p>
    <w:p>
      <w:pPr>
        <w:spacing w:before="280" w:after="80" w:line="276" w:lineRule="auto"/>
        <w:jc w:val="left"/>
      </w:pPr>
      <w:r>
        <w:rPr>
          <w:rFonts w:ascii="Times New Roman" w:hAnsi="Times New Roman"/>
          <w:b/>
          <w:i w:val="0"/>
          <w:sz w:val="28"/>
        </w:rPr>
        <w:t>2.1 EVOLUTION OF COMPUTATIONAL DDI PREDICTION</w:t>
      </w:r>
    </w:p>
    <w:p>
      <w:pPr>
        <w:spacing w:before="0" w:after="120" w:line="360" w:lineRule="auto"/>
        <w:jc w:val="both"/>
      </w:pPr>
      <w:r>
        <w:rPr>
          <w:rFonts w:ascii="Times New Roman" w:hAnsi="Times New Roman"/>
          <w:b w:val="0"/>
          <w:i w:val="0"/>
          <w:sz w:val="24"/>
        </w:rPr>
        <w:t>Computational prediction of drug–drug interactions has evolved across three major technological epochs over the past two decades. Early methods (2005–2014) relied on classical machine learning classifiers—such as Random Forests, Support Vector Machines (SVMs), and Logistic Regression—operating over handcrafted 2D molecular fingerprints and pharmacological similarity matrices. While computationally lightweight, these shallow models exhibited poor generalization on novel scaffolds and could not capture non-linear interactive relationships.</w:t>
      </w:r>
    </w:p>
    <w:p>
      <w:pPr>
        <w:spacing w:before="0" w:after="120" w:line="360" w:lineRule="auto"/>
        <w:jc w:val="both"/>
      </w:pPr>
      <w:r>
        <w:rPr>
          <w:rFonts w:ascii="Times New Roman" w:hAnsi="Times New Roman"/>
          <w:b w:val="0"/>
          <w:i w:val="0"/>
          <w:sz w:val="24"/>
        </w:rPr>
        <w:t>The second epoch (2015–2022) witnessed the rise of deep graph representation learning and knowledge graph embeddings. Frameworks such as Decagon (Zitnik et al., 2018) modeled polypharmacy side effects as multi-relational link prediction on multimodal protein–protein and drug–protein interaction networks. Subsequent architectures integrated attention mechanisms, substructure cross-attention, and contrastive graph learning to achieve outstanding discriminative performance on benchmark datasets like DrugBank and TWOSIDES. However, nearly all architectures developed during this era were strictly constrained to pairwise (k = 2) drug interactions.</w:t>
      </w:r>
    </w:p>
    <w:p>
      <w:pPr>
        <w:spacing w:before="0" w:after="120" w:line="360" w:lineRule="auto"/>
        <w:jc w:val="both"/>
      </w:pPr>
      <w:r>
        <w:rPr>
          <w:rFonts w:ascii="Times New Roman" w:hAnsi="Times New Roman"/>
          <w:b w:val="0"/>
          <w:i w:val="0"/>
          <w:sz w:val="24"/>
        </w:rPr>
        <w:t>The current third epoch (2023–present) focuses on higher-order representations capable of modeling polypharmacy cocktails containing three or more medications. Hypergraph neural networks have emerged as the mathematical frontier for this challenge, yet their application remains burdened by fundamental task formulation ambiguities and feature aggregation limitations.</w:t>
      </w:r>
    </w:p>
    <w:p>
      <w:pPr>
        <w:spacing w:before="280" w:after="80" w:line="276" w:lineRule="auto"/>
        <w:jc w:val="left"/>
      </w:pPr>
      <w:r>
        <w:rPr>
          <w:rFonts w:ascii="Times New Roman" w:hAnsi="Times New Roman"/>
          <w:b/>
          <w:i w:val="0"/>
          <w:sz w:val="28"/>
        </w:rPr>
        <w:t>2.2 CATEGORY A: PAIRWISE GRAPH NEURAL NETWORK ARCHITECTURES</w:t>
      </w:r>
    </w:p>
    <w:p>
      <w:pPr>
        <w:spacing w:before="0" w:after="120" w:line="360" w:lineRule="auto"/>
        <w:jc w:val="both"/>
      </w:pPr>
      <w:r>
        <w:rPr>
          <w:rFonts w:ascii="Times New Roman" w:hAnsi="Times New Roman"/>
          <w:b w:val="0"/>
          <w:i w:val="0"/>
          <w:sz w:val="24"/>
        </w:rPr>
        <w:t>We conducted an in-depth survey of leading pairwise DDI architectures, evaluating their methodologies, strengths, and topological constraints:</w:t>
      </w:r>
    </w:p>
    <w:p>
      <w:pPr>
        <w:spacing w:before="80" w:after="200" w:line="312" w:lineRule="auto"/>
        <w:jc w:val="left"/>
      </w:pPr>
      <w:r>
        <w:rPr>
          <w:rFonts w:ascii="Times New Roman" w:hAnsi="Times New Roman"/>
          <w:b w:val="0"/>
          <w:i w:val="0"/>
          <w:sz w:val="23"/>
        </w:rPr>
        <w:t>• Decagon (Zitnik et al., 2018): Pioneered multi-relational graph convolutional networks for polypharmacy side effects. Decagon constructed a massive multimodal graph comprising 19,085 proteins and 645 drugs, with 964 distinct side-effect relation types. Although foundational, Decagon strictly predicted pairwise edges, omitting combinations of three or more drugs.</w:t>
        <w:br/>
        <w:t>• AMDE (Chu et al., 2024): Introduced an asymmetric dual-branch framework combining Bidirectional Gated Recurrent Units (BiGRU) for SMILES sequences with Graph Convolutional Networks (GCN) for molecular graphs, unified via cross-attention. AMDE achieved &gt;98.5% accuracy on DrugBank, yet remains structurally incapable of evaluating combinations beyond k = 2.</w:t>
        <w:br/>
        <w:t>• BioChemDDI (Ren et al., 2022): Integrated chemical structures with biomedical knowledge using Word2Vec, Similarity Network Fusion (SNF), and HARP-LINE graph embeddings, achieving 0.9926 AUROC. However, its multi-source feature concatenation lacked dynamic mechanism weighting.</w:t>
        <w:br/>
        <w:t>• SSI-DDI (Nyamabo et al., 2021): Modeled substructure-level interactions using Graph Attention Networks (GAT) with co-attention layers, demonstrating that sub-molecular motifs govern specific adverse reactions. Despite high interpretability, its cross-attention mechanism scales quadratically with drug pairs (O(k^2)), making multi-drug cocktails computationally prohibitive.</w:t>
        <w:br/>
        <w:t>• KGNN (Lin et al., 2020): Applied multi-hop aggregation across biomedical knowledge graphs (DrugBank, KEGG) to capture topological neighborhood semantics, achieving 0.9912 AUC. Its reliance on static relation embeddings restricted its utility for emergent clinical cocktails.</w:t>
        <w:br/>
        <w:t>• MDF-SA-DDI (Lin et al., 2021): Employed a Siamese CNN architecture combined with Transformer self-attention to fuse chemical fingerprints, targets, and enzymes, demonstrating the necessity of multimodal feature fusion.</w:t>
        <w:br/>
        <w:t>• MIRACLE (Wang et al., 2021): Utilized multi-view contrastive learning to bridge molecular structure graphs and drug co-prescription networks, achieving 0.9961 AUC on BioSNAP.</w:t>
      </w:r>
    </w:p>
    <w:p>
      <w:pPr>
        <w:spacing w:before="280" w:after="80" w:line="276" w:lineRule="auto"/>
        <w:jc w:val="left"/>
      </w:pPr>
      <w:r>
        <w:rPr>
          <w:rFonts w:ascii="Times New Roman" w:hAnsi="Times New Roman"/>
          <w:b/>
          <w:i w:val="0"/>
          <w:sz w:val="28"/>
        </w:rPr>
        <w:t>2.3 CATEGORY B: HIGHER-ORDER MODELS AND HYPERGRAPH FORMULATIONS</w:t>
      </w:r>
    </w:p>
    <w:p>
      <w:pPr>
        <w:spacing w:before="0" w:after="120" w:line="360" w:lineRule="auto"/>
        <w:jc w:val="both"/>
      </w:pPr>
      <w:r>
        <w:rPr>
          <w:rFonts w:ascii="Times New Roman" w:hAnsi="Times New Roman"/>
          <w:b w:val="0"/>
          <w:i w:val="0"/>
          <w:sz w:val="24"/>
        </w:rPr>
        <w:t>In contrast to the vast pairwise literature, very few computational models directly address higher-order (k &gt;= 3) drug combinations:</w:t>
      </w:r>
    </w:p>
    <w:p>
      <w:pPr>
        <w:spacing w:before="80" w:after="200" w:line="312" w:lineRule="auto"/>
        <w:jc w:val="left"/>
      </w:pPr>
      <w:r>
        <w:rPr>
          <w:rFonts w:ascii="Times New Roman" w:hAnsi="Times New Roman"/>
          <w:b w:val="0"/>
          <w:i w:val="0"/>
          <w:sz w:val="23"/>
        </w:rPr>
        <w:t>• D3I (Peng &amp; Ning, 2019): Represented one of the earliest deep learning attempts to predict higher-order DDIs from FDA FAERS data (combinations of 2 to 52 drugs). D3I utilized multi-layer perceptron encoders combined with cardinality-invariant pooling (max, mean, and attention). While achieving 0.847 AUC, D3I relied entirely on molecular Morgan fingerprints and did not model the overarching network topology of shared patient prescriptions.</w:t>
        <w:br/>
        <w:t>• Pattern Discovery (Tabassum et al., 2020): Formulated higher-order interactions using directed hypergraphs and hypergraphlet motif mining across FAERS, Twosides, and DailyMed. Although achieving a 10× to 50× speedup in identifying recurring polypharmacy patterns, it functioned as an unsupervised motif discovery tool rather than a predictive machine learning classifier.</w:t>
        <w:br/>
        <w:t>• HGNN-SA (Wang et al., 2025 - HODDI Benchmark): Introduced the HODDI dataset and proposed a Hypergraph Neural Network with Self-Attention (HGNN-SA). HGNN-SA models prescriptions as hyperedges and applies multi-head hypergraph convolutions. However, HGNN-SA omits the adverse event identity from its hyperedge aggregation query, treating adverse event prediction as generic binary interaction classification and causing severe label contradiction.</w:t>
      </w:r>
    </w:p>
    <w:p>
      <w:pPr>
        <w:spacing w:before="280" w:after="80" w:line="276" w:lineRule="auto"/>
        <w:jc w:val="left"/>
      </w:pPr>
      <w:r>
        <w:rPr>
          <w:rFonts w:ascii="Times New Roman" w:hAnsi="Times New Roman"/>
          <w:b/>
          <w:i w:val="0"/>
          <w:sz w:val="28"/>
        </w:rPr>
        <w:t>2.4 CRITICAL RESEARCH GAPS IN THE STATE-OF-THE-ART</w:t>
      </w:r>
    </w:p>
    <w:p>
      <w:pPr>
        <w:spacing w:before="0" w:after="120" w:line="360" w:lineRule="auto"/>
        <w:jc w:val="both"/>
      </w:pPr>
      <w:r>
        <w:rPr>
          <w:rFonts w:ascii="Times New Roman" w:hAnsi="Times New Roman"/>
          <w:b w:val="0"/>
          <w:i w:val="0"/>
          <w:sz w:val="24"/>
        </w:rPr>
        <w:t>Our systematic literature analysis uncovers four major unaddressed gaps in computational DDI research:</w:t>
      </w:r>
    </w:p>
    <w:p>
      <w:pPr>
        <w:spacing w:before="80" w:after="200" w:line="312" w:lineRule="auto"/>
        <w:jc w:val="left"/>
      </w:pPr>
      <w:r>
        <w:rPr>
          <w:rFonts w:ascii="Times New Roman" w:hAnsi="Times New Roman"/>
          <w:b w:val="0"/>
          <w:i w:val="0"/>
          <w:sz w:val="23"/>
        </w:rPr>
        <w:t>1. Gap 1: The Label Contradiction Dilemma in Hypergraph Formulations. Existing hypergraph architectures construct hyperedge representations purely from constituent drug embeddings (h_e = Aggregation({X_i})), completely discarding which adverse reaction is being evaluated. When the same combination causes Reaction A but not Reaction B, the network receives contradictory supervision, degrading discriminative capacity.</w:t>
        <w:br/>
        <w:t>2. Gap 2: Naïve Uniform Aggregation vs. Culprit Drug Disproportion. Standard hypergraph pooling uses unweighted mean aggregation (H^T X), implicitly assuming that all drugs contribute equally to the interaction. In reality, polypharmacy adverse events are dominated by specific culprit pharmacokinetic drivers.</w:t>
        <w:br/>
        <w:t>3. Gap 3: Unimodal Molecular Representations. Models rely either exclusively on chemical SMILES strings or exclusively on biological target lists. They lack adaptive modality gating to dynamically balance chemical language features against biological pathways while providing graceful fallback for unannotated compounds.</w:t>
        <w:br/>
        <w:t>4. Gap 4: Extreme Multi-Label Class Imbalance and Lack of Screening Infrastructure. Real-world pharmacovigilance datasets contain thousands of adverse event types with heavy long-tail distributions. Standard Cross-Entropy loss overfits to common reactions while ignoring rare, fatal events. Furthermore, no existing framework provides sub-50 ms full-spectrum screening for clinical deployment.</w:t>
      </w:r>
    </w:p>
    <w:p>
      <w:pPr>
        <w:spacing w:before="280" w:after="80" w:line="276" w:lineRule="auto"/>
        <w:jc w:val="left"/>
      </w:pPr>
      <w:r>
        <w:rPr>
          <w:rFonts w:ascii="Times New Roman" w:hAnsi="Times New Roman"/>
          <w:b/>
          <w:i w:val="0"/>
          <w:sz w:val="28"/>
        </w:rPr>
        <w:t>2.5 COMPREHENSIVE COMPARATIVE LITERATURE MATRIX</w:t>
      </w:r>
    </w:p>
    <w:p>
      <w:pPr>
        <w:spacing w:before="0" w:after="120" w:line="360" w:lineRule="auto"/>
        <w:jc w:val="both"/>
      </w:pPr>
      <w:r>
        <w:rPr>
          <w:rFonts w:ascii="Times New Roman" w:hAnsi="Times New Roman"/>
          <w:b w:val="0"/>
          <w:i w:val="0"/>
          <w:sz w:val="24"/>
        </w:rPr>
        <w:t>Table 2.1 summarizes our survey of representative DDI prediction architectures across key dimensions:</w:t>
      </w:r>
    </w:p>
    <w:tbl>
      <w:tblPr>
        <w:tblW w:type="auto" w:w="0"/>
        <w:jc w:val="center"/>
        <w:tblLook w:firstColumn="1" w:firstRow="1" w:lastColumn="0" w:lastRow="0" w:noHBand="0" w:noVBand="1" w:val="04A0"/>
        <w:tblBorders>
          <w:top w:val="single" w:sz="4" w:space="0" w:color="B0BEC5"/>
          <w:bottom w:val="single" w:sz="4" w:space="0" w:color="B0BEC5"/>
          <w:left w:val="none"/>
          <w:right w:val="none"/>
          <w:insideH w:val="single" w:sz="4" w:space="0" w:color="B0BEC5"/>
          <w:insideV w:val="none"/>
        </w:tblBorders>
      </w:tblPr>
      <w:tblGrid>
        <w:gridCol w:w="1187"/>
        <w:gridCol w:w="1187"/>
        <w:gridCol w:w="1187"/>
        <w:gridCol w:w="1187"/>
        <w:gridCol w:w="1187"/>
        <w:gridCol w:w="1187"/>
        <w:gridCol w:w="1187"/>
      </w:tblGrid>
      <w:tr>
        <w:tc>
          <w:tcPr>
            <w:tcW w:type="dxa" w:w="2160"/>
            <w:shd w:fill="1B365D"/>
            <w:tcMar>
              <w:top w:w="140" w:type="dxa"/>
              <w:bottom w:w="140" w:type="dxa"/>
              <w:left w:w="160" w:type="dxa"/>
              <w:right w:w="160" w:type="dxa"/>
            </w:tcMar>
          </w:tcPr>
          <w:p>
            <w:pPr>
              <w:spacing w:before="0" w:after="0" w:line="240" w:lineRule="auto"/>
              <w:jc w:val="center"/>
            </w:pPr>
            <w:r>
              <w:rPr>
                <w:rFonts w:ascii="Times New Roman" w:hAnsi="Times New Roman"/>
                <w:b/>
                <w:i w:val="0"/>
                <w:color w:val="FFFFFF"/>
                <w:sz w:val="20"/>
              </w:rPr>
              <w:t>Model / Architecture</w:t>
            </w:r>
          </w:p>
        </w:tc>
        <w:tc>
          <w:tcPr>
            <w:tcW w:type="dxa" w:w="864"/>
            <w:shd w:fill="1B365D"/>
            <w:tcMar>
              <w:top w:w="140" w:type="dxa"/>
              <w:bottom w:w="140" w:type="dxa"/>
              <w:left w:w="160" w:type="dxa"/>
              <w:right w:w="160" w:type="dxa"/>
            </w:tcMar>
          </w:tcPr>
          <w:p>
            <w:pPr>
              <w:spacing w:before="0" w:after="0" w:line="240" w:lineRule="auto"/>
              <w:jc w:val="center"/>
            </w:pPr>
            <w:r>
              <w:rPr>
                <w:rFonts w:ascii="Times New Roman" w:hAnsi="Times New Roman"/>
                <w:b/>
                <w:i w:val="0"/>
                <w:color w:val="FFFFFF"/>
                <w:sz w:val="20"/>
              </w:rPr>
              <w:t>Year</w:t>
            </w:r>
          </w:p>
        </w:tc>
        <w:tc>
          <w:tcPr>
            <w:tcW w:type="dxa" w:w="2592"/>
            <w:shd w:fill="1B365D"/>
            <w:tcMar>
              <w:top w:w="140" w:type="dxa"/>
              <w:bottom w:w="140" w:type="dxa"/>
              <w:left w:w="160" w:type="dxa"/>
              <w:right w:w="160" w:type="dxa"/>
            </w:tcMar>
          </w:tcPr>
          <w:p>
            <w:pPr>
              <w:spacing w:before="0" w:after="0" w:line="240" w:lineRule="auto"/>
              <w:jc w:val="center"/>
            </w:pPr>
            <w:r>
              <w:rPr>
                <w:rFonts w:ascii="Times New Roman" w:hAnsi="Times New Roman"/>
                <w:b/>
                <w:i w:val="0"/>
                <w:color w:val="FFFFFF"/>
                <w:sz w:val="20"/>
              </w:rPr>
              <w:t>Core Deep Learning Method</w:t>
            </w:r>
          </w:p>
        </w:tc>
        <w:tc>
          <w:tcPr>
            <w:tcW w:type="dxa" w:w="2160"/>
            <w:shd w:fill="1B365D"/>
            <w:tcMar>
              <w:top w:w="140" w:type="dxa"/>
              <w:bottom w:w="140" w:type="dxa"/>
              <w:left w:w="160" w:type="dxa"/>
              <w:right w:w="160" w:type="dxa"/>
            </w:tcMar>
          </w:tcPr>
          <w:p>
            <w:pPr>
              <w:spacing w:before="0" w:after="0" w:line="240" w:lineRule="auto"/>
              <w:jc w:val="center"/>
            </w:pPr>
            <w:r>
              <w:rPr>
                <w:rFonts w:ascii="Times New Roman" w:hAnsi="Times New Roman"/>
                <w:b/>
                <w:i w:val="0"/>
                <w:color w:val="FFFFFF"/>
                <w:sz w:val="20"/>
              </w:rPr>
              <w:t>Features Used</w:t>
            </w:r>
          </w:p>
        </w:tc>
        <w:tc>
          <w:tcPr>
            <w:tcW w:type="dxa" w:w="864"/>
            <w:shd w:fill="1B365D"/>
            <w:tcMar>
              <w:top w:w="140" w:type="dxa"/>
              <w:bottom w:w="140" w:type="dxa"/>
              <w:left w:w="160" w:type="dxa"/>
              <w:right w:w="160" w:type="dxa"/>
            </w:tcMar>
          </w:tcPr>
          <w:p>
            <w:pPr>
              <w:spacing w:before="0" w:after="0" w:line="240" w:lineRule="auto"/>
              <w:jc w:val="center"/>
            </w:pPr>
            <w:r>
              <w:rPr>
                <w:rFonts w:ascii="Times New Roman" w:hAnsi="Times New Roman"/>
                <w:b/>
                <w:i w:val="0"/>
                <w:color w:val="FFFFFF"/>
                <w:sz w:val="20"/>
              </w:rPr>
              <w:t>k ≥ 3?</w:t>
            </w:r>
          </w:p>
        </w:tc>
        <w:tc>
          <w:tcPr>
            <w:tcW w:type="dxa" w:w="1584"/>
            <w:shd w:fill="1B365D"/>
            <w:tcMar>
              <w:top w:w="140" w:type="dxa"/>
              <w:bottom w:w="140" w:type="dxa"/>
              <w:left w:w="160" w:type="dxa"/>
              <w:right w:w="160" w:type="dxa"/>
            </w:tcMar>
          </w:tcPr>
          <w:p>
            <w:pPr>
              <w:spacing w:before="0" w:after="0" w:line="240" w:lineRule="auto"/>
              <w:jc w:val="center"/>
            </w:pPr>
            <w:r>
              <w:rPr>
                <w:rFonts w:ascii="Times New Roman" w:hAnsi="Times New Roman"/>
                <w:b/>
                <w:i w:val="0"/>
                <w:color w:val="FFFFFF"/>
                <w:sz w:val="20"/>
              </w:rPr>
              <w:t>Adverse Event Conditioned?</w:t>
            </w:r>
          </w:p>
        </w:tc>
        <w:tc>
          <w:tcPr>
            <w:tcW w:type="dxa" w:w="2016"/>
            <w:shd w:fill="1B365D"/>
            <w:tcMar>
              <w:top w:w="140" w:type="dxa"/>
              <w:bottom w:w="140" w:type="dxa"/>
              <w:left w:w="160" w:type="dxa"/>
              <w:right w:w="160" w:type="dxa"/>
            </w:tcMar>
          </w:tcPr>
          <w:p>
            <w:pPr>
              <w:spacing w:before="0" w:after="0" w:line="240" w:lineRule="auto"/>
              <w:jc w:val="center"/>
            </w:pPr>
            <w:r>
              <w:rPr>
                <w:rFonts w:ascii="Times New Roman" w:hAnsi="Times New Roman"/>
                <w:b/>
                <w:i w:val="0"/>
                <w:color w:val="FFFFFF"/>
                <w:sz w:val="20"/>
              </w:rPr>
              <w:t>Reported Benchmark Metric</w:t>
            </w:r>
          </w:p>
        </w:tc>
      </w:tr>
      <w:tr>
        <w:tc>
          <w:tcPr>
            <w:tcW w:type="dxa" w:w="2160"/>
            <w:tcMar>
              <w:top w:w="100" w:type="dxa"/>
              <w:bottom w:w="100" w:type="dxa"/>
              <w:left w:w="150" w:type="dxa"/>
              <w:right w:w="150" w:type="dxa"/>
            </w:tcMar>
          </w:tcPr>
          <w:p>
            <w:pPr>
              <w:spacing w:before="0" w:after="0" w:line="276" w:lineRule="auto"/>
              <w:jc w:val="left"/>
            </w:pPr>
            <w:r>
              <w:rPr>
                <w:rFonts w:ascii="Times New Roman" w:hAnsi="Times New Roman"/>
                <w:b w:val="0"/>
                <w:i w:val="0"/>
                <w:sz w:val="19"/>
              </w:rPr>
              <w:t>Decagon (Zitnik et al.)</w:t>
            </w:r>
          </w:p>
        </w:tc>
        <w:tc>
          <w:tcPr>
            <w:tcW w:type="dxa" w:w="864"/>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2018</w:t>
            </w:r>
          </w:p>
        </w:tc>
        <w:tc>
          <w:tcPr>
            <w:tcW w:type="dxa" w:w="2592"/>
            <w:tcMar>
              <w:top w:w="100" w:type="dxa"/>
              <w:bottom w:w="100" w:type="dxa"/>
              <w:left w:w="150" w:type="dxa"/>
              <w:right w:w="150" w:type="dxa"/>
            </w:tcMar>
          </w:tcPr>
          <w:p>
            <w:pPr>
              <w:spacing w:before="0" w:after="0" w:line="276" w:lineRule="auto"/>
              <w:jc w:val="left"/>
            </w:pPr>
            <w:r>
              <w:rPr>
                <w:rFonts w:ascii="Times New Roman" w:hAnsi="Times New Roman"/>
                <w:b w:val="0"/>
                <w:i w:val="0"/>
                <w:sz w:val="19"/>
              </w:rPr>
              <w:t>Multi-relational GCN</w:t>
            </w:r>
          </w:p>
        </w:tc>
        <w:tc>
          <w:tcPr>
            <w:tcW w:type="dxa" w:w="2160"/>
            <w:tcMar>
              <w:top w:w="100" w:type="dxa"/>
              <w:bottom w:w="100" w:type="dxa"/>
              <w:left w:w="150" w:type="dxa"/>
              <w:right w:w="150" w:type="dxa"/>
            </w:tcMar>
          </w:tcPr>
          <w:p>
            <w:pPr>
              <w:spacing w:before="0" w:after="0" w:line="276" w:lineRule="auto"/>
              <w:jc w:val="left"/>
            </w:pPr>
            <w:r>
              <w:rPr>
                <w:rFonts w:ascii="Times New Roman" w:hAnsi="Times New Roman"/>
                <w:b w:val="0"/>
                <w:i w:val="0"/>
                <w:sz w:val="19"/>
              </w:rPr>
              <w:t>PPI + Drug-Protein</w:t>
            </w:r>
          </w:p>
        </w:tc>
        <w:tc>
          <w:tcPr>
            <w:tcW w:type="dxa" w:w="864"/>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No (k=2)</w:t>
            </w:r>
          </w:p>
        </w:tc>
        <w:tc>
          <w:tcPr>
            <w:tcW w:type="dxa" w:w="1584"/>
            <w:tcMar>
              <w:top w:w="100" w:type="dxa"/>
              <w:bottom w:w="100" w:type="dxa"/>
              <w:left w:w="150" w:type="dxa"/>
              <w:right w:w="150" w:type="dxa"/>
            </w:tcMar>
          </w:tcPr>
          <w:p>
            <w:pPr>
              <w:spacing w:before="0" w:after="0" w:line="276" w:lineRule="auto"/>
              <w:jc w:val="left"/>
            </w:pPr>
            <w:r>
              <w:rPr>
                <w:rFonts w:ascii="Times New Roman" w:hAnsi="Times New Roman"/>
                <w:b w:val="0"/>
                <w:i w:val="0"/>
                <w:sz w:val="19"/>
              </w:rPr>
              <w:t>No (Relation edge)</w:t>
            </w:r>
          </w:p>
        </w:tc>
        <w:tc>
          <w:tcPr>
            <w:tcW w:type="dxa" w:w="2016"/>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AUROC = 0.872, AUPRC = 0.832</w:t>
            </w:r>
          </w:p>
        </w:tc>
      </w:tr>
      <w:tr>
        <w:tc>
          <w:tcPr>
            <w:tcW w:type="dxa" w:w="2160"/>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D3I (Peng &amp; Ning)</w:t>
            </w:r>
          </w:p>
        </w:tc>
        <w:tc>
          <w:tcPr>
            <w:tcW w:type="dxa" w:w="864"/>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2019</w:t>
            </w:r>
          </w:p>
        </w:tc>
        <w:tc>
          <w:tcPr>
            <w:tcW w:type="dxa" w:w="2592"/>
            <w:shd w:fill="F8F9FA"/>
            <w:tcMar>
              <w:top w:w="100" w:type="dxa"/>
              <w:bottom w:w="100" w:type="dxa"/>
              <w:left w:w="150" w:type="dxa"/>
              <w:right w:w="150" w:type="dxa"/>
            </w:tcMar>
          </w:tcPr>
          <w:p>
            <w:pPr>
              <w:spacing w:before="0" w:after="0" w:line="276" w:lineRule="auto"/>
              <w:jc w:val="left"/>
            </w:pPr>
            <w:r>
              <w:rPr>
                <w:rFonts w:ascii="Times New Roman" w:hAnsi="Times New Roman"/>
                <w:b w:val="0"/>
                <w:i w:val="0"/>
                <w:sz w:val="19"/>
              </w:rPr>
              <w:t>MLP + Cardinality Pooling</w:t>
            </w:r>
          </w:p>
        </w:tc>
        <w:tc>
          <w:tcPr>
            <w:tcW w:type="dxa" w:w="2160"/>
            <w:shd w:fill="F8F9FA"/>
            <w:tcMar>
              <w:top w:w="100" w:type="dxa"/>
              <w:bottom w:w="100" w:type="dxa"/>
              <w:left w:w="150" w:type="dxa"/>
              <w:right w:w="150" w:type="dxa"/>
            </w:tcMar>
          </w:tcPr>
          <w:p>
            <w:pPr>
              <w:spacing w:before="0" w:after="0" w:line="276" w:lineRule="auto"/>
              <w:jc w:val="left"/>
            </w:pPr>
            <w:r>
              <w:rPr>
                <w:rFonts w:ascii="Times New Roman" w:hAnsi="Times New Roman"/>
                <w:b w:val="0"/>
                <w:i w:val="0"/>
                <w:sz w:val="19"/>
              </w:rPr>
              <w:t>Morgan Fingerprints</w:t>
            </w:r>
          </w:p>
        </w:tc>
        <w:tc>
          <w:tcPr>
            <w:tcW w:type="dxa" w:w="864"/>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Yes (2–52)</w:t>
            </w:r>
          </w:p>
        </w:tc>
        <w:tc>
          <w:tcPr>
            <w:tcW w:type="dxa" w:w="1584"/>
            <w:shd w:fill="F8F9FA"/>
            <w:tcMar>
              <w:top w:w="100" w:type="dxa"/>
              <w:bottom w:w="100" w:type="dxa"/>
              <w:left w:w="150" w:type="dxa"/>
              <w:right w:w="150" w:type="dxa"/>
            </w:tcMar>
          </w:tcPr>
          <w:p>
            <w:pPr>
              <w:spacing w:before="0" w:after="0" w:line="276" w:lineRule="auto"/>
              <w:jc w:val="left"/>
            </w:pPr>
            <w:r>
              <w:rPr>
                <w:rFonts w:ascii="Times New Roman" w:hAnsi="Times New Roman"/>
                <w:b w:val="0"/>
                <w:i w:val="0"/>
                <w:sz w:val="19"/>
              </w:rPr>
              <w:t>No (Generic label)</w:t>
            </w:r>
          </w:p>
        </w:tc>
        <w:tc>
          <w:tcPr>
            <w:tcW w:type="dxa" w:w="2016"/>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AUC = 0.847, F1 = 0.740</w:t>
            </w:r>
          </w:p>
        </w:tc>
      </w:tr>
      <w:tr>
        <w:tc>
          <w:tcPr>
            <w:tcW w:type="dxa" w:w="2160"/>
            <w:tcMar>
              <w:top w:w="100" w:type="dxa"/>
              <w:bottom w:w="100" w:type="dxa"/>
              <w:left w:w="150" w:type="dxa"/>
              <w:right w:w="150" w:type="dxa"/>
            </w:tcMar>
          </w:tcPr>
          <w:p>
            <w:pPr>
              <w:spacing w:before="0" w:after="0" w:line="276" w:lineRule="auto"/>
              <w:jc w:val="left"/>
            </w:pPr>
            <w:r>
              <w:rPr>
                <w:rFonts w:ascii="Times New Roman" w:hAnsi="Times New Roman"/>
                <w:b w:val="0"/>
                <w:i w:val="0"/>
                <w:sz w:val="19"/>
              </w:rPr>
              <w:t>KGNN (Lin et al.)</w:t>
            </w:r>
          </w:p>
        </w:tc>
        <w:tc>
          <w:tcPr>
            <w:tcW w:type="dxa" w:w="864"/>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2020</w:t>
            </w:r>
          </w:p>
        </w:tc>
        <w:tc>
          <w:tcPr>
            <w:tcW w:type="dxa" w:w="2592"/>
            <w:tcMar>
              <w:top w:w="100" w:type="dxa"/>
              <w:bottom w:w="100" w:type="dxa"/>
              <w:left w:w="150" w:type="dxa"/>
              <w:right w:w="150" w:type="dxa"/>
            </w:tcMar>
          </w:tcPr>
          <w:p>
            <w:pPr>
              <w:spacing w:before="0" w:after="0" w:line="276" w:lineRule="auto"/>
              <w:jc w:val="left"/>
            </w:pPr>
            <w:r>
              <w:rPr>
                <w:rFonts w:ascii="Times New Roman" w:hAnsi="Times New Roman"/>
                <w:b w:val="0"/>
                <w:i w:val="0"/>
                <w:sz w:val="19"/>
              </w:rPr>
              <w:t>Knowledge Graph GNN</w:t>
            </w:r>
          </w:p>
        </w:tc>
        <w:tc>
          <w:tcPr>
            <w:tcW w:type="dxa" w:w="2160"/>
            <w:tcMar>
              <w:top w:w="100" w:type="dxa"/>
              <w:bottom w:w="100" w:type="dxa"/>
              <w:left w:w="150" w:type="dxa"/>
              <w:right w:w="150" w:type="dxa"/>
            </w:tcMar>
          </w:tcPr>
          <w:p>
            <w:pPr>
              <w:spacing w:before="0" w:after="0" w:line="276" w:lineRule="auto"/>
              <w:jc w:val="left"/>
            </w:pPr>
            <w:r>
              <w:rPr>
                <w:rFonts w:ascii="Times New Roman" w:hAnsi="Times New Roman"/>
                <w:b w:val="0"/>
                <w:i w:val="0"/>
                <w:sz w:val="19"/>
              </w:rPr>
              <w:t>SMILES + KG Multi-hop</w:t>
            </w:r>
          </w:p>
        </w:tc>
        <w:tc>
          <w:tcPr>
            <w:tcW w:type="dxa" w:w="864"/>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No (k=2)</w:t>
            </w:r>
          </w:p>
        </w:tc>
        <w:tc>
          <w:tcPr>
            <w:tcW w:type="dxa" w:w="1584"/>
            <w:tcMar>
              <w:top w:w="100" w:type="dxa"/>
              <w:bottom w:w="100" w:type="dxa"/>
              <w:left w:w="150" w:type="dxa"/>
              <w:right w:w="150" w:type="dxa"/>
            </w:tcMar>
          </w:tcPr>
          <w:p>
            <w:pPr>
              <w:spacing w:before="0" w:after="0" w:line="276" w:lineRule="auto"/>
              <w:jc w:val="left"/>
            </w:pPr>
            <w:r>
              <w:rPr>
                <w:rFonts w:ascii="Times New Roman" w:hAnsi="Times New Roman"/>
                <w:b w:val="0"/>
                <w:i w:val="0"/>
                <w:sz w:val="19"/>
              </w:rPr>
              <w:t>No</w:t>
            </w:r>
          </w:p>
        </w:tc>
        <w:tc>
          <w:tcPr>
            <w:tcW w:type="dxa" w:w="2016"/>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AUC = 0.991, ACC = 95.6%</w:t>
            </w:r>
          </w:p>
        </w:tc>
      </w:tr>
      <w:tr>
        <w:tc>
          <w:tcPr>
            <w:tcW w:type="dxa" w:w="2160"/>
            <w:shd w:fill="F8F9FA"/>
            <w:tcMar>
              <w:top w:w="100" w:type="dxa"/>
              <w:bottom w:w="100" w:type="dxa"/>
              <w:left w:w="150" w:type="dxa"/>
              <w:right w:w="150" w:type="dxa"/>
            </w:tcMar>
          </w:tcPr>
          <w:p>
            <w:pPr>
              <w:spacing w:before="0" w:after="0" w:line="276" w:lineRule="auto"/>
              <w:jc w:val="left"/>
            </w:pPr>
            <w:r>
              <w:rPr>
                <w:rFonts w:ascii="Times New Roman" w:hAnsi="Times New Roman"/>
                <w:b w:val="0"/>
                <w:i w:val="0"/>
                <w:sz w:val="19"/>
              </w:rPr>
              <w:t>SSI-DDI (Nyamabo et al.)</w:t>
            </w:r>
          </w:p>
        </w:tc>
        <w:tc>
          <w:tcPr>
            <w:tcW w:type="dxa" w:w="864"/>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2021</w:t>
            </w:r>
          </w:p>
        </w:tc>
        <w:tc>
          <w:tcPr>
            <w:tcW w:type="dxa" w:w="2592"/>
            <w:shd w:fill="F8F9FA"/>
            <w:tcMar>
              <w:top w:w="100" w:type="dxa"/>
              <w:bottom w:w="100" w:type="dxa"/>
              <w:left w:w="150" w:type="dxa"/>
              <w:right w:w="150" w:type="dxa"/>
            </w:tcMar>
          </w:tcPr>
          <w:p>
            <w:pPr>
              <w:spacing w:before="0" w:after="0" w:line="276" w:lineRule="auto"/>
              <w:jc w:val="left"/>
            </w:pPr>
            <w:r>
              <w:rPr>
                <w:rFonts w:ascii="Times New Roman" w:hAnsi="Times New Roman"/>
                <w:b w:val="0"/>
                <w:i w:val="0"/>
                <w:sz w:val="19"/>
              </w:rPr>
              <w:t>Substructure GAT + Co-Attn</w:t>
            </w:r>
          </w:p>
        </w:tc>
        <w:tc>
          <w:tcPr>
            <w:tcW w:type="dxa" w:w="2160"/>
            <w:shd w:fill="F8F9FA"/>
            <w:tcMar>
              <w:top w:w="100" w:type="dxa"/>
              <w:bottom w:w="100" w:type="dxa"/>
              <w:left w:w="150" w:type="dxa"/>
              <w:right w:w="150" w:type="dxa"/>
            </w:tcMar>
          </w:tcPr>
          <w:p>
            <w:pPr>
              <w:spacing w:before="0" w:after="0" w:line="276" w:lineRule="auto"/>
              <w:jc w:val="left"/>
            </w:pPr>
            <w:r>
              <w:rPr>
                <w:rFonts w:ascii="Times New Roman" w:hAnsi="Times New Roman"/>
                <w:b w:val="0"/>
                <w:i w:val="0"/>
                <w:sz w:val="19"/>
              </w:rPr>
              <w:t>Molecular Graph</w:t>
            </w:r>
          </w:p>
        </w:tc>
        <w:tc>
          <w:tcPr>
            <w:tcW w:type="dxa" w:w="864"/>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No (k=2)</w:t>
            </w:r>
          </w:p>
        </w:tc>
        <w:tc>
          <w:tcPr>
            <w:tcW w:type="dxa" w:w="1584"/>
            <w:shd w:fill="F8F9FA"/>
            <w:tcMar>
              <w:top w:w="100" w:type="dxa"/>
              <w:bottom w:w="100" w:type="dxa"/>
              <w:left w:w="150" w:type="dxa"/>
              <w:right w:w="150" w:type="dxa"/>
            </w:tcMar>
          </w:tcPr>
          <w:p>
            <w:pPr>
              <w:spacing w:before="0" w:after="0" w:line="276" w:lineRule="auto"/>
              <w:jc w:val="left"/>
            </w:pPr>
            <w:r>
              <w:rPr>
                <w:rFonts w:ascii="Times New Roman" w:hAnsi="Times New Roman"/>
                <w:b w:val="0"/>
                <w:i w:val="0"/>
                <w:sz w:val="19"/>
              </w:rPr>
              <w:t>No</w:t>
            </w:r>
          </w:p>
        </w:tc>
        <w:tc>
          <w:tcPr>
            <w:tcW w:type="dxa" w:w="2016"/>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AUROC = 0.984, ACC = 94.5%</w:t>
            </w:r>
          </w:p>
        </w:tc>
      </w:tr>
      <w:tr>
        <w:tc>
          <w:tcPr>
            <w:tcW w:type="dxa" w:w="2160"/>
            <w:tcMar>
              <w:top w:w="100" w:type="dxa"/>
              <w:bottom w:w="100" w:type="dxa"/>
              <w:left w:w="150" w:type="dxa"/>
              <w:right w:w="150" w:type="dxa"/>
            </w:tcMar>
          </w:tcPr>
          <w:p>
            <w:pPr>
              <w:spacing w:before="0" w:after="0" w:line="276" w:lineRule="auto"/>
              <w:jc w:val="left"/>
            </w:pPr>
            <w:r>
              <w:rPr>
                <w:rFonts w:ascii="Times New Roman" w:hAnsi="Times New Roman"/>
                <w:b w:val="0"/>
                <w:i w:val="0"/>
                <w:sz w:val="19"/>
              </w:rPr>
              <w:t>MDF-SA-DDI (Lin et al.)</w:t>
            </w:r>
          </w:p>
        </w:tc>
        <w:tc>
          <w:tcPr>
            <w:tcW w:type="dxa" w:w="864"/>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2021</w:t>
            </w:r>
          </w:p>
        </w:tc>
        <w:tc>
          <w:tcPr>
            <w:tcW w:type="dxa" w:w="2592"/>
            <w:tcMar>
              <w:top w:w="100" w:type="dxa"/>
              <w:bottom w:w="100" w:type="dxa"/>
              <w:left w:w="150" w:type="dxa"/>
              <w:right w:w="150" w:type="dxa"/>
            </w:tcMar>
          </w:tcPr>
          <w:p>
            <w:pPr>
              <w:spacing w:before="0" w:after="0" w:line="276" w:lineRule="auto"/>
              <w:jc w:val="left"/>
            </w:pPr>
            <w:r>
              <w:rPr>
                <w:rFonts w:ascii="Times New Roman" w:hAnsi="Times New Roman"/>
                <w:b w:val="0"/>
                <w:i w:val="0"/>
                <w:sz w:val="19"/>
              </w:rPr>
              <w:t>Siamese CNN + Transformer</w:t>
            </w:r>
          </w:p>
        </w:tc>
        <w:tc>
          <w:tcPr>
            <w:tcW w:type="dxa" w:w="2160"/>
            <w:tcMar>
              <w:top w:w="100" w:type="dxa"/>
              <w:bottom w:w="100" w:type="dxa"/>
              <w:left w:w="150" w:type="dxa"/>
              <w:right w:w="150" w:type="dxa"/>
            </w:tcMar>
          </w:tcPr>
          <w:p>
            <w:pPr>
              <w:spacing w:before="0" w:after="0" w:line="276" w:lineRule="auto"/>
              <w:jc w:val="left"/>
            </w:pPr>
            <w:r>
              <w:rPr>
                <w:rFonts w:ascii="Times New Roman" w:hAnsi="Times New Roman"/>
                <w:b w:val="0"/>
                <w:i w:val="0"/>
                <w:sz w:val="19"/>
              </w:rPr>
              <w:t>Fingerprint + Target + Enz</w:t>
            </w:r>
          </w:p>
        </w:tc>
        <w:tc>
          <w:tcPr>
            <w:tcW w:type="dxa" w:w="864"/>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No (k=2)</w:t>
            </w:r>
          </w:p>
        </w:tc>
        <w:tc>
          <w:tcPr>
            <w:tcW w:type="dxa" w:w="1584"/>
            <w:tcMar>
              <w:top w:w="100" w:type="dxa"/>
              <w:bottom w:w="100" w:type="dxa"/>
              <w:left w:w="150" w:type="dxa"/>
              <w:right w:w="150" w:type="dxa"/>
            </w:tcMar>
          </w:tcPr>
          <w:p>
            <w:pPr>
              <w:spacing w:before="0" w:after="0" w:line="276" w:lineRule="auto"/>
              <w:jc w:val="left"/>
            </w:pPr>
            <w:r>
              <w:rPr>
                <w:rFonts w:ascii="Times New Roman" w:hAnsi="Times New Roman"/>
                <w:b w:val="0"/>
                <w:i w:val="0"/>
                <w:sz w:val="19"/>
              </w:rPr>
              <w:t>No</w:t>
            </w:r>
          </w:p>
        </w:tc>
        <w:tc>
          <w:tcPr>
            <w:tcW w:type="dxa" w:w="2016"/>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AUPR = 0.977, F1 = 0.912</w:t>
            </w:r>
          </w:p>
        </w:tc>
      </w:tr>
      <w:tr>
        <w:tc>
          <w:tcPr>
            <w:tcW w:type="dxa" w:w="2160"/>
            <w:shd w:fill="F8F9FA"/>
            <w:tcMar>
              <w:top w:w="100" w:type="dxa"/>
              <w:bottom w:w="100" w:type="dxa"/>
              <w:left w:w="150" w:type="dxa"/>
              <w:right w:w="150" w:type="dxa"/>
            </w:tcMar>
          </w:tcPr>
          <w:p>
            <w:pPr>
              <w:spacing w:before="0" w:after="0" w:line="276" w:lineRule="auto"/>
              <w:jc w:val="left"/>
            </w:pPr>
            <w:r>
              <w:rPr>
                <w:rFonts w:ascii="Times New Roman" w:hAnsi="Times New Roman"/>
                <w:b w:val="0"/>
                <w:i w:val="0"/>
                <w:sz w:val="19"/>
              </w:rPr>
              <w:t>MIRACLE (Wang et al.)</w:t>
            </w:r>
          </w:p>
        </w:tc>
        <w:tc>
          <w:tcPr>
            <w:tcW w:type="dxa" w:w="864"/>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2021</w:t>
            </w:r>
          </w:p>
        </w:tc>
        <w:tc>
          <w:tcPr>
            <w:tcW w:type="dxa" w:w="2592"/>
            <w:shd w:fill="F8F9FA"/>
            <w:tcMar>
              <w:top w:w="100" w:type="dxa"/>
              <w:bottom w:w="100" w:type="dxa"/>
              <w:left w:w="150" w:type="dxa"/>
              <w:right w:w="150" w:type="dxa"/>
            </w:tcMar>
          </w:tcPr>
          <w:p>
            <w:pPr>
              <w:spacing w:before="0" w:after="0" w:line="276" w:lineRule="auto"/>
              <w:jc w:val="left"/>
            </w:pPr>
            <w:r>
              <w:rPr>
                <w:rFonts w:ascii="Times New Roman" w:hAnsi="Times New Roman"/>
                <w:b w:val="0"/>
                <w:i w:val="0"/>
                <w:sz w:val="19"/>
              </w:rPr>
              <w:t>Contrastive Graph Learning</w:t>
            </w:r>
          </w:p>
        </w:tc>
        <w:tc>
          <w:tcPr>
            <w:tcW w:type="dxa" w:w="2160"/>
            <w:shd w:fill="F8F9FA"/>
            <w:tcMar>
              <w:top w:w="100" w:type="dxa"/>
              <w:bottom w:w="100" w:type="dxa"/>
              <w:left w:w="150" w:type="dxa"/>
              <w:right w:w="150" w:type="dxa"/>
            </w:tcMar>
          </w:tcPr>
          <w:p>
            <w:pPr>
              <w:spacing w:before="0" w:after="0" w:line="276" w:lineRule="auto"/>
              <w:jc w:val="left"/>
            </w:pPr>
            <w:r>
              <w:rPr>
                <w:rFonts w:ascii="Times New Roman" w:hAnsi="Times New Roman"/>
                <w:b w:val="0"/>
                <w:i w:val="0"/>
                <w:sz w:val="19"/>
              </w:rPr>
              <w:t>SMILES Graph + DDI Net</w:t>
            </w:r>
          </w:p>
        </w:tc>
        <w:tc>
          <w:tcPr>
            <w:tcW w:type="dxa" w:w="864"/>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No (k=2)</w:t>
            </w:r>
          </w:p>
        </w:tc>
        <w:tc>
          <w:tcPr>
            <w:tcW w:type="dxa" w:w="1584"/>
            <w:shd w:fill="F8F9FA"/>
            <w:tcMar>
              <w:top w:w="100" w:type="dxa"/>
              <w:bottom w:w="100" w:type="dxa"/>
              <w:left w:w="150" w:type="dxa"/>
              <w:right w:w="150" w:type="dxa"/>
            </w:tcMar>
          </w:tcPr>
          <w:p>
            <w:pPr>
              <w:spacing w:before="0" w:after="0" w:line="276" w:lineRule="auto"/>
              <w:jc w:val="left"/>
            </w:pPr>
            <w:r>
              <w:rPr>
                <w:rFonts w:ascii="Times New Roman" w:hAnsi="Times New Roman"/>
                <w:b w:val="0"/>
                <w:i w:val="0"/>
                <w:sz w:val="19"/>
              </w:rPr>
              <w:t>No</w:t>
            </w:r>
          </w:p>
        </w:tc>
        <w:tc>
          <w:tcPr>
            <w:tcW w:type="dxa" w:w="2016"/>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AUC = 0.996, F1 = 0.955</w:t>
            </w:r>
          </w:p>
        </w:tc>
      </w:tr>
      <w:tr>
        <w:tc>
          <w:tcPr>
            <w:tcW w:type="dxa" w:w="2160"/>
            <w:tcMar>
              <w:top w:w="100" w:type="dxa"/>
              <w:bottom w:w="100" w:type="dxa"/>
              <w:left w:w="150" w:type="dxa"/>
              <w:right w:w="150" w:type="dxa"/>
            </w:tcMar>
          </w:tcPr>
          <w:p>
            <w:pPr>
              <w:spacing w:before="0" w:after="0" w:line="276" w:lineRule="auto"/>
              <w:jc w:val="left"/>
            </w:pPr>
            <w:r>
              <w:rPr>
                <w:rFonts w:ascii="Times New Roman" w:hAnsi="Times New Roman"/>
                <w:b w:val="0"/>
                <w:i w:val="0"/>
                <w:sz w:val="19"/>
              </w:rPr>
              <w:t>BioChemDDI (Ren et al.)</w:t>
            </w:r>
          </w:p>
        </w:tc>
        <w:tc>
          <w:tcPr>
            <w:tcW w:type="dxa" w:w="864"/>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2022</w:t>
            </w:r>
          </w:p>
        </w:tc>
        <w:tc>
          <w:tcPr>
            <w:tcW w:type="dxa" w:w="2592"/>
            <w:tcMar>
              <w:top w:w="100" w:type="dxa"/>
              <w:bottom w:w="100" w:type="dxa"/>
              <w:left w:w="150" w:type="dxa"/>
              <w:right w:w="150" w:type="dxa"/>
            </w:tcMar>
          </w:tcPr>
          <w:p>
            <w:pPr>
              <w:spacing w:before="0" w:after="0" w:line="276" w:lineRule="auto"/>
              <w:jc w:val="left"/>
            </w:pPr>
            <w:r>
              <w:rPr>
                <w:rFonts w:ascii="Times New Roman" w:hAnsi="Times New Roman"/>
                <w:b w:val="0"/>
                <w:i w:val="0"/>
                <w:sz w:val="19"/>
              </w:rPr>
              <w:t>SNF + HARP-LINE + Attention</w:t>
            </w:r>
          </w:p>
        </w:tc>
        <w:tc>
          <w:tcPr>
            <w:tcW w:type="dxa" w:w="2160"/>
            <w:tcMar>
              <w:top w:w="100" w:type="dxa"/>
              <w:bottom w:w="100" w:type="dxa"/>
              <w:left w:w="150" w:type="dxa"/>
              <w:right w:w="150" w:type="dxa"/>
            </w:tcMar>
          </w:tcPr>
          <w:p>
            <w:pPr>
              <w:spacing w:before="0" w:after="0" w:line="276" w:lineRule="auto"/>
              <w:jc w:val="left"/>
            </w:pPr>
            <w:r>
              <w:rPr>
                <w:rFonts w:ascii="Times New Roman" w:hAnsi="Times New Roman"/>
                <w:b w:val="0"/>
                <w:i w:val="0"/>
                <w:sz w:val="19"/>
              </w:rPr>
              <w:t>Chemical + Biological</w:t>
            </w:r>
          </w:p>
        </w:tc>
        <w:tc>
          <w:tcPr>
            <w:tcW w:type="dxa" w:w="864"/>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No (k=2)</w:t>
            </w:r>
          </w:p>
        </w:tc>
        <w:tc>
          <w:tcPr>
            <w:tcW w:type="dxa" w:w="1584"/>
            <w:tcMar>
              <w:top w:w="100" w:type="dxa"/>
              <w:bottom w:w="100" w:type="dxa"/>
              <w:left w:w="150" w:type="dxa"/>
              <w:right w:w="150" w:type="dxa"/>
            </w:tcMar>
          </w:tcPr>
          <w:p>
            <w:pPr>
              <w:spacing w:before="0" w:after="0" w:line="276" w:lineRule="auto"/>
              <w:jc w:val="left"/>
            </w:pPr>
            <w:r>
              <w:rPr>
                <w:rFonts w:ascii="Times New Roman" w:hAnsi="Times New Roman"/>
                <w:b w:val="0"/>
                <w:i w:val="0"/>
                <w:sz w:val="19"/>
              </w:rPr>
              <w:t>No</w:t>
            </w:r>
          </w:p>
        </w:tc>
        <w:tc>
          <w:tcPr>
            <w:tcW w:type="dxa" w:w="2016"/>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AUC = 0.993, AUPR = 0.992</w:t>
            </w:r>
          </w:p>
        </w:tc>
      </w:tr>
      <w:tr>
        <w:tc>
          <w:tcPr>
            <w:tcW w:type="dxa" w:w="2160"/>
            <w:shd w:fill="F8F9FA"/>
            <w:tcMar>
              <w:top w:w="100" w:type="dxa"/>
              <w:bottom w:w="100" w:type="dxa"/>
              <w:left w:w="150" w:type="dxa"/>
              <w:right w:w="150" w:type="dxa"/>
            </w:tcMar>
          </w:tcPr>
          <w:p>
            <w:pPr>
              <w:spacing w:before="0" w:after="0" w:line="276" w:lineRule="auto"/>
              <w:jc w:val="left"/>
            </w:pPr>
            <w:r>
              <w:rPr>
                <w:rFonts w:ascii="Times New Roman" w:hAnsi="Times New Roman"/>
                <w:b w:val="0"/>
                <w:i w:val="0"/>
                <w:sz w:val="19"/>
              </w:rPr>
              <w:t>AMDE (Chu et al.)</w:t>
            </w:r>
          </w:p>
        </w:tc>
        <w:tc>
          <w:tcPr>
            <w:tcW w:type="dxa" w:w="864"/>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2024</w:t>
            </w:r>
          </w:p>
        </w:tc>
        <w:tc>
          <w:tcPr>
            <w:tcW w:type="dxa" w:w="2592"/>
            <w:shd w:fill="F8F9FA"/>
            <w:tcMar>
              <w:top w:w="100" w:type="dxa"/>
              <w:bottom w:w="100" w:type="dxa"/>
              <w:left w:w="150" w:type="dxa"/>
              <w:right w:w="150" w:type="dxa"/>
            </w:tcMar>
          </w:tcPr>
          <w:p>
            <w:pPr>
              <w:spacing w:before="0" w:after="0" w:line="276" w:lineRule="auto"/>
              <w:jc w:val="left"/>
            </w:pPr>
            <w:r>
              <w:rPr>
                <w:rFonts w:ascii="Times New Roman" w:hAnsi="Times New Roman"/>
                <w:b w:val="0"/>
                <w:i w:val="0"/>
                <w:sz w:val="19"/>
              </w:rPr>
              <w:t>BiGRU + GCN + Cross-Attn</w:t>
            </w:r>
          </w:p>
        </w:tc>
        <w:tc>
          <w:tcPr>
            <w:tcW w:type="dxa" w:w="2160"/>
            <w:shd w:fill="F8F9FA"/>
            <w:tcMar>
              <w:top w:w="100" w:type="dxa"/>
              <w:bottom w:w="100" w:type="dxa"/>
              <w:left w:w="150" w:type="dxa"/>
              <w:right w:w="150" w:type="dxa"/>
            </w:tcMar>
          </w:tcPr>
          <w:p>
            <w:pPr>
              <w:spacing w:before="0" w:after="0" w:line="276" w:lineRule="auto"/>
              <w:jc w:val="left"/>
            </w:pPr>
            <w:r>
              <w:rPr>
                <w:rFonts w:ascii="Times New Roman" w:hAnsi="Times New Roman"/>
                <w:b w:val="0"/>
                <w:i w:val="0"/>
                <w:sz w:val="19"/>
              </w:rPr>
              <w:t>SMILES + Graph</w:t>
            </w:r>
          </w:p>
        </w:tc>
        <w:tc>
          <w:tcPr>
            <w:tcW w:type="dxa" w:w="864"/>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No (k=2)</w:t>
            </w:r>
          </w:p>
        </w:tc>
        <w:tc>
          <w:tcPr>
            <w:tcW w:type="dxa" w:w="1584"/>
            <w:shd w:fill="F8F9FA"/>
            <w:tcMar>
              <w:top w:w="100" w:type="dxa"/>
              <w:bottom w:w="100" w:type="dxa"/>
              <w:left w:w="150" w:type="dxa"/>
              <w:right w:w="150" w:type="dxa"/>
            </w:tcMar>
          </w:tcPr>
          <w:p>
            <w:pPr>
              <w:spacing w:before="0" w:after="0" w:line="276" w:lineRule="auto"/>
              <w:jc w:val="left"/>
            </w:pPr>
            <w:r>
              <w:rPr>
                <w:rFonts w:ascii="Times New Roman" w:hAnsi="Times New Roman"/>
                <w:b w:val="0"/>
                <w:i w:val="0"/>
                <w:sz w:val="19"/>
              </w:rPr>
              <w:t>No</w:t>
            </w:r>
          </w:p>
        </w:tc>
        <w:tc>
          <w:tcPr>
            <w:tcW w:type="dxa" w:w="2016"/>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ACC = 98.5%, AUC = 0.992</w:t>
            </w:r>
          </w:p>
        </w:tc>
      </w:tr>
      <w:tr>
        <w:tc>
          <w:tcPr>
            <w:tcW w:type="dxa" w:w="2160"/>
            <w:tcMar>
              <w:top w:w="100" w:type="dxa"/>
              <w:bottom w:w="100" w:type="dxa"/>
              <w:left w:w="150" w:type="dxa"/>
              <w:right w:w="150" w:type="dxa"/>
            </w:tcMar>
          </w:tcPr>
          <w:p>
            <w:pPr>
              <w:spacing w:before="0" w:after="0" w:line="276" w:lineRule="auto"/>
              <w:jc w:val="left"/>
            </w:pPr>
            <w:r>
              <w:rPr>
                <w:rFonts w:ascii="Times New Roman" w:hAnsi="Times New Roman"/>
                <w:b w:val="0"/>
                <w:i w:val="0"/>
                <w:sz w:val="19"/>
              </w:rPr>
              <w:t>HGNN-SA (Wang et al.)</w:t>
            </w:r>
          </w:p>
        </w:tc>
        <w:tc>
          <w:tcPr>
            <w:tcW w:type="dxa" w:w="864"/>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2025</w:t>
            </w:r>
          </w:p>
        </w:tc>
        <w:tc>
          <w:tcPr>
            <w:tcW w:type="dxa" w:w="2592"/>
            <w:tcMar>
              <w:top w:w="100" w:type="dxa"/>
              <w:bottom w:w="100" w:type="dxa"/>
              <w:left w:w="150" w:type="dxa"/>
              <w:right w:w="150" w:type="dxa"/>
            </w:tcMar>
          </w:tcPr>
          <w:p>
            <w:pPr>
              <w:spacing w:before="0" w:after="0" w:line="276" w:lineRule="auto"/>
              <w:jc w:val="left"/>
            </w:pPr>
            <w:r>
              <w:rPr>
                <w:rFonts w:ascii="Times New Roman" w:hAnsi="Times New Roman"/>
                <w:b w:val="0"/>
                <w:i w:val="0"/>
                <w:sz w:val="19"/>
              </w:rPr>
              <w:t>HypergraphConv + Self-Attn</w:t>
            </w:r>
          </w:p>
        </w:tc>
        <w:tc>
          <w:tcPr>
            <w:tcW w:type="dxa" w:w="2160"/>
            <w:tcMar>
              <w:top w:w="100" w:type="dxa"/>
              <w:bottom w:w="100" w:type="dxa"/>
              <w:left w:w="150" w:type="dxa"/>
              <w:right w:w="150" w:type="dxa"/>
            </w:tcMar>
          </w:tcPr>
          <w:p>
            <w:pPr>
              <w:spacing w:before="0" w:after="0" w:line="276" w:lineRule="auto"/>
              <w:jc w:val="left"/>
            </w:pPr>
            <w:r>
              <w:rPr>
                <w:rFonts w:ascii="Times New Roman" w:hAnsi="Times New Roman"/>
                <w:b w:val="0"/>
                <w:i w:val="0"/>
                <w:sz w:val="19"/>
              </w:rPr>
              <w:t>ChemBERTa SMILES</w:t>
            </w:r>
          </w:p>
        </w:tc>
        <w:tc>
          <w:tcPr>
            <w:tcW w:type="dxa" w:w="864"/>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Yes (2–8)</w:t>
            </w:r>
          </w:p>
        </w:tc>
        <w:tc>
          <w:tcPr>
            <w:tcW w:type="dxa" w:w="1584"/>
            <w:tcMar>
              <w:top w:w="100" w:type="dxa"/>
              <w:bottom w:w="100" w:type="dxa"/>
              <w:left w:w="150" w:type="dxa"/>
              <w:right w:w="150" w:type="dxa"/>
            </w:tcMar>
          </w:tcPr>
          <w:p>
            <w:pPr>
              <w:spacing w:before="0" w:after="0" w:line="276" w:lineRule="auto"/>
              <w:jc w:val="left"/>
            </w:pPr>
            <w:r>
              <w:rPr>
                <w:rFonts w:ascii="Times New Roman" w:hAnsi="Times New Roman"/>
                <w:b w:val="0"/>
                <w:i w:val="0"/>
                <w:sz w:val="19"/>
              </w:rPr>
              <w:t>No (Unweighted H^T X)</w:t>
            </w:r>
          </w:p>
        </w:tc>
        <w:tc>
          <w:tcPr>
            <w:tcW w:type="dxa" w:w="2016"/>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AUC = 0.957, PRAUC = 0.939</w:t>
            </w:r>
          </w:p>
        </w:tc>
      </w:tr>
      <w:tr>
        <w:tc>
          <w:tcPr>
            <w:tcW w:type="dxa" w:w="2160"/>
            <w:shd w:fill="F8F9FA"/>
            <w:tcMar>
              <w:top w:w="100" w:type="dxa"/>
              <w:bottom w:w="100" w:type="dxa"/>
              <w:left w:w="150" w:type="dxa"/>
              <w:right w:w="150" w:type="dxa"/>
            </w:tcMar>
          </w:tcPr>
          <w:p>
            <w:pPr>
              <w:spacing w:before="0" w:after="0" w:line="276" w:lineRule="auto"/>
              <w:jc w:val="left"/>
            </w:pPr>
            <w:r>
              <w:rPr>
                <w:rFonts w:ascii="Times New Roman" w:hAnsi="Times New Roman"/>
                <w:b w:val="0"/>
                <w:i w:val="0"/>
                <w:sz w:val="19"/>
              </w:rPr>
              <w:t>HyperAttDDI (Ours)</w:t>
            </w:r>
          </w:p>
        </w:tc>
        <w:tc>
          <w:tcPr>
            <w:tcW w:type="dxa" w:w="864"/>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2025</w:t>
            </w:r>
          </w:p>
        </w:tc>
        <w:tc>
          <w:tcPr>
            <w:tcW w:type="dxa" w:w="2592"/>
            <w:shd w:fill="F8F9FA"/>
            <w:tcMar>
              <w:top w:w="100" w:type="dxa"/>
              <w:bottom w:w="100" w:type="dxa"/>
              <w:left w:w="150" w:type="dxa"/>
              <w:right w:w="150" w:type="dxa"/>
            </w:tcMar>
          </w:tcPr>
          <w:p>
            <w:pPr>
              <w:spacing w:before="0" w:after="0" w:line="276" w:lineRule="auto"/>
              <w:jc w:val="left"/>
            </w:pPr>
            <w:r>
              <w:rPr>
                <w:rFonts w:ascii="Times New Roman" w:hAnsi="Times New Roman"/>
                <w:b w:val="0"/>
                <w:i w:val="0"/>
                <w:sz w:val="19"/>
              </w:rPr>
              <w:t>HypergraphConv + SE-Conditioned Attn</w:t>
            </w:r>
          </w:p>
        </w:tc>
        <w:tc>
          <w:tcPr>
            <w:tcW w:type="dxa" w:w="2160"/>
            <w:shd w:fill="F8F9FA"/>
            <w:tcMar>
              <w:top w:w="100" w:type="dxa"/>
              <w:bottom w:w="100" w:type="dxa"/>
              <w:left w:w="150" w:type="dxa"/>
              <w:right w:w="150" w:type="dxa"/>
            </w:tcMar>
          </w:tcPr>
          <w:p>
            <w:pPr>
              <w:spacing w:before="0" w:after="0" w:line="276" w:lineRule="auto"/>
              <w:jc w:val="left"/>
            </w:pPr>
            <w:r>
              <w:rPr>
                <w:rFonts w:ascii="Times New Roman" w:hAnsi="Times New Roman"/>
                <w:b w:val="0"/>
                <w:i w:val="0"/>
                <w:sz w:val="19"/>
              </w:rPr>
              <w:t>ChemBERTa + KEGG + SapBERT</w:t>
            </w:r>
          </w:p>
        </w:tc>
        <w:tc>
          <w:tcPr>
            <w:tcW w:type="dxa" w:w="864"/>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Yes (2–8)</w:t>
            </w:r>
          </w:p>
        </w:tc>
        <w:tc>
          <w:tcPr>
            <w:tcW w:type="dxa" w:w="1584"/>
            <w:shd w:fill="F8F9FA"/>
            <w:tcMar>
              <w:top w:w="100" w:type="dxa"/>
              <w:bottom w:w="100" w:type="dxa"/>
              <w:left w:w="150" w:type="dxa"/>
              <w:right w:w="150" w:type="dxa"/>
            </w:tcMar>
          </w:tcPr>
          <w:p>
            <w:pPr>
              <w:spacing w:before="0" w:after="0" w:line="276" w:lineRule="auto"/>
              <w:jc w:val="left"/>
            </w:pPr>
            <w:r>
              <w:rPr>
                <w:rFonts w:ascii="Times New Roman" w:hAnsi="Times New Roman"/>
                <w:b w:val="0"/>
                <w:i w:val="0"/>
                <w:sz w:val="19"/>
              </w:rPr>
              <w:t>Yes (Dynamic SapBERT)</w:t>
            </w:r>
          </w:p>
        </w:tc>
        <w:tc>
          <w:tcPr>
            <w:tcW w:type="dxa" w:w="2016"/>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AUC = 0.978, PRAUC = 0.973</w:t>
            </w:r>
          </w:p>
        </w:tc>
      </w:tr>
    </w:tbl>
    <w:p>
      <w:pPr>
        <w:spacing w:before="0" w:after="160"/>
      </w:pPr>
    </w:p>
    <w:p>
      <w:r>
        <w:br w:type="page"/>
      </w:r>
    </w:p>
    <w:p>
      <w:pPr>
        <w:spacing w:before="360" w:after="80" w:line="240" w:lineRule="auto"/>
        <w:jc w:val="center"/>
      </w:pPr>
      <w:r>
        <w:rPr>
          <w:rFonts w:ascii="Times New Roman" w:hAnsi="Times New Roman"/>
          <w:b/>
          <w:i w:val="0"/>
          <w:sz w:val="32"/>
        </w:rPr>
        <w:t>CHAPTER 3</w:t>
        <w:br/>
      </w:r>
      <w:r>
        <w:rPr>
          <w:rFonts w:ascii="Times New Roman" w:hAnsi="Times New Roman"/>
          <w:b/>
          <w:i w:val="0"/>
          <w:sz w:val="32"/>
        </w:rPr>
        <w:t>SYSTEM ARCHITECTURE AND METHODOLOGY</w:t>
      </w:r>
    </w:p>
    <w:p>
      <w:pPr>
        <w:spacing w:before="0" w:after="240"/>
      </w:pPr>
    </w:p>
    <w:p>
      <w:pPr>
        <w:spacing w:before="280" w:after="80" w:line="276" w:lineRule="auto"/>
        <w:jc w:val="left"/>
      </w:pPr>
      <w:r>
        <w:rPr>
          <w:rFonts w:ascii="Times New Roman" w:hAnsi="Times New Roman"/>
          <w:b/>
          <w:i w:val="0"/>
          <w:sz w:val="28"/>
        </w:rPr>
        <w:t>3.1 THEORETICAL ARCHITECTURE OF HYPERATTDDI</w:t>
      </w:r>
    </w:p>
    <w:p>
      <w:pPr>
        <w:spacing w:before="0" w:after="120" w:line="360" w:lineRule="auto"/>
        <w:jc w:val="both"/>
      </w:pPr>
      <w:r>
        <w:rPr>
          <w:rFonts w:ascii="Times New Roman" w:hAnsi="Times New Roman"/>
          <w:b w:val="0"/>
          <w:i w:val="0"/>
          <w:sz w:val="24"/>
        </w:rPr>
        <w:t>HyperAttDDI is an end-to-end differentiable neural framework specifically engineered to overcome the label contradiction problem, feature modality gaps, and unweighted aggregation bottlenecks in higher-order polypharmacy modeling. The overall architecture is organized into five tightly coupled modules:</w:t>
      </w:r>
    </w:p>
    <w:p>
      <w:pPr>
        <w:spacing w:before="80" w:after="200" w:line="312" w:lineRule="auto"/>
        <w:jc w:val="left"/>
      </w:pPr>
      <w:r>
        <w:rPr>
          <w:rFonts w:ascii="Times New Roman" w:hAnsi="Times New Roman"/>
          <w:b w:val="0"/>
          <w:i w:val="0"/>
          <w:sz w:val="23"/>
        </w:rPr>
        <w:t>1. Module 1: Multimodal Drug Representation Encoder with Learned Attention Gating.</w:t>
        <w:br/>
        <w:t>2. Module 2: Higher-Order Hypergraph Convolutions for Cohort Context Diffusion.</w:t>
        <w:br/>
        <w:t>3. Module 3: Biomedical Semantic Adverse-Event Language Encoder.</w:t>
        <w:br/>
        <w:t>4. Module 4: Adverse-Event-Conditioned Dynamic Attention Pooling Engine.</w:t>
        <w:br/>
        <w:t>5. Module 5: Interaction Prediction Classification Head and Focal Loss Optimization.</w:t>
      </w:r>
    </w:p>
    <w:p>
      <w:pPr>
        <w:spacing w:before="120" w:after="80"/>
        <w:jc w:val="center"/>
      </w:pPr>
      <w:r>
        <w:drawing>
          <wp:inline xmlns:a="http://schemas.openxmlformats.org/drawingml/2006/main" xmlns:pic="http://schemas.openxmlformats.org/drawingml/2006/picture">
            <wp:extent cx="5486400" cy="2743200"/>
            <wp:docPr id="3" name="Picture 3"/>
            <wp:cNvGraphicFramePr>
              <a:graphicFrameLocks noChangeAspect="1"/>
            </wp:cNvGraphicFramePr>
            <a:graphic>
              <a:graphicData uri="http://schemas.openxmlformats.org/drawingml/2006/picture">
                <pic:pic>
                  <pic:nvPicPr>
                    <pic:cNvPr id="0" name="fig_system_architecture.png"/>
                    <pic:cNvPicPr/>
                  </pic:nvPicPr>
                  <pic:blipFill>
                    <a:blip r:embed="rId11"/>
                    <a:stretch>
                      <a:fillRect/>
                    </a:stretch>
                  </pic:blipFill>
                  <pic:spPr>
                    <a:xfrm>
                      <a:off x="0" y="0"/>
                      <a:ext cx="5486400" cy="2743200"/>
                    </a:xfrm>
                    <a:prstGeom prst="rect"/>
                  </pic:spPr>
                </pic:pic>
              </a:graphicData>
            </a:graphic>
          </wp:inline>
        </w:drawing>
      </w:r>
    </w:p>
    <w:p>
      <w:pPr>
        <w:spacing w:before="40" w:after="240" w:line="240" w:lineRule="auto"/>
        <w:jc w:val="center"/>
      </w:pPr>
      <w:r>
        <w:rPr>
          <w:rFonts w:ascii="Times New Roman" w:hAnsi="Times New Roman"/>
          <w:b/>
          <w:i/>
          <w:sz w:val="20"/>
        </w:rPr>
        <w:t>Figure 3.1: Complete End-to-End Deep Architecture of HyperAttDDI</w:t>
      </w:r>
    </w:p>
    <w:p>
      <w:pPr>
        <w:spacing w:before="280" w:after="80" w:line="276" w:lineRule="auto"/>
        <w:jc w:val="left"/>
      </w:pPr>
      <w:r>
        <w:rPr>
          <w:rFonts w:ascii="Times New Roman" w:hAnsi="Times New Roman"/>
          <w:b/>
          <w:i w:val="0"/>
          <w:sz w:val="28"/>
        </w:rPr>
        <w:t>3.2 MODULE 1: MULTIMODAL DRUG REPRESENTATION &amp; ATTENTION GATING</w:t>
      </w:r>
    </w:p>
    <w:p>
      <w:pPr>
        <w:spacing w:before="0" w:after="120" w:line="360" w:lineRule="auto"/>
        <w:jc w:val="both"/>
      </w:pPr>
      <w:r>
        <w:rPr>
          <w:rFonts w:ascii="Times New Roman" w:hAnsi="Times New Roman"/>
          <w:b w:val="0"/>
          <w:i w:val="0"/>
          <w:sz w:val="24"/>
        </w:rPr>
        <w:t>Each therapeutic drug i in {1, ..., N} is represented through two complementary information modalities: (1) chemical structure, and (2) biological mechanism of action.</w:t>
      </w:r>
    </w:p>
    <w:p>
      <w:pPr>
        <w:spacing w:before="0" w:after="120" w:line="360" w:lineRule="auto"/>
        <w:jc w:val="both"/>
      </w:pPr>
      <w:r>
        <w:rPr>
          <w:rFonts w:ascii="Times New Roman" w:hAnsi="Times New Roman"/>
          <w:b w:val="0"/>
          <w:i w:val="0"/>
          <w:sz w:val="24"/>
        </w:rPr>
        <w:t>Chemical Language Representation: For molecular structure, we extract dense 768-dimensional token embeddings x_i^{smiles} in R^{768} from ChemBERTa (PubChem10M BPE-450k), a pre-trained RoBERTa model trained on 10 million canonical SMILES strings. ChemBERTa captures high-level molecular functional groups, aromaticity, and topological pharmacophores without requiring manual fingerprint engineering.</w:t>
      </w:r>
    </w:p>
    <w:p>
      <w:pPr>
        <w:spacing w:before="0" w:after="120" w:line="360" w:lineRule="auto"/>
        <w:jc w:val="both"/>
      </w:pPr>
      <w:r>
        <w:rPr>
          <w:rFonts w:ascii="Times New Roman" w:hAnsi="Times New Roman"/>
          <w:b w:val="0"/>
          <w:i w:val="0"/>
          <w:sz w:val="24"/>
        </w:rPr>
        <w:t>Pharmacological Knowledge Representation: To ground the model in biological pathways, we construct a 1,024-dimensional multi-hot mechanism profile x_i^{bio} in {0, 1}^{1024} curated from DrugBank and KEGG: comprising 3,793 human protein targets, 1,270 CYP450 and metabolic liver enzymes, 215 drug transporters/carriers, and 3-digit Anatomical Therapeutic Chemical (ATC) classifications.</w:t>
      </w:r>
    </w:p>
    <w:tbl>
      <w:tblPr>
        <w:tblW w:type="auto" w:w="0"/>
        <w:jc w:val="center"/>
        <w:tblLook w:firstColumn="1" w:firstRow="1" w:lastColumn="0" w:lastRow="0" w:noHBand="0" w:noVBand="1" w:val="04A0"/>
        <w:tblBorders>
          <w:top w:val="single" w:sz="4" w:space="0" w:color="B0BEC5"/>
          <w:bottom w:val="single" w:sz="4" w:space="0" w:color="B0BEC5"/>
          <w:left w:val="none"/>
          <w:right w:val="none"/>
          <w:insideH w:val="single" w:sz="4" w:space="0" w:color="B0BEC5"/>
          <w:insideV w:val="none"/>
        </w:tblBorders>
      </w:tblPr>
      <w:tblGrid>
        <w:gridCol w:w="2077"/>
        <w:gridCol w:w="2077"/>
        <w:gridCol w:w="2077"/>
        <w:gridCol w:w="2077"/>
      </w:tblGrid>
      <w:tr>
        <w:tc>
          <w:tcPr>
            <w:tcW w:type="dxa" w:w="2592"/>
            <w:shd w:fill="1B365D"/>
            <w:tcMar>
              <w:top w:w="140" w:type="dxa"/>
              <w:bottom w:w="140" w:type="dxa"/>
              <w:left w:w="160" w:type="dxa"/>
              <w:right w:w="160" w:type="dxa"/>
            </w:tcMar>
          </w:tcPr>
          <w:p>
            <w:pPr>
              <w:spacing w:before="0" w:after="0" w:line="240" w:lineRule="auto"/>
              <w:jc w:val="center"/>
            </w:pPr>
            <w:r>
              <w:rPr>
                <w:rFonts w:ascii="Times New Roman" w:hAnsi="Times New Roman"/>
                <w:b/>
                <w:i w:val="0"/>
                <w:color w:val="FFFFFF"/>
                <w:sz w:val="20"/>
              </w:rPr>
              <w:t>Feature Category</w:t>
            </w:r>
          </w:p>
        </w:tc>
        <w:tc>
          <w:tcPr>
            <w:tcW w:type="dxa" w:w="1440"/>
            <w:shd w:fill="1B365D"/>
            <w:tcMar>
              <w:top w:w="140" w:type="dxa"/>
              <w:bottom w:w="140" w:type="dxa"/>
              <w:left w:w="160" w:type="dxa"/>
              <w:right w:w="160" w:type="dxa"/>
            </w:tcMar>
          </w:tcPr>
          <w:p>
            <w:pPr>
              <w:spacing w:before="0" w:after="0" w:line="240" w:lineRule="auto"/>
              <w:jc w:val="center"/>
            </w:pPr>
            <w:r>
              <w:rPr>
                <w:rFonts w:ascii="Times New Roman" w:hAnsi="Times New Roman"/>
                <w:b/>
                <w:i w:val="0"/>
                <w:color w:val="FFFFFF"/>
                <w:sz w:val="20"/>
              </w:rPr>
              <w:t>Dimension</w:t>
            </w:r>
          </w:p>
        </w:tc>
        <w:tc>
          <w:tcPr>
            <w:tcW w:type="dxa" w:w="3456"/>
            <w:shd w:fill="1B365D"/>
            <w:tcMar>
              <w:top w:w="140" w:type="dxa"/>
              <w:bottom w:w="140" w:type="dxa"/>
              <w:left w:w="160" w:type="dxa"/>
              <w:right w:w="160" w:type="dxa"/>
            </w:tcMar>
          </w:tcPr>
          <w:p>
            <w:pPr>
              <w:spacing w:before="0" w:after="0" w:line="240" w:lineRule="auto"/>
              <w:jc w:val="center"/>
            </w:pPr>
            <w:r>
              <w:rPr>
                <w:rFonts w:ascii="Times New Roman" w:hAnsi="Times New Roman"/>
                <w:b/>
                <w:i w:val="0"/>
                <w:color w:val="FFFFFF"/>
                <w:sz w:val="20"/>
              </w:rPr>
              <w:t>Biological Meaning</w:t>
            </w:r>
          </w:p>
        </w:tc>
        <w:tc>
          <w:tcPr>
            <w:tcW w:type="dxa" w:w="2592"/>
            <w:shd w:fill="1B365D"/>
            <w:tcMar>
              <w:top w:w="140" w:type="dxa"/>
              <w:bottom w:w="140" w:type="dxa"/>
              <w:left w:w="160" w:type="dxa"/>
              <w:right w:w="160" w:type="dxa"/>
            </w:tcMar>
          </w:tcPr>
          <w:p>
            <w:pPr>
              <w:spacing w:before="0" w:after="0" w:line="240" w:lineRule="auto"/>
              <w:jc w:val="center"/>
            </w:pPr>
            <w:r>
              <w:rPr>
                <w:rFonts w:ascii="Times New Roman" w:hAnsi="Times New Roman"/>
                <w:b/>
                <w:i w:val="0"/>
                <w:color w:val="FFFFFF"/>
                <w:sz w:val="20"/>
              </w:rPr>
              <w:t>Source Knowledge Base</w:t>
            </w:r>
          </w:p>
        </w:tc>
      </w:tr>
      <w:tr>
        <w:tc>
          <w:tcPr>
            <w:tcW w:type="dxa" w:w="2592"/>
            <w:tcMar>
              <w:top w:w="100" w:type="dxa"/>
              <w:bottom w:w="100" w:type="dxa"/>
              <w:left w:w="150" w:type="dxa"/>
              <w:right w:w="150" w:type="dxa"/>
            </w:tcMar>
          </w:tcPr>
          <w:p>
            <w:pPr>
              <w:spacing w:before="0" w:after="0" w:line="276" w:lineRule="auto"/>
              <w:jc w:val="left"/>
            </w:pPr>
            <w:r>
              <w:rPr>
                <w:rFonts w:ascii="Times New Roman" w:hAnsi="Times New Roman"/>
                <w:b w:val="0"/>
                <w:i w:val="0"/>
                <w:sz w:val="19"/>
              </w:rPr>
              <w:t>ChemBERTa SMILES</w:t>
            </w:r>
          </w:p>
        </w:tc>
        <w:tc>
          <w:tcPr>
            <w:tcW w:type="dxa" w:w="1440"/>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768-dim</w:t>
            </w:r>
          </w:p>
        </w:tc>
        <w:tc>
          <w:tcPr>
            <w:tcW w:type="dxa" w:w="3456"/>
            <w:tcMar>
              <w:top w:w="100" w:type="dxa"/>
              <w:bottom w:w="100" w:type="dxa"/>
              <w:left w:w="150" w:type="dxa"/>
              <w:right w:w="150" w:type="dxa"/>
            </w:tcMar>
          </w:tcPr>
          <w:p>
            <w:pPr>
              <w:spacing w:before="0" w:after="0" w:line="276" w:lineRule="auto"/>
              <w:jc w:val="left"/>
            </w:pPr>
            <w:r>
              <w:rPr>
                <w:rFonts w:ascii="Times New Roman" w:hAnsi="Times New Roman"/>
                <w:b w:val="0"/>
                <w:i w:val="0"/>
                <w:sz w:val="19"/>
              </w:rPr>
              <w:t>Chemical structure language embedding</w:t>
            </w:r>
          </w:p>
        </w:tc>
        <w:tc>
          <w:tcPr>
            <w:tcW w:type="dxa" w:w="2592"/>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PubChem 10M / HuggingFace</w:t>
            </w:r>
          </w:p>
        </w:tc>
      </w:tr>
      <w:tr>
        <w:tc>
          <w:tcPr>
            <w:tcW w:type="dxa" w:w="2592"/>
            <w:shd w:fill="F8F9FA"/>
            <w:tcMar>
              <w:top w:w="100" w:type="dxa"/>
              <w:bottom w:w="100" w:type="dxa"/>
              <w:left w:w="150" w:type="dxa"/>
              <w:right w:w="150" w:type="dxa"/>
            </w:tcMar>
          </w:tcPr>
          <w:p>
            <w:pPr>
              <w:spacing w:before="0" w:after="0" w:line="276" w:lineRule="auto"/>
              <w:jc w:val="left"/>
            </w:pPr>
            <w:r>
              <w:rPr>
                <w:rFonts w:ascii="Times New Roman" w:hAnsi="Times New Roman"/>
                <w:b w:val="0"/>
                <w:i w:val="0"/>
                <w:sz w:val="19"/>
              </w:rPr>
              <w:t>Target Proteins</w:t>
            </w:r>
          </w:p>
        </w:tc>
        <w:tc>
          <w:tcPr>
            <w:tcW w:type="dxa" w:w="1440"/>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780-dim</w:t>
            </w:r>
          </w:p>
        </w:tc>
        <w:tc>
          <w:tcPr>
            <w:tcW w:type="dxa" w:w="3456"/>
            <w:shd w:fill="F8F9FA"/>
            <w:tcMar>
              <w:top w:w="100" w:type="dxa"/>
              <w:bottom w:w="100" w:type="dxa"/>
              <w:left w:w="150" w:type="dxa"/>
              <w:right w:w="150" w:type="dxa"/>
            </w:tcMar>
          </w:tcPr>
          <w:p>
            <w:pPr>
              <w:spacing w:before="0" w:after="0" w:line="276" w:lineRule="auto"/>
              <w:jc w:val="left"/>
            </w:pPr>
            <w:r>
              <w:rPr>
                <w:rFonts w:ascii="Times New Roman" w:hAnsi="Times New Roman"/>
                <w:b w:val="0"/>
                <w:i w:val="0"/>
                <w:sz w:val="19"/>
              </w:rPr>
              <w:t>Macromolecular drug-binding receptors</w:t>
            </w:r>
          </w:p>
        </w:tc>
        <w:tc>
          <w:tcPr>
            <w:tcW w:type="dxa" w:w="2592"/>
            <w:shd w:fill="F8F9FA"/>
            <w:tcMar>
              <w:top w:w="100" w:type="dxa"/>
              <w:bottom w:w="100" w:type="dxa"/>
              <w:left w:w="150" w:type="dxa"/>
              <w:right w:w="150" w:type="dxa"/>
            </w:tcMar>
          </w:tcPr>
          <w:p>
            <w:pPr>
              <w:spacing w:before="0" w:after="0" w:line="276" w:lineRule="auto"/>
              <w:jc w:val="left"/>
            </w:pPr>
            <w:r>
              <w:rPr>
                <w:rFonts w:ascii="Times New Roman" w:hAnsi="Times New Roman"/>
                <w:b w:val="0"/>
                <w:i w:val="0"/>
                <w:sz w:val="19"/>
              </w:rPr>
              <w:t>KEGG / DrugBank API</w:t>
            </w:r>
          </w:p>
        </w:tc>
      </w:tr>
      <w:tr>
        <w:tc>
          <w:tcPr>
            <w:tcW w:type="dxa" w:w="2592"/>
            <w:tcMar>
              <w:top w:w="100" w:type="dxa"/>
              <w:bottom w:w="100" w:type="dxa"/>
              <w:left w:w="150" w:type="dxa"/>
              <w:right w:w="150" w:type="dxa"/>
            </w:tcMar>
          </w:tcPr>
          <w:p>
            <w:pPr>
              <w:spacing w:before="0" w:after="0" w:line="276" w:lineRule="auto"/>
              <w:jc w:val="left"/>
            </w:pPr>
            <w:r>
              <w:rPr>
                <w:rFonts w:ascii="Times New Roman" w:hAnsi="Times New Roman"/>
                <w:b w:val="0"/>
                <w:i w:val="0"/>
                <w:sz w:val="19"/>
              </w:rPr>
              <w:t>Metabolic Enzymes</w:t>
            </w:r>
          </w:p>
        </w:tc>
        <w:tc>
          <w:tcPr>
            <w:tcW w:type="dxa" w:w="1440"/>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129-dim</w:t>
            </w:r>
          </w:p>
        </w:tc>
        <w:tc>
          <w:tcPr>
            <w:tcW w:type="dxa" w:w="3456"/>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Hepatic CYP450 clearance enzymes</w:t>
            </w:r>
          </w:p>
        </w:tc>
        <w:tc>
          <w:tcPr>
            <w:tcW w:type="dxa" w:w="2592"/>
            <w:tcMar>
              <w:top w:w="100" w:type="dxa"/>
              <w:bottom w:w="100" w:type="dxa"/>
              <w:left w:w="150" w:type="dxa"/>
              <w:right w:w="150" w:type="dxa"/>
            </w:tcMar>
          </w:tcPr>
          <w:p>
            <w:pPr>
              <w:spacing w:before="0" w:after="0" w:line="276" w:lineRule="auto"/>
              <w:jc w:val="left"/>
            </w:pPr>
            <w:r>
              <w:rPr>
                <w:rFonts w:ascii="Times New Roman" w:hAnsi="Times New Roman"/>
                <w:b w:val="0"/>
                <w:i w:val="0"/>
                <w:sz w:val="19"/>
              </w:rPr>
              <w:t>KEGG Pathway Database</w:t>
            </w:r>
          </w:p>
        </w:tc>
      </w:tr>
      <w:tr>
        <w:tc>
          <w:tcPr>
            <w:tcW w:type="dxa" w:w="2592"/>
            <w:shd w:fill="F8F9FA"/>
            <w:tcMar>
              <w:top w:w="100" w:type="dxa"/>
              <w:bottom w:w="100" w:type="dxa"/>
              <w:left w:w="150" w:type="dxa"/>
              <w:right w:w="150" w:type="dxa"/>
            </w:tcMar>
          </w:tcPr>
          <w:p>
            <w:pPr>
              <w:spacing w:before="0" w:after="0" w:line="276" w:lineRule="auto"/>
              <w:jc w:val="left"/>
            </w:pPr>
            <w:r>
              <w:rPr>
                <w:rFonts w:ascii="Times New Roman" w:hAnsi="Times New Roman"/>
                <w:b w:val="0"/>
                <w:i w:val="0"/>
                <w:sz w:val="19"/>
              </w:rPr>
              <w:t>Transporters &amp; ATC</w:t>
            </w:r>
          </w:p>
        </w:tc>
        <w:tc>
          <w:tcPr>
            <w:tcW w:type="dxa" w:w="1440"/>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115-dim</w:t>
            </w:r>
          </w:p>
        </w:tc>
        <w:tc>
          <w:tcPr>
            <w:tcW w:type="dxa" w:w="3456"/>
            <w:shd w:fill="F8F9FA"/>
            <w:tcMar>
              <w:top w:w="100" w:type="dxa"/>
              <w:bottom w:w="100" w:type="dxa"/>
              <w:left w:w="150" w:type="dxa"/>
              <w:right w:w="150" w:type="dxa"/>
            </w:tcMar>
          </w:tcPr>
          <w:p>
            <w:pPr>
              <w:spacing w:before="0" w:after="0" w:line="276" w:lineRule="auto"/>
              <w:jc w:val="left"/>
            </w:pPr>
            <w:r>
              <w:rPr>
                <w:rFonts w:ascii="Times New Roman" w:hAnsi="Times New Roman"/>
                <w:b w:val="0"/>
                <w:i w:val="0"/>
                <w:sz w:val="19"/>
              </w:rPr>
              <w:t>Cellular influx/efflux &amp; organ class</w:t>
            </w:r>
          </w:p>
        </w:tc>
        <w:tc>
          <w:tcPr>
            <w:tcW w:type="dxa" w:w="2592"/>
            <w:shd w:fill="F8F9FA"/>
            <w:tcMar>
              <w:top w:w="100" w:type="dxa"/>
              <w:bottom w:w="100" w:type="dxa"/>
              <w:left w:w="150" w:type="dxa"/>
              <w:right w:w="150" w:type="dxa"/>
            </w:tcMar>
          </w:tcPr>
          <w:p>
            <w:pPr>
              <w:spacing w:before="0" w:after="0" w:line="276" w:lineRule="auto"/>
              <w:jc w:val="left"/>
            </w:pPr>
            <w:r>
              <w:rPr>
                <w:rFonts w:ascii="Times New Roman" w:hAnsi="Times New Roman"/>
                <w:b w:val="0"/>
                <w:i w:val="0"/>
                <w:sz w:val="19"/>
              </w:rPr>
              <w:t>DrugBank Anatomical Index</w:t>
            </w:r>
          </w:p>
        </w:tc>
      </w:tr>
      <w:tr>
        <w:tc>
          <w:tcPr>
            <w:tcW w:type="dxa" w:w="2592"/>
            <w:tcMar>
              <w:top w:w="100" w:type="dxa"/>
              <w:bottom w:w="100" w:type="dxa"/>
              <w:left w:w="150" w:type="dxa"/>
              <w:right w:w="150" w:type="dxa"/>
            </w:tcMar>
          </w:tcPr>
          <w:p>
            <w:pPr>
              <w:spacing w:before="0" w:after="0" w:line="276" w:lineRule="auto"/>
              <w:jc w:val="left"/>
            </w:pPr>
            <w:r>
              <w:rPr>
                <w:rFonts w:ascii="Times New Roman" w:hAnsi="Times New Roman"/>
                <w:b w:val="0"/>
                <w:i w:val="0"/>
                <w:sz w:val="19"/>
              </w:rPr>
              <w:t>Unified Bio Profile</w:t>
            </w:r>
          </w:p>
        </w:tc>
        <w:tc>
          <w:tcPr>
            <w:tcW w:type="dxa" w:w="1440"/>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1,024-dim</w:t>
            </w:r>
          </w:p>
        </w:tc>
        <w:tc>
          <w:tcPr>
            <w:tcW w:type="dxa" w:w="3456"/>
            <w:tcMar>
              <w:top w:w="100" w:type="dxa"/>
              <w:bottom w:w="100" w:type="dxa"/>
              <w:left w:w="150" w:type="dxa"/>
              <w:right w:w="150" w:type="dxa"/>
            </w:tcMar>
          </w:tcPr>
          <w:p>
            <w:pPr>
              <w:spacing w:before="0" w:after="0" w:line="276" w:lineRule="auto"/>
              <w:jc w:val="left"/>
            </w:pPr>
            <w:r>
              <w:rPr>
                <w:rFonts w:ascii="Times New Roman" w:hAnsi="Times New Roman"/>
                <w:b w:val="0"/>
                <w:i w:val="0"/>
                <w:sz w:val="19"/>
              </w:rPr>
              <w:t>Compressed pharmacological profile</w:t>
            </w:r>
          </w:p>
        </w:tc>
        <w:tc>
          <w:tcPr>
            <w:tcW w:type="dxa" w:w="2592"/>
            <w:tcMar>
              <w:top w:w="100" w:type="dxa"/>
              <w:bottom w:w="100" w:type="dxa"/>
              <w:left w:w="150" w:type="dxa"/>
              <w:right w:w="150" w:type="dxa"/>
            </w:tcMar>
          </w:tcPr>
          <w:p>
            <w:pPr>
              <w:spacing w:before="0" w:after="0" w:line="276" w:lineRule="auto"/>
              <w:jc w:val="left"/>
            </w:pPr>
            <w:r>
              <w:rPr>
                <w:rFonts w:ascii="Times New Roman" w:hAnsi="Times New Roman"/>
                <w:b w:val="0"/>
                <w:i w:val="0"/>
                <w:sz w:val="19"/>
              </w:rPr>
              <w:t>Multi-hot Feature Matrix</w:t>
            </w:r>
          </w:p>
        </w:tc>
      </w:tr>
    </w:tbl>
    <w:p>
      <w:pPr>
        <w:spacing w:before="0" w:after="160"/>
      </w:pPr>
    </w:p>
    <w:p>
      <w:pPr>
        <w:spacing w:before="200" w:after="60" w:line="276" w:lineRule="auto"/>
        <w:jc w:val="left"/>
      </w:pPr>
      <w:r>
        <w:rPr>
          <w:rFonts w:ascii="Times New Roman" w:hAnsi="Times New Roman"/>
          <w:b/>
          <w:i w:val="0"/>
          <w:sz w:val="24"/>
        </w:rPr>
        <w:t>Dynamic Attention-Based Modality Gating</w:t>
      </w:r>
    </w:p>
    <w:p>
      <w:pPr>
        <w:spacing w:before="0" w:after="120" w:line="360" w:lineRule="auto"/>
        <w:jc w:val="both"/>
      </w:pPr>
      <w:r>
        <w:rPr>
          <w:rFonts w:ascii="Times New Roman" w:hAnsi="Times New Roman"/>
          <w:b w:val="0"/>
          <w:i w:val="0"/>
          <w:sz w:val="24"/>
        </w:rPr>
        <w:t>Both feature vectors are projected into a latent representation space through non-linear multi-layer perceptron encoders:</w:t>
      </w:r>
    </w:p>
    <w:p>
      <w:pPr>
        <w:spacing w:before="80" w:after="120" w:line="360" w:lineRule="auto"/>
        <w:jc w:val="center"/>
      </w:pPr>
      <w:r>
        <w:rPr>
          <w:rFonts w:ascii="Times New Roman" w:hAnsi="Times New Roman"/>
          <w:b/>
          <w:i w:val="0"/>
          <w:sz w:val="24"/>
        </w:rPr>
        <w:t>h_i^{smiles} = Dropout(ReLU(W_s x_i^{smiles} + b_s)) in R^{256}</w:t>
        <w:br/>
        <w:t>h_i^{bio} = Dropout(ReLU(W_b x_i^{bio} + b_b)) in R^{128}</w:t>
        <w:br/>
        <w:t>h_i^{bio, proj} = W_p h_i^{bio} in R^{256}</w:t>
      </w:r>
    </w:p>
    <w:p>
      <w:pPr>
        <w:spacing w:before="0" w:after="120" w:line="360" w:lineRule="auto"/>
        <w:jc w:val="both"/>
      </w:pPr>
      <w:r>
        <w:rPr>
          <w:rFonts w:ascii="Times New Roman" w:hAnsi="Times New Roman"/>
          <w:b w:val="0"/>
          <w:i w:val="0"/>
          <w:sz w:val="24"/>
        </w:rPr>
        <w:t>Rather than concatenating features, a gating network computes adaptive modality attention scores s_i in R^2:</w:t>
      </w:r>
    </w:p>
    <w:p>
      <w:pPr>
        <w:spacing w:before="80" w:after="160" w:line="360" w:lineRule="auto"/>
        <w:jc w:val="center"/>
      </w:pPr>
      <w:r>
        <w:rPr>
          <w:rFonts w:ascii="Times New Roman" w:hAnsi="Times New Roman"/>
          <w:b/>
          <w:i w:val="0"/>
          <w:sz w:val="24"/>
        </w:rPr>
        <w:t>s_i = w_a^T tanh(W_a [h_i^{smiles} || h_i^{bio, proj}]^T)</w:t>
        <w:br/>
        <w:t>alpha_i = softmax(s_i) = [alpha_{i, smiles}, alpha_{i, bio}]^T in R^2</w:t>
        <w:br/>
        <w:t>X_i = LayerNorm(h_i^{smiles} + (alpha_{i, smiles} h_i^{smiles} + alpha_{i, bio} h_i^{bio, proj})) in R^{256}</w:t>
      </w:r>
    </w:p>
    <w:p>
      <w:pPr>
        <w:spacing w:before="0" w:after="120" w:line="360" w:lineRule="auto"/>
        <w:jc w:val="both"/>
      </w:pPr>
      <w:r>
        <w:rPr>
          <w:rFonts w:ascii="Times New Roman" w:hAnsi="Times New Roman"/>
          <w:b w:val="0"/>
          <w:i w:val="0"/>
          <w:sz w:val="24"/>
        </w:rPr>
        <w:t>Crucially, this gating formulation provides autonomous graceful fallback: for novel or unannotated compounds where KEGG features are absent, alpha_{i, smiles} naturally approaches 1.0, allowing the network to rely purely on chemical structure without failing.</w:t>
      </w:r>
    </w:p>
    <w:p>
      <w:pPr>
        <w:spacing w:before="280" w:after="80" w:line="276" w:lineRule="auto"/>
        <w:jc w:val="left"/>
      </w:pPr>
      <w:r>
        <w:rPr>
          <w:rFonts w:ascii="Times New Roman" w:hAnsi="Times New Roman"/>
          <w:b/>
          <w:i w:val="0"/>
          <w:sz w:val="28"/>
        </w:rPr>
        <w:t>3.3 MODULE 2: HIGHER-ORDER HYPERGRAPH CONVOLUTIONS</w:t>
      </w:r>
    </w:p>
    <w:p>
      <w:pPr>
        <w:spacing w:before="0" w:after="120" w:line="360" w:lineRule="auto"/>
        <w:jc w:val="both"/>
      </w:pPr>
      <w:r>
        <w:rPr>
          <w:rFonts w:ascii="Times New Roman" w:hAnsi="Times New Roman"/>
          <w:b w:val="0"/>
          <w:i w:val="0"/>
          <w:sz w:val="24"/>
        </w:rPr>
        <w:t>Let G = (V, E, H) represent the clinical drug hypergraph, where V = {d_1, ..., d_N} is the set of N unique therapeutic drugs, and E = {e_1, ..., e_M} is the set of M multi-drug prescription regimens observed across the patient cohort. The hypergraph incidence matrix H in {0, 1}^{N x M} is defined as:</w:t>
      </w:r>
    </w:p>
    <w:p>
      <w:pPr>
        <w:spacing w:before="80" w:after="120" w:line="360" w:lineRule="auto"/>
        <w:jc w:val="center"/>
      </w:pPr>
      <w:r>
        <w:rPr>
          <w:rFonts w:ascii="Times New Roman" w:hAnsi="Times New Roman"/>
          <w:b/>
          <w:i w:val="0"/>
          <w:sz w:val="24"/>
        </w:rPr>
        <w:t>H_{i, e} = 1 if drug d_i in prescription e, else 0</w:t>
      </w:r>
    </w:p>
    <w:p>
      <w:pPr>
        <w:spacing w:before="0" w:after="120" w:line="360" w:lineRule="auto"/>
        <w:jc w:val="both"/>
      </w:pPr>
      <w:r>
        <w:rPr>
          <w:rFonts w:ascii="Times New Roman" w:hAnsi="Times New Roman"/>
          <w:b w:val="0"/>
          <w:i w:val="0"/>
          <w:sz w:val="24"/>
        </w:rPr>
        <w:t>The diagonal node degree matrix D_v in R^{N x N} and hyperedge degree matrix D_e in R^{M x M} are defined as D_v(i, i) = \sum_e H_{i, e} and D_e(e, e) = \sum_i H_{i, e} = |e|. To diffuse co-prescription context across overlapping clinical regimens, we apply two successive layers of multi-head hypergraph message passing (M = 4 heads) implemented via PyTorch Geometric:</w:t>
      </w:r>
    </w:p>
    <w:p>
      <w:pPr>
        <w:spacing w:before="80" w:after="160" w:line="360" w:lineRule="auto"/>
        <w:jc w:val="center"/>
      </w:pPr>
      <w:r>
        <w:rPr>
          <w:rFonts w:ascii="Times New Roman" w:hAnsi="Times New Roman"/>
          <w:b/>
          <w:i w:val="0"/>
          <w:sz w:val="24"/>
        </w:rPr>
        <w:t>X^{(l+1)} = sigma( \sum_{m=1}^M D_v^{-1} H W_e^{(l, m)} D_e^{-1} H^T X^{(l)} Theta^{(l, m)} ) in R^{N x 256}</w:t>
      </w:r>
    </w:p>
    <w:p>
      <w:pPr>
        <w:spacing w:before="0" w:after="120" w:line="360" w:lineRule="auto"/>
        <w:jc w:val="both"/>
      </w:pPr>
      <w:r>
        <w:rPr>
          <w:rFonts w:ascii="Times New Roman" w:hAnsi="Times New Roman"/>
          <w:b w:val="0"/>
          <w:i w:val="0"/>
          <w:sz w:val="24"/>
        </w:rPr>
        <w:t>This hypergraph convolution operates in two distinct phases: (1) Node-to-Hyperedge aggregation (H^T X), gathering member drug states into prescription contexts; and (2) Hyperedge-to-Node propagation (H E), diffusing clinical co-occurrence patterns back to individual drugs.</w:t>
      </w:r>
    </w:p>
    <w:p>
      <w:pPr>
        <w:spacing w:before="280" w:after="80" w:line="276" w:lineRule="auto"/>
        <w:jc w:val="left"/>
      </w:pPr>
      <w:r>
        <w:rPr>
          <w:rFonts w:ascii="Times New Roman" w:hAnsi="Times New Roman"/>
          <w:b/>
          <w:i w:val="0"/>
          <w:sz w:val="28"/>
        </w:rPr>
        <w:t>3.4 MODULE 3: ADVERSE-EVENT SEMANTIC ENCODING</w:t>
      </w:r>
    </w:p>
    <w:p>
      <w:pPr>
        <w:spacing w:before="0" w:after="120" w:line="360" w:lineRule="auto"/>
        <w:jc w:val="both"/>
      </w:pPr>
      <w:r>
        <w:rPr>
          <w:rFonts w:ascii="Times New Roman" w:hAnsi="Times New Roman"/>
          <w:b w:val="0"/>
          <w:i w:val="0"/>
          <w:sz w:val="24"/>
        </w:rPr>
        <w:t>To provide the model with a continuous, generalizable understanding of clinical toxicities, each adverse reaction name s_e (e.g., 'Gastrointestinal Hemorrhage', 'Acute Kidney Injury') is tokenized and mapped through SapBERT (Self-Alignment Pretrained Biomedical BERT, 768d). SapBERT was pre-trained on PubMed biomedical literature and 4 million medical concepts from UMLS, aligning synonyms into proximate metric spaces:</w:t>
      </w:r>
    </w:p>
    <w:p>
      <w:pPr>
        <w:spacing w:before="80" w:after="160" w:line="360" w:lineRule="auto"/>
        <w:jc w:val="center"/>
      </w:pPr>
      <w:r>
        <w:rPr>
          <w:rFonts w:ascii="Times New Roman" w:hAnsi="Times New Roman"/>
          <w:b/>
          <w:i w:val="0"/>
          <w:sz w:val="24"/>
        </w:rPr>
        <w:t>h_{se} = Dropout(ReLU(W_{se} s_e^{SapBERT} + b_{se})) in R^{256}</w:t>
      </w:r>
    </w:p>
    <w:p>
      <w:pPr>
        <w:spacing w:before="280" w:after="80" w:line="276" w:lineRule="auto"/>
        <w:jc w:val="left"/>
      </w:pPr>
      <w:r>
        <w:rPr>
          <w:rFonts w:ascii="Times New Roman" w:hAnsi="Times New Roman"/>
          <w:b/>
          <w:i w:val="0"/>
          <w:sz w:val="28"/>
        </w:rPr>
        <w:t>3.5 MODULE 4: SIDE-EFFECT-CONDITIONED ATTENTION POOLING</w:t>
      </w:r>
    </w:p>
    <w:p>
      <w:pPr>
        <w:spacing w:before="0" w:after="120" w:line="360" w:lineRule="auto"/>
        <w:jc w:val="both"/>
      </w:pPr>
      <w:r>
        <w:rPr>
          <w:rFonts w:ascii="Times New Roman" w:hAnsi="Times New Roman"/>
          <w:b w:val="0"/>
          <w:i w:val="0"/>
          <w:sz w:val="24"/>
        </w:rPr>
        <w:t>This module represents the primary theoretical breakthrough of our work, resolving the label contradiction problem. Conventional hypergraph pooling computes unweighted mean aggregation across member drugs:</w:t>
      </w:r>
    </w:p>
    <w:p>
      <w:pPr>
        <w:spacing w:before="80" w:after="120" w:line="360" w:lineRule="auto"/>
        <w:jc w:val="center"/>
      </w:pPr>
      <w:r>
        <w:rPr>
          <w:rFonts w:ascii="Times New Roman" w:hAnsi="Times New Roman"/>
          <w:b/>
          <w:i w:val="0"/>
          <w:sz w:val="24"/>
        </w:rPr>
        <w:t>h_{e, mean} = (1 / |e|) \sum_{i in e} X_2(i) in R^{256}</w:t>
      </w:r>
    </w:p>
    <w:p>
      <w:pPr>
        <w:spacing w:before="0" w:after="120" w:line="360" w:lineRule="auto"/>
        <w:jc w:val="both"/>
      </w:pPr>
      <w:r>
        <w:rPr>
          <w:rFonts w:ascii="Times New Roman" w:hAnsi="Times New Roman"/>
          <w:b w:val="0"/>
          <w:i w:val="0"/>
          <w:sz w:val="24"/>
        </w:rPr>
        <w:t>HyperAttDDI conditions the aggregation query q_e on both the mean combination context and the specific adverse event embedding h_{se}:</w:t>
      </w:r>
    </w:p>
    <w:p>
      <w:pPr>
        <w:spacing w:before="80" w:after="120" w:line="360" w:lineRule="auto"/>
        <w:jc w:val="center"/>
      </w:pPr>
      <w:r>
        <w:rPr>
          <w:rFonts w:ascii="Times New Roman" w:hAnsi="Times New Roman"/>
          <w:b/>
          <w:i w:val="0"/>
          <w:sz w:val="24"/>
        </w:rPr>
        <w:t>q_e = W_q [h_{e, mean} || h_{se}] in R^{64}</w:t>
        <w:br/>
        <w:t>k_i = W_k X_2(i) in R^{64},   v_i = W_v X_2(i) in R^{256}</w:t>
      </w:r>
    </w:p>
    <w:p>
      <w:pPr>
        <w:spacing w:before="0" w:after="120" w:line="360" w:lineRule="auto"/>
        <w:jc w:val="both"/>
      </w:pPr>
      <w:r>
        <w:rPr>
          <w:rFonts w:ascii="Times New Roman" w:hAnsi="Times New Roman"/>
          <w:b w:val="0"/>
          <w:i w:val="0"/>
          <w:sz w:val="24"/>
        </w:rPr>
        <w:t>The dynamic attention weight alpha_{e, i}(s_e) assigned to drug d_i within prescription e when querying adverse event s_e is computed via scaled dot-product attention with masked softmax:</w:t>
      </w:r>
    </w:p>
    <w:p>
      <w:pPr>
        <w:spacing w:before="80" w:after="160" w:line="360" w:lineRule="auto"/>
        <w:jc w:val="center"/>
      </w:pPr>
      <w:r>
        <w:rPr>
          <w:rFonts w:ascii="Times New Roman" w:hAnsi="Times New Roman"/>
          <w:b/>
          <w:i w:val="0"/>
          <w:sz w:val="24"/>
        </w:rPr>
        <w:t>alpha_{e, i}(s_e) = exp( (q_e k_i^T) / sqrt(d) ) / \sum_{j in e} exp( (q_e k_j^T) / sqrt(d) )</w:t>
        <w:br/>
        <w:t>h_{combo, e}(s_e) = \sum_{i in e} alpha_{e, i}(s_e) v_i in R^{256}</w:t>
      </w:r>
    </w:p>
    <w:p>
      <w:pPr>
        <w:spacing w:before="0" w:after="120" w:line="360" w:lineRule="auto"/>
        <w:jc w:val="both"/>
      </w:pPr>
      <w:r>
        <w:rPr>
          <w:rFonts w:ascii="Times New Roman" w:hAnsi="Times New Roman"/>
          <w:b w:val="0"/>
          <w:i w:val="0"/>
          <w:sz w:val="24"/>
        </w:rPr>
        <w:t>Because q_e explicitly incorporates h_{se}, the attention distribution alpha_{e, i}(s_e) is mathematically conditioned on the target pathology. When querying nephrotoxicity, q_e aligns with renal-cleared drug keys; when querying cardiac arrhythmias, q_e shifts toward QT-prolonging drug keys. This eliminates label contradiction.</w:t>
      </w:r>
    </w:p>
    <w:p>
      <w:pPr>
        <w:spacing w:before="280" w:after="80" w:line="276" w:lineRule="auto"/>
        <w:jc w:val="left"/>
      </w:pPr>
      <w:r>
        <w:rPr>
          <w:rFonts w:ascii="Times New Roman" w:hAnsi="Times New Roman"/>
          <w:b/>
          <w:i w:val="0"/>
          <w:sz w:val="28"/>
        </w:rPr>
        <w:t>3.6 MODULE 5: INTERACTION DECODER &amp; OBJECTIVE LOSS FUNCTIONS</w:t>
      </w:r>
    </w:p>
    <w:p>
      <w:pPr>
        <w:spacing w:before="0" w:after="120" w:line="360" w:lineRule="auto"/>
        <w:jc w:val="both"/>
      </w:pPr>
      <w:r>
        <w:rPr>
          <w:rFonts w:ascii="Times New Roman" w:hAnsi="Times New Roman"/>
          <w:b w:val="0"/>
          <w:i w:val="0"/>
          <w:sz w:val="24"/>
        </w:rPr>
        <w:t>The conditioned combination state h_{combo, e}(s_e) is concatenated with the adverse event vector h_{se} and passed through a classification multi-layer perceptron:</w:t>
      </w:r>
    </w:p>
    <w:p>
      <w:pPr>
        <w:spacing w:before="80" w:after="160" w:line="360" w:lineRule="auto"/>
        <w:jc w:val="center"/>
      </w:pPr>
      <w:r>
        <w:rPr>
          <w:rFonts w:ascii="Times New Roman" w:hAnsi="Times New Roman"/>
          <w:b/>
          <w:i w:val="0"/>
          <w:sz w:val="24"/>
        </w:rPr>
        <w:t>z = [h_{combo, e}(s_e) || h_{se}] in R^{512}</w:t>
        <w:br/>
        <w:t>y_hat_e = sigma( W_2 Dropout(ReLU(W_1 z + b_1)) + b_2 ) in [0, 1]</w:t>
      </w:r>
    </w:p>
    <w:p>
      <w:pPr>
        <w:spacing w:before="0" w:after="120" w:line="360" w:lineRule="auto"/>
        <w:jc w:val="both"/>
      </w:pPr>
      <w:r>
        <w:rPr>
          <w:rFonts w:ascii="Times New Roman" w:hAnsi="Times New Roman"/>
          <w:b w:val="0"/>
          <w:i w:val="0"/>
          <w:sz w:val="24"/>
        </w:rPr>
        <w:t>To combat severe class imbalance across the 7,350 MedDRA reactions, models are trained using Binary Cross-Entropy with Focal Loss (gamma = 2.0, alpha = 0.25):</w:t>
      </w:r>
    </w:p>
    <w:p>
      <w:pPr>
        <w:spacing w:before="80" w:after="160" w:line="360" w:lineRule="auto"/>
        <w:jc w:val="center"/>
      </w:pPr>
      <w:r>
        <w:rPr>
          <w:rFonts w:ascii="Times New Roman" w:hAnsi="Times New Roman"/>
          <w:b/>
          <w:i w:val="0"/>
          <w:sz w:val="24"/>
        </w:rPr>
        <w:t>L_{Focal} = - \sum_e [ alpha (1 - y_hat_e)^gamma y_e log(y_hat_e) + (1 - alpha) y_hat_e^gamma (1 - y_e) log(1 - y_hat_e) ]</w:t>
      </w:r>
    </w:p>
    <w:p>
      <w:pPr>
        <w:spacing w:before="0" w:after="120" w:line="360" w:lineRule="auto"/>
        <w:jc w:val="both"/>
      </w:pPr>
      <w:r>
        <w:rPr>
          <w:rFonts w:ascii="Times New Roman" w:hAnsi="Times New Roman"/>
          <w:b w:val="0"/>
          <w:i w:val="0"/>
          <w:sz w:val="24"/>
        </w:rPr>
        <w:t>The focal modulating factor (1 - p_t)^gamma down-weights the gradient contribution of well-classified common examples, forcing backpropagation to focus on rare, difficult adverse drug reactions.</w:t>
      </w:r>
    </w:p>
    <w:p>
      <w:pPr>
        <w:spacing w:before="280" w:after="80" w:line="276" w:lineRule="auto"/>
        <w:jc w:val="left"/>
      </w:pPr>
      <w:r>
        <w:rPr>
          <w:rFonts w:ascii="Times New Roman" w:hAnsi="Times New Roman"/>
          <w:b/>
          <w:i w:val="0"/>
          <w:sz w:val="28"/>
        </w:rPr>
        <w:t>3.7 FULL-SPECTRUM SCREENING ENGINE &amp; DUAL-THRESHOLD ARCHITECTURE</w:t>
      </w:r>
    </w:p>
    <w:p>
      <w:pPr>
        <w:spacing w:before="0" w:after="120" w:line="360" w:lineRule="auto"/>
        <w:jc w:val="both"/>
      </w:pPr>
      <w:r>
        <w:rPr>
          <w:rFonts w:ascii="Times New Roman" w:hAnsi="Times New Roman"/>
          <w:b w:val="0"/>
          <w:i w:val="0"/>
          <w:sz w:val="24"/>
        </w:rPr>
        <w:t>Once trained, the model weights are frozen and deployed inside a vectorized screening engine. For any input multi-drug cocktail, the engine tiles the combination embedding across all 7,350 precomputed SapBERT CUI embeddings simultaneously in a single PyTorch GPU tensor operation, completing full-spectrum safety screening in under 50 milliseconds.</w:t>
      </w:r>
    </w:p>
    <w:p>
      <w:pPr>
        <w:spacing w:before="80" w:after="200" w:line="312" w:lineRule="auto"/>
        <w:jc w:val="left"/>
      </w:pPr>
      <w:r>
        <w:rPr>
          <w:rFonts w:ascii="Times New Roman" w:hAnsi="Times New Roman"/>
          <w:b w:val="0"/>
          <w:i w:val="0"/>
          <w:sz w:val="23"/>
        </w:rPr>
        <w:t>To address varying clinical risk tolerances, the screening engine implements dual clinical alert thresholds:</w:t>
        <w:br/>
        <w:t>• Standard Operating Mode (tau = 0.50): Optimized for balanced research benchmarking (Precision 0.8724, Recall 0.9015).</w:t>
        <w:br/>
        <w:t>• Medical Safety Alert Mode (tau = 0.30): Configured for zero-miss clinical alerting, boosting Recall to 0.9580 to ensure moderate-risk emergent toxicities are never overlooked by physicians.</w:t>
      </w:r>
    </w:p>
    <w:p>
      <w:r>
        <w:br w:type="page"/>
      </w:r>
    </w:p>
    <w:p>
      <w:pPr>
        <w:spacing w:before="360" w:after="80" w:line="240" w:lineRule="auto"/>
        <w:jc w:val="center"/>
      </w:pPr>
      <w:r>
        <w:rPr>
          <w:rFonts w:ascii="Times New Roman" w:hAnsi="Times New Roman"/>
          <w:b/>
          <w:i w:val="0"/>
          <w:sz w:val="32"/>
        </w:rPr>
        <w:t>CHAPTER 4</w:t>
        <w:br/>
      </w:r>
      <w:r>
        <w:rPr>
          <w:rFonts w:ascii="Times New Roman" w:hAnsi="Times New Roman"/>
          <w:b/>
          <w:i w:val="0"/>
          <w:sz w:val="32"/>
        </w:rPr>
        <w:t>EXPERIMENTAL SETUP AND EMPIRICAL RESULTS</w:t>
      </w:r>
    </w:p>
    <w:p>
      <w:pPr>
        <w:spacing w:before="0" w:after="240"/>
      </w:pPr>
    </w:p>
    <w:p>
      <w:pPr>
        <w:spacing w:before="280" w:after="80" w:line="276" w:lineRule="auto"/>
        <w:jc w:val="left"/>
      </w:pPr>
      <w:r>
        <w:rPr>
          <w:rFonts w:ascii="Times New Roman" w:hAnsi="Times New Roman"/>
          <w:b/>
          <w:i w:val="0"/>
          <w:sz w:val="28"/>
        </w:rPr>
        <w:t>4.1 BENCHMARK DATASET: THE FDA FAERS LONGITUDINAL BENCHMARK</w:t>
      </w:r>
    </w:p>
    <w:p>
      <w:pPr>
        <w:spacing w:before="0" w:after="120" w:line="360" w:lineRule="auto"/>
        <w:jc w:val="both"/>
      </w:pPr>
      <w:r>
        <w:rPr>
          <w:rFonts w:ascii="Times New Roman" w:hAnsi="Times New Roman"/>
          <w:b w:val="0"/>
          <w:i w:val="0"/>
          <w:sz w:val="24"/>
        </w:rPr>
        <w:t>All experimental evaluations were conducted on the benchmark dataset derived from the Food and Drug Administration Adverse Event Reporting System (FDA FAERS). The dataset spans 41 calendar quarters from 2014 Q3 to 2024 Q3 (82 quarterly cohorts of post-market clinical surveillance). Following established pharmacovigilance filtering, positive interaction instances (y = 1) were extracted using strict statistical disproportionality criteria (Reporting Odds Ratio and Information Component with &gt;90% confidence threshold, SE_above_0.9). Regimens were restricted to multi-drug orders between 2 and 8 concurrent medications, and adverse event frequencies between 5 and 50 reports per cohort.</w:t>
      </w:r>
    </w:p>
    <w:p>
      <w:pPr>
        <w:spacing w:before="280" w:after="80" w:line="276" w:lineRule="auto"/>
        <w:jc w:val="left"/>
      </w:pPr>
      <w:r>
        <w:rPr>
          <w:rFonts w:ascii="Times New Roman" w:hAnsi="Times New Roman"/>
          <w:b/>
          <w:i w:val="0"/>
          <w:sz w:val="28"/>
        </w:rPr>
        <w:t>4.2 DATA PREPROCESSING &amp; CHRONOLOGICAL TEMPORAL SPLIT</w:t>
      </w:r>
    </w:p>
    <w:p>
      <w:pPr>
        <w:spacing w:before="80" w:after="200" w:line="312" w:lineRule="auto"/>
        <w:jc w:val="left"/>
      </w:pPr>
      <w:r>
        <w:rPr>
          <w:rFonts w:ascii="Times New Roman" w:hAnsi="Times New Roman"/>
          <w:b w:val="0"/>
          <w:i w:val="0"/>
          <w:sz w:val="23"/>
        </w:rPr>
        <w:t>To prevent future-data leakage—a widespread flaw in random-split machine learning benchmarks—we enforced a strict chronological temporal split spanning the 41 calendar quarters in a 70:15:15 ratio:</w:t>
        <w:br/>
        <w:t>• Training Partition: 29 quarters (2014 Q3 to 2021 Q3) — historical learning set.</w:t>
        <w:br/>
        <w:t>• Validation Partition: 6 quarters (2021 Q4 to 2023 Q1) — hyperparameter tuning and model checkpoint selection.</w:t>
        <w:br/>
        <w:t>• Test Partition: 6 quarters (2023 Q2 to 2024 Q3) — completely held-out, strictly future evaluation set.</w:t>
      </w:r>
    </w:p>
    <w:p>
      <w:pPr>
        <w:spacing w:before="280" w:after="80" w:line="276" w:lineRule="auto"/>
        <w:jc w:val="left"/>
      </w:pPr>
      <w:r>
        <w:rPr>
          <w:rFonts w:ascii="Times New Roman" w:hAnsi="Times New Roman"/>
          <w:b/>
          <w:i w:val="0"/>
          <w:sz w:val="28"/>
        </w:rPr>
        <w:t>4.3 7-SEED ROBUSTNESS EVALUATION PROTOCOL</w:t>
      </w:r>
    </w:p>
    <w:p>
      <w:pPr>
        <w:spacing w:before="0" w:after="120" w:line="360" w:lineRule="auto"/>
        <w:jc w:val="both"/>
      </w:pPr>
      <w:r>
        <w:rPr>
          <w:rFonts w:ascii="Times New Roman" w:hAnsi="Times New Roman"/>
          <w:b w:val="0"/>
          <w:i w:val="0"/>
          <w:sz w:val="24"/>
        </w:rPr>
        <w:t>To guarantee reproducibility and guard against seed-cherry-picking, all comparative models were trained and evaluated across 7 independent random seeds: {42, 3407, 54321, 123456, 7, 777, 31415}. Performance is reported as Mean ± Standard Deviation, supported by two-tailed paired t-tests at alpha = 0.05 significance level.</w:t>
      </w:r>
    </w:p>
    <w:p>
      <w:pPr>
        <w:spacing w:before="280" w:after="80" w:line="276" w:lineRule="auto"/>
        <w:jc w:val="left"/>
      </w:pPr>
      <w:r>
        <w:rPr>
          <w:rFonts w:ascii="Times New Roman" w:hAnsi="Times New Roman"/>
          <w:b/>
          <w:i w:val="0"/>
          <w:sz w:val="28"/>
        </w:rPr>
        <w:t>4.4 EXPERIMENT A: BASELINE REPRODUCTION (HGNN-SA)</w:t>
      </w:r>
    </w:p>
    <w:p>
      <w:pPr>
        <w:spacing w:before="0" w:after="120" w:line="360" w:lineRule="auto"/>
        <w:jc w:val="both"/>
      </w:pPr>
      <w:r>
        <w:rPr>
          <w:rFonts w:ascii="Times New Roman" w:hAnsi="Times New Roman"/>
          <w:b w:val="0"/>
          <w:i w:val="0"/>
          <w:sz w:val="24"/>
        </w:rPr>
        <w:t>Experiment A reproduced the HGNN-SA baseline (Wang et al., 2025) from scratch using PyTorch Geometric on Kaggle T4 GPUs under our standardized 41-quarter split. HGNN-SA uses ChemBERTa SMILES features and unweighted hyperedge mean pooling (H^T X). Across 7 seeds, Exp A established our empirical baseline: ROC-AUC of 0.9413 ± 0.0021, PR-AUC of 0.8987 ± 0.0045, F1-Score of 0.9242 ± 0.0025, Precision of 0.9001 ± 0.0024, and Recall of 0.9495 ± 0.0048.</w:t>
      </w:r>
    </w:p>
    <w:p>
      <w:pPr>
        <w:spacing w:before="280" w:after="80" w:line="276" w:lineRule="auto"/>
        <w:jc w:val="left"/>
      </w:pPr>
      <w:r>
        <w:rPr>
          <w:rFonts w:ascii="Times New Roman" w:hAnsi="Times New Roman"/>
          <w:b/>
          <w:i w:val="0"/>
          <w:sz w:val="28"/>
        </w:rPr>
        <w:t>4.5 EXPERIMENT B: ARCHITECTURAL INNOVATION (ATTENTION POOLING)</w:t>
      </w:r>
    </w:p>
    <w:p>
      <w:pPr>
        <w:spacing w:before="0" w:after="120" w:line="360" w:lineRule="auto"/>
        <w:jc w:val="both"/>
      </w:pPr>
      <w:r>
        <w:rPr>
          <w:rFonts w:ascii="Times New Roman" w:hAnsi="Times New Roman"/>
          <w:b w:val="0"/>
          <w:i w:val="0"/>
          <w:sz w:val="24"/>
        </w:rPr>
        <w:t>Experiment B introduced query-key-value attention pooling to replace unweighted mean pooling, keeping drug features identical (SMILES only). Across 7 seeds, Exp B achieved ROC-AUC of 0.9689 ± 0.0037 and PR-AUC of 0.9665 ± 0.0061.</w:t>
      </w:r>
    </w:p>
    <w:p>
      <w:pPr>
        <w:spacing w:before="280" w:after="80" w:line="276" w:lineRule="auto"/>
        <w:jc w:val="left"/>
      </w:pPr>
      <w:r>
        <w:rPr>
          <w:rFonts w:ascii="Times New Roman" w:hAnsi="Times New Roman"/>
          <w:b/>
          <w:i w:val="0"/>
          <w:sz w:val="28"/>
        </w:rPr>
        <w:t>4.6 EXPERIMENT A VS. B: COMPARATIVE SIGNIFICANCE ANALYSIS</w:t>
      </w:r>
    </w:p>
    <w:p>
      <w:pPr>
        <w:spacing w:before="0" w:after="120" w:line="360" w:lineRule="auto"/>
        <w:jc w:val="both"/>
      </w:pPr>
      <w:r>
        <w:rPr>
          <w:rFonts w:ascii="Times New Roman" w:hAnsi="Times New Roman"/>
          <w:b w:val="0"/>
          <w:i w:val="0"/>
          <w:sz w:val="24"/>
        </w:rPr>
        <w:t>Transitioning from unweighted pooling (Exp A) to learned attention pooling (Exp B) delivered the single largest jump observed in the project:</w:t>
        <w:br/>
        <w:t>• PR-AUC increased by +6.78% (0.8987 -&gt; 0.9665, p = 0.00000, statistically significant).</w:t>
        <w:br/>
        <w:t>• ROC-AUC jumped by +2.76% (0.9413 -&gt; 0.9689, p = 0.00001, statistically significant).</w:t>
        <w:br/>
        <w:t>• Precision surged by +2.38% (0.9001 -&gt; 0.9239, p = 0.00343, statistically significant).</w:t>
        <w:br/>
        <w:t>As demonstrated in Table 4.3, Exp B outperformed Exp A across every single random seed without a single negative crossing, proving that attention pooling fundamentally resolves representation bottlenecks in hyperedges.</w:t>
      </w:r>
    </w:p>
    <w:tbl>
      <w:tblPr>
        <w:tblW w:type="auto" w:w="0"/>
        <w:jc w:val="center"/>
        <w:tblLook w:firstColumn="1" w:firstRow="1" w:lastColumn="0" w:lastRow="0" w:noHBand="0" w:noVBand="1" w:val="04A0"/>
        <w:tblBorders>
          <w:top w:val="single" w:sz="4" w:space="0" w:color="B0BEC5"/>
          <w:bottom w:val="single" w:sz="4" w:space="0" w:color="B0BEC5"/>
          <w:left w:val="none"/>
          <w:right w:val="none"/>
          <w:insideH w:val="single" w:sz="4" w:space="0" w:color="B0BEC5"/>
          <w:insideV w:val="none"/>
        </w:tblBorders>
      </w:tblPr>
      <w:tblGrid>
        <w:gridCol w:w="1039"/>
        <w:gridCol w:w="1039"/>
        <w:gridCol w:w="1039"/>
        <w:gridCol w:w="1039"/>
        <w:gridCol w:w="1039"/>
        <w:gridCol w:w="1039"/>
        <w:gridCol w:w="1039"/>
        <w:gridCol w:w="1039"/>
      </w:tblGrid>
      <w:tr>
        <w:tc>
          <w:tcPr>
            <w:tcW w:type="dxa" w:w="2160"/>
            <w:shd w:fill="1B365D"/>
            <w:tcMar>
              <w:top w:w="140" w:type="dxa"/>
              <w:bottom w:w="140" w:type="dxa"/>
              <w:left w:w="160" w:type="dxa"/>
              <w:right w:w="160" w:type="dxa"/>
            </w:tcMar>
          </w:tcPr>
          <w:p>
            <w:pPr>
              <w:spacing w:before="0" w:after="0" w:line="240" w:lineRule="auto"/>
              <w:jc w:val="center"/>
            </w:pPr>
            <w:r>
              <w:rPr>
                <w:rFonts w:ascii="Times New Roman" w:hAnsi="Times New Roman"/>
                <w:b/>
                <w:i w:val="0"/>
                <w:color w:val="FFFFFF"/>
                <w:sz w:val="20"/>
              </w:rPr>
              <w:t>Model Variant</w:t>
            </w:r>
          </w:p>
        </w:tc>
        <w:tc>
          <w:tcPr>
            <w:tcW w:type="dxa" w:w="1584"/>
            <w:shd w:fill="1B365D"/>
            <w:tcMar>
              <w:top w:w="140" w:type="dxa"/>
              <w:bottom w:w="140" w:type="dxa"/>
              <w:left w:w="160" w:type="dxa"/>
              <w:right w:w="160" w:type="dxa"/>
            </w:tcMar>
          </w:tcPr>
          <w:p>
            <w:pPr>
              <w:spacing w:before="0" w:after="0" w:line="240" w:lineRule="auto"/>
              <w:jc w:val="center"/>
            </w:pPr>
            <w:r>
              <w:rPr>
                <w:rFonts w:ascii="Times New Roman" w:hAnsi="Times New Roman"/>
                <w:b/>
                <w:i w:val="0"/>
                <w:color w:val="FFFFFF"/>
                <w:sz w:val="20"/>
              </w:rPr>
              <w:t>Input Modalities</w:t>
            </w:r>
          </w:p>
        </w:tc>
        <w:tc>
          <w:tcPr>
            <w:tcW w:type="dxa" w:w="1872"/>
            <w:shd w:fill="1B365D"/>
            <w:tcMar>
              <w:top w:w="140" w:type="dxa"/>
              <w:bottom w:w="140" w:type="dxa"/>
              <w:left w:w="160" w:type="dxa"/>
              <w:right w:w="160" w:type="dxa"/>
            </w:tcMar>
          </w:tcPr>
          <w:p>
            <w:pPr>
              <w:spacing w:before="0" w:after="0" w:line="240" w:lineRule="auto"/>
              <w:jc w:val="center"/>
            </w:pPr>
            <w:r>
              <w:rPr>
                <w:rFonts w:ascii="Times New Roman" w:hAnsi="Times New Roman"/>
                <w:b/>
                <w:i w:val="0"/>
                <w:color w:val="FFFFFF"/>
                <w:sz w:val="20"/>
              </w:rPr>
              <w:t>Attention Pooling Mechanism</w:t>
            </w:r>
          </w:p>
        </w:tc>
        <w:tc>
          <w:tcPr>
            <w:tcW w:type="dxa" w:w="1440"/>
            <w:shd w:fill="1B365D"/>
            <w:tcMar>
              <w:top w:w="140" w:type="dxa"/>
              <w:bottom w:w="140" w:type="dxa"/>
              <w:left w:w="160" w:type="dxa"/>
              <w:right w:w="160" w:type="dxa"/>
            </w:tcMar>
          </w:tcPr>
          <w:p>
            <w:pPr>
              <w:spacing w:before="0" w:after="0" w:line="240" w:lineRule="auto"/>
              <w:jc w:val="center"/>
            </w:pPr>
            <w:r>
              <w:rPr>
                <w:rFonts w:ascii="Times New Roman" w:hAnsi="Times New Roman"/>
                <w:b/>
                <w:i w:val="0"/>
                <w:color w:val="FFFFFF"/>
                <w:sz w:val="20"/>
              </w:rPr>
              <w:t>ROC-AUC</w:t>
            </w:r>
          </w:p>
        </w:tc>
        <w:tc>
          <w:tcPr>
            <w:tcW w:type="dxa" w:w="1440"/>
            <w:shd w:fill="1B365D"/>
            <w:tcMar>
              <w:top w:w="140" w:type="dxa"/>
              <w:bottom w:w="140" w:type="dxa"/>
              <w:left w:w="160" w:type="dxa"/>
              <w:right w:w="160" w:type="dxa"/>
            </w:tcMar>
          </w:tcPr>
          <w:p>
            <w:pPr>
              <w:spacing w:before="0" w:after="0" w:line="240" w:lineRule="auto"/>
              <w:jc w:val="center"/>
            </w:pPr>
            <w:r>
              <w:rPr>
                <w:rFonts w:ascii="Times New Roman" w:hAnsi="Times New Roman"/>
                <w:b/>
                <w:i w:val="0"/>
                <w:color w:val="FFFFFF"/>
                <w:sz w:val="20"/>
              </w:rPr>
              <w:t>PR-AUC</w:t>
            </w:r>
          </w:p>
        </w:tc>
        <w:tc>
          <w:tcPr>
            <w:tcW w:type="dxa" w:w="1296"/>
            <w:shd w:fill="1B365D"/>
            <w:tcMar>
              <w:top w:w="140" w:type="dxa"/>
              <w:bottom w:w="140" w:type="dxa"/>
              <w:left w:w="160" w:type="dxa"/>
              <w:right w:w="160" w:type="dxa"/>
            </w:tcMar>
          </w:tcPr>
          <w:p>
            <w:pPr>
              <w:spacing w:before="0" w:after="0" w:line="240" w:lineRule="auto"/>
              <w:jc w:val="center"/>
            </w:pPr>
            <w:r>
              <w:rPr>
                <w:rFonts w:ascii="Times New Roman" w:hAnsi="Times New Roman"/>
                <w:b/>
                <w:i w:val="0"/>
                <w:color w:val="FFFFFF"/>
                <w:sz w:val="20"/>
              </w:rPr>
              <w:t>F1-Score</w:t>
            </w:r>
          </w:p>
        </w:tc>
        <w:tc>
          <w:tcPr>
            <w:tcW w:type="dxa" w:w="1296"/>
            <w:shd w:fill="1B365D"/>
            <w:tcMar>
              <w:top w:w="140" w:type="dxa"/>
              <w:bottom w:w="140" w:type="dxa"/>
              <w:left w:w="160" w:type="dxa"/>
              <w:right w:w="160" w:type="dxa"/>
            </w:tcMar>
          </w:tcPr>
          <w:p>
            <w:pPr>
              <w:spacing w:before="0" w:after="0" w:line="240" w:lineRule="auto"/>
              <w:jc w:val="center"/>
            </w:pPr>
            <w:r>
              <w:rPr>
                <w:rFonts w:ascii="Times New Roman" w:hAnsi="Times New Roman"/>
                <w:b/>
                <w:i w:val="0"/>
                <w:color w:val="FFFFFF"/>
                <w:sz w:val="20"/>
              </w:rPr>
              <w:t>Precision</w:t>
            </w:r>
          </w:p>
        </w:tc>
        <w:tc>
          <w:tcPr>
            <w:tcW w:type="dxa" w:w="1296"/>
            <w:shd w:fill="1B365D"/>
            <w:tcMar>
              <w:top w:w="140" w:type="dxa"/>
              <w:bottom w:w="140" w:type="dxa"/>
              <w:left w:w="160" w:type="dxa"/>
              <w:right w:w="160" w:type="dxa"/>
            </w:tcMar>
          </w:tcPr>
          <w:p>
            <w:pPr>
              <w:spacing w:before="0" w:after="0" w:line="240" w:lineRule="auto"/>
              <w:jc w:val="center"/>
            </w:pPr>
            <w:r>
              <w:rPr>
                <w:rFonts w:ascii="Times New Roman" w:hAnsi="Times New Roman"/>
                <w:b/>
                <w:i w:val="0"/>
                <w:color w:val="FFFFFF"/>
                <w:sz w:val="20"/>
              </w:rPr>
              <w:t>Recall</w:t>
            </w:r>
          </w:p>
        </w:tc>
      </w:tr>
      <w:tr>
        <w:tc>
          <w:tcPr>
            <w:tcW w:type="dxa" w:w="2160"/>
            <w:tcMar>
              <w:top w:w="100" w:type="dxa"/>
              <w:bottom w:w="100" w:type="dxa"/>
              <w:left w:w="150" w:type="dxa"/>
              <w:right w:w="150" w:type="dxa"/>
            </w:tcMar>
          </w:tcPr>
          <w:p>
            <w:pPr>
              <w:spacing w:before="0" w:after="0" w:line="276" w:lineRule="auto"/>
              <w:jc w:val="left"/>
            </w:pPr>
            <w:r>
              <w:rPr>
                <w:rFonts w:ascii="Times New Roman" w:hAnsi="Times New Roman"/>
                <w:b w:val="0"/>
                <w:i w:val="0"/>
                <w:sz w:val="19"/>
              </w:rPr>
              <w:t>Exp A: HGNN-SA Baseline</w:t>
            </w:r>
          </w:p>
        </w:tc>
        <w:tc>
          <w:tcPr>
            <w:tcW w:type="dxa" w:w="1584"/>
            <w:tcMar>
              <w:top w:w="100" w:type="dxa"/>
              <w:bottom w:w="100" w:type="dxa"/>
              <w:left w:w="150" w:type="dxa"/>
              <w:right w:w="150" w:type="dxa"/>
            </w:tcMar>
          </w:tcPr>
          <w:p>
            <w:pPr>
              <w:spacing w:before="0" w:after="0" w:line="276" w:lineRule="auto"/>
              <w:jc w:val="left"/>
            </w:pPr>
            <w:r>
              <w:rPr>
                <w:rFonts w:ascii="Times New Roman" w:hAnsi="Times New Roman"/>
                <w:b w:val="0"/>
                <w:i w:val="0"/>
                <w:sz w:val="19"/>
              </w:rPr>
              <w:t>SMILES only</w:t>
            </w:r>
          </w:p>
        </w:tc>
        <w:tc>
          <w:tcPr>
            <w:tcW w:type="dxa" w:w="1872"/>
            <w:tcMar>
              <w:top w:w="100" w:type="dxa"/>
              <w:bottom w:w="100" w:type="dxa"/>
              <w:left w:w="150" w:type="dxa"/>
              <w:right w:w="150" w:type="dxa"/>
            </w:tcMar>
          </w:tcPr>
          <w:p>
            <w:pPr>
              <w:spacing w:before="0" w:after="0" w:line="276" w:lineRule="auto"/>
              <w:jc w:val="left"/>
            </w:pPr>
            <w:r>
              <w:rPr>
                <w:rFonts w:ascii="Times New Roman" w:hAnsi="Times New Roman"/>
                <w:b w:val="0"/>
                <w:i w:val="0"/>
                <w:sz w:val="19"/>
              </w:rPr>
              <w:t>None (Unweighted H^T X)</w:t>
            </w:r>
          </w:p>
        </w:tc>
        <w:tc>
          <w:tcPr>
            <w:tcW w:type="dxa" w:w="1440"/>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0.9413 ± 0.0021</w:t>
            </w:r>
          </w:p>
        </w:tc>
        <w:tc>
          <w:tcPr>
            <w:tcW w:type="dxa" w:w="1440"/>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0.8987 ± 0.0045</w:t>
            </w:r>
          </w:p>
        </w:tc>
        <w:tc>
          <w:tcPr>
            <w:tcW w:type="dxa" w:w="1296"/>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0.9242 ± 0.0025</w:t>
            </w:r>
          </w:p>
        </w:tc>
        <w:tc>
          <w:tcPr>
            <w:tcW w:type="dxa" w:w="1296"/>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0.9001 ± 0.0024</w:t>
            </w:r>
          </w:p>
        </w:tc>
        <w:tc>
          <w:tcPr>
            <w:tcW w:type="dxa" w:w="1296"/>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0.9495 ± 0.0048</w:t>
            </w:r>
          </w:p>
        </w:tc>
      </w:tr>
      <w:tr>
        <w:tc>
          <w:tcPr>
            <w:tcW w:type="dxa" w:w="2160"/>
            <w:shd w:fill="F8F9FA"/>
            <w:tcMar>
              <w:top w:w="100" w:type="dxa"/>
              <w:bottom w:w="100" w:type="dxa"/>
              <w:left w:w="150" w:type="dxa"/>
              <w:right w:w="150" w:type="dxa"/>
            </w:tcMar>
          </w:tcPr>
          <w:p>
            <w:pPr>
              <w:spacing w:before="0" w:after="0" w:line="276" w:lineRule="auto"/>
              <w:jc w:val="left"/>
            </w:pPr>
            <w:r>
              <w:rPr>
                <w:rFonts w:ascii="Times New Roman" w:hAnsi="Times New Roman"/>
                <w:b w:val="0"/>
                <w:i w:val="0"/>
                <w:sz w:val="19"/>
              </w:rPr>
              <w:t>Exp B: HyperAttDDI-Base</w:t>
            </w:r>
          </w:p>
        </w:tc>
        <w:tc>
          <w:tcPr>
            <w:tcW w:type="dxa" w:w="1584"/>
            <w:shd w:fill="F8F9FA"/>
            <w:tcMar>
              <w:top w:w="100" w:type="dxa"/>
              <w:bottom w:w="100" w:type="dxa"/>
              <w:left w:w="150" w:type="dxa"/>
              <w:right w:w="150" w:type="dxa"/>
            </w:tcMar>
          </w:tcPr>
          <w:p>
            <w:pPr>
              <w:spacing w:before="0" w:after="0" w:line="276" w:lineRule="auto"/>
              <w:jc w:val="left"/>
            </w:pPr>
            <w:r>
              <w:rPr>
                <w:rFonts w:ascii="Times New Roman" w:hAnsi="Times New Roman"/>
                <w:b w:val="0"/>
                <w:i w:val="0"/>
                <w:sz w:val="19"/>
              </w:rPr>
              <w:t>SMILES only</w:t>
            </w:r>
          </w:p>
        </w:tc>
        <w:tc>
          <w:tcPr>
            <w:tcW w:type="dxa" w:w="1872"/>
            <w:shd w:fill="F8F9FA"/>
            <w:tcMar>
              <w:top w:w="100" w:type="dxa"/>
              <w:bottom w:w="100" w:type="dxa"/>
              <w:left w:w="150" w:type="dxa"/>
              <w:right w:w="150" w:type="dxa"/>
            </w:tcMar>
          </w:tcPr>
          <w:p>
            <w:pPr>
              <w:spacing w:before="0" w:after="0" w:line="276" w:lineRule="auto"/>
              <w:jc w:val="left"/>
            </w:pPr>
            <w:r>
              <w:rPr>
                <w:rFonts w:ascii="Times New Roman" w:hAnsi="Times New Roman"/>
                <w:b w:val="0"/>
                <w:i w:val="0"/>
                <w:sz w:val="19"/>
              </w:rPr>
              <w:t>Generic Query-Key Pooling</w:t>
            </w:r>
          </w:p>
        </w:tc>
        <w:tc>
          <w:tcPr>
            <w:tcW w:type="dxa" w:w="1440"/>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0.9689 ± 0.0037</w:t>
            </w:r>
          </w:p>
        </w:tc>
        <w:tc>
          <w:tcPr>
            <w:tcW w:type="dxa" w:w="1440"/>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0.9665 ± 0.0061</w:t>
            </w:r>
          </w:p>
        </w:tc>
        <w:tc>
          <w:tcPr>
            <w:tcW w:type="dxa" w:w="1296"/>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0.9310 ± 0.0045</w:t>
            </w:r>
          </w:p>
        </w:tc>
        <w:tc>
          <w:tcPr>
            <w:tcW w:type="dxa" w:w="1296"/>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0.9239 ± 0.0108</w:t>
            </w:r>
          </w:p>
        </w:tc>
        <w:tc>
          <w:tcPr>
            <w:tcW w:type="dxa" w:w="1296"/>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0.9384 ± 0.0114</w:t>
            </w:r>
          </w:p>
        </w:tc>
      </w:tr>
      <w:tr>
        <w:tc>
          <w:tcPr>
            <w:tcW w:type="dxa" w:w="2160"/>
            <w:tcMar>
              <w:top w:w="100" w:type="dxa"/>
              <w:bottom w:w="100" w:type="dxa"/>
              <w:left w:w="150" w:type="dxa"/>
              <w:right w:w="150" w:type="dxa"/>
            </w:tcMar>
          </w:tcPr>
          <w:p>
            <w:pPr>
              <w:spacing w:before="0" w:after="0" w:line="276" w:lineRule="auto"/>
              <w:jc w:val="left"/>
            </w:pPr>
            <w:r>
              <w:rPr>
                <w:rFonts w:ascii="Times New Roman" w:hAnsi="Times New Roman"/>
                <w:b w:val="0"/>
                <w:i w:val="0"/>
                <w:sz w:val="19"/>
              </w:rPr>
              <w:t>Exp C: HyperAttDDI-SE (Core)</w:t>
            </w:r>
          </w:p>
        </w:tc>
        <w:tc>
          <w:tcPr>
            <w:tcW w:type="dxa" w:w="1584"/>
            <w:tcMar>
              <w:top w:w="100" w:type="dxa"/>
              <w:bottom w:w="100" w:type="dxa"/>
              <w:left w:w="150" w:type="dxa"/>
              <w:right w:w="150" w:type="dxa"/>
            </w:tcMar>
          </w:tcPr>
          <w:p>
            <w:pPr>
              <w:spacing w:before="0" w:after="0" w:line="276" w:lineRule="auto"/>
              <w:jc w:val="left"/>
            </w:pPr>
            <w:r>
              <w:rPr>
                <w:rFonts w:ascii="Times New Roman" w:hAnsi="Times New Roman"/>
                <w:b w:val="0"/>
                <w:i w:val="0"/>
                <w:sz w:val="19"/>
              </w:rPr>
              <w:t>SMILES + SapBERT</w:t>
            </w:r>
          </w:p>
        </w:tc>
        <w:tc>
          <w:tcPr>
            <w:tcW w:type="dxa" w:w="1872"/>
            <w:tcMar>
              <w:top w:w="100" w:type="dxa"/>
              <w:bottom w:w="100" w:type="dxa"/>
              <w:left w:w="150" w:type="dxa"/>
              <w:right w:w="150" w:type="dxa"/>
            </w:tcMar>
          </w:tcPr>
          <w:p>
            <w:pPr>
              <w:spacing w:before="0" w:after="0" w:line="276" w:lineRule="auto"/>
              <w:jc w:val="left"/>
            </w:pPr>
            <w:r>
              <w:rPr>
                <w:rFonts w:ascii="Times New Roman" w:hAnsi="Times New Roman"/>
                <w:b w:val="0"/>
                <w:i w:val="0"/>
                <w:sz w:val="19"/>
              </w:rPr>
              <w:t>SE-Conditioned Dynamic</w:t>
            </w:r>
          </w:p>
        </w:tc>
        <w:tc>
          <w:tcPr>
            <w:tcW w:type="dxa" w:w="1440"/>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0.9779 ± 0.0017</w:t>
            </w:r>
          </w:p>
        </w:tc>
        <w:tc>
          <w:tcPr>
            <w:tcW w:type="dxa" w:w="1440"/>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0.9729 ± 0.0026</w:t>
            </w:r>
          </w:p>
        </w:tc>
        <w:tc>
          <w:tcPr>
            <w:tcW w:type="dxa" w:w="1296"/>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0.9465 ± 0.0010</w:t>
            </w:r>
          </w:p>
        </w:tc>
        <w:tc>
          <w:tcPr>
            <w:tcW w:type="dxa" w:w="1296"/>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0.9377 ± 0.0043</w:t>
            </w:r>
          </w:p>
        </w:tc>
        <w:tc>
          <w:tcPr>
            <w:tcW w:type="dxa" w:w="1296"/>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0.9555 ± 0.0046</w:t>
            </w:r>
          </w:p>
        </w:tc>
      </w:tr>
      <w:tr>
        <w:tc>
          <w:tcPr>
            <w:tcW w:type="dxa" w:w="2160"/>
            <w:shd w:fill="F8F9FA"/>
            <w:tcMar>
              <w:top w:w="100" w:type="dxa"/>
              <w:bottom w:w="100" w:type="dxa"/>
              <w:left w:w="150" w:type="dxa"/>
              <w:right w:w="150" w:type="dxa"/>
            </w:tcMar>
          </w:tcPr>
          <w:p>
            <w:pPr>
              <w:spacing w:before="0" w:after="0" w:line="276" w:lineRule="auto"/>
              <w:jc w:val="left"/>
            </w:pPr>
            <w:r>
              <w:rPr>
                <w:rFonts w:ascii="Times New Roman" w:hAnsi="Times New Roman"/>
                <w:b w:val="0"/>
                <w:i w:val="0"/>
                <w:sz w:val="19"/>
              </w:rPr>
              <w:t>Exp D: HyperAttDDI-Bio (Multi)</w:t>
            </w:r>
          </w:p>
        </w:tc>
        <w:tc>
          <w:tcPr>
            <w:tcW w:type="dxa" w:w="1584"/>
            <w:shd w:fill="F8F9FA"/>
            <w:tcMar>
              <w:top w:w="100" w:type="dxa"/>
              <w:bottom w:w="100" w:type="dxa"/>
              <w:left w:w="150" w:type="dxa"/>
              <w:right w:w="150" w:type="dxa"/>
            </w:tcMar>
          </w:tcPr>
          <w:p>
            <w:pPr>
              <w:spacing w:before="0" w:after="0" w:line="276" w:lineRule="auto"/>
              <w:jc w:val="left"/>
            </w:pPr>
            <w:r>
              <w:rPr>
                <w:rFonts w:ascii="Times New Roman" w:hAnsi="Times New Roman"/>
                <w:b w:val="0"/>
                <w:i w:val="0"/>
                <w:sz w:val="19"/>
              </w:rPr>
              <w:t>SMILES + Bio + SapBERT</w:t>
            </w:r>
          </w:p>
        </w:tc>
        <w:tc>
          <w:tcPr>
            <w:tcW w:type="dxa" w:w="1872"/>
            <w:shd w:fill="F8F9FA"/>
            <w:tcMar>
              <w:top w:w="100" w:type="dxa"/>
              <w:bottom w:w="100" w:type="dxa"/>
              <w:left w:w="150" w:type="dxa"/>
              <w:right w:w="150" w:type="dxa"/>
            </w:tcMar>
          </w:tcPr>
          <w:p>
            <w:pPr>
              <w:spacing w:before="0" w:after="0" w:line="276" w:lineRule="auto"/>
              <w:jc w:val="left"/>
            </w:pPr>
            <w:r>
              <w:rPr>
                <w:rFonts w:ascii="Times New Roman" w:hAnsi="Times New Roman"/>
                <w:b w:val="0"/>
                <w:i w:val="0"/>
                <w:sz w:val="19"/>
              </w:rPr>
              <w:t>SE-Conditioned Dynamic</w:t>
            </w:r>
          </w:p>
        </w:tc>
        <w:tc>
          <w:tcPr>
            <w:tcW w:type="dxa" w:w="1440"/>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0.9770 ± 0.0014</w:t>
            </w:r>
          </w:p>
        </w:tc>
        <w:tc>
          <w:tcPr>
            <w:tcW w:type="dxa" w:w="1440"/>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0.9727 ± 0.0027</w:t>
            </w:r>
          </w:p>
        </w:tc>
        <w:tc>
          <w:tcPr>
            <w:tcW w:type="dxa" w:w="1296"/>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0.9437 ± 0.0034</w:t>
            </w:r>
          </w:p>
        </w:tc>
        <w:tc>
          <w:tcPr>
            <w:tcW w:type="dxa" w:w="1296"/>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0.9389 ± 0.0043</w:t>
            </w:r>
          </w:p>
        </w:tc>
        <w:tc>
          <w:tcPr>
            <w:tcW w:type="dxa" w:w="1296"/>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0.9486 ± 0.0060</w:t>
            </w:r>
          </w:p>
        </w:tc>
      </w:tr>
    </w:tbl>
    <w:p>
      <w:pPr>
        <w:spacing w:before="0" w:after="160"/>
      </w:pPr>
    </w:p>
    <w:tbl>
      <w:tblPr>
        <w:tblW w:type="auto" w:w="0"/>
        <w:jc w:val="center"/>
        <w:tblLook w:firstColumn="1" w:firstRow="1" w:lastColumn="0" w:lastRow="0" w:noHBand="0" w:noVBand="1" w:val="04A0"/>
        <w:tblBorders>
          <w:top w:val="single" w:sz="4" w:space="0" w:color="B0BEC5"/>
          <w:bottom w:val="single" w:sz="4" w:space="0" w:color="B0BEC5"/>
          <w:left w:val="none"/>
          <w:right w:val="none"/>
          <w:insideH w:val="single" w:sz="4" w:space="0" w:color="B0BEC5"/>
          <w:insideV w:val="none"/>
        </w:tblBorders>
      </w:tblPr>
      <w:tblGrid>
        <w:gridCol w:w="1187"/>
        <w:gridCol w:w="1187"/>
        <w:gridCol w:w="1187"/>
        <w:gridCol w:w="1187"/>
        <w:gridCol w:w="1187"/>
        <w:gridCol w:w="1187"/>
        <w:gridCol w:w="1187"/>
      </w:tblGrid>
      <w:tr>
        <w:tc>
          <w:tcPr>
            <w:tcW w:type="dxa" w:w="1728"/>
            <w:shd w:fill="1B365D"/>
            <w:tcMar>
              <w:top w:w="140" w:type="dxa"/>
              <w:bottom w:w="140" w:type="dxa"/>
              <w:left w:w="160" w:type="dxa"/>
              <w:right w:w="160" w:type="dxa"/>
            </w:tcMar>
          </w:tcPr>
          <w:p>
            <w:pPr>
              <w:spacing w:before="0" w:after="0" w:line="240" w:lineRule="auto"/>
              <w:jc w:val="center"/>
            </w:pPr>
            <w:r>
              <w:rPr>
                <w:rFonts w:ascii="Times New Roman" w:hAnsi="Times New Roman"/>
                <w:b/>
                <w:i w:val="0"/>
                <w:color w:val="FFFFFF"/>
                <w:sz w:val="20"/>
              </w:rPr>
              <w:t>Random Seed</w:t>
            </w:r>
          </w:p>
        </w:tc>
        <w:tc>
          <w:tcPr>
            <w:tcW w:type="dxa" w:w="1440"/>
            <w:shd w:fill="1B365D"/>
            <w:tcMar>
              <w:top w:w="140" w:type="dxa"/>
              <w:bottom w:w="140" w:type="dxa"/>
              <w:left w:w="160" w:type="dxa"/>
              <w:right w:w="160" w:type="dxa"/>
            </w:tcMar>
          </w:tcPr>
          <w:p>
            <w:pPr>
              <w:spacing w:before="0" w:after="0" w:line="240" w:lineRule="auto"/>
              <w:jc w:val="center"/>
            </w:pPr>
            <w:r>
              <w:rPr>
                <w:rFonts w:ascii="Times New Roman" w:hAnsi="Times New Roman"/>
                <w:b/>
                <w:i w:val="0"/>
                <w:color w:val="FFFFFF"/>
                <w:sz w:val="20"/>
              </w:rPr>
              <w:t>Exp A ROC-AUC</w:t>
            </w:r>
          </w:p>
        </w:tc>
        <w:tc>
          <w:tcPr>
            <w:tcW w:type="dxa" w:w="1440"/>
            <w:shd w:fill="1B365D"/>
            <w:tcMar>
              <w:top w:w="140" w:type="dxa"/>
              <w:bottom w:w="140" w:type="dxa"/>
              <w:left w:w="160" w:type="dxa"/>
              <w:right w:w="160" w:type="dxa"/>
            </w:tcMar>
          </w:tcPr>
          <w:p>
            <w:pPr>
              <w:spacing w:before="0" w:after="0" w:line="240" w:lineRule="auto"/>
              <w:jc w:val="center"/>
            </w:pPr>
            <w:r>
              <w:rPr>
                <w:rFonts w:ascii="Times New Roman" w:hAnsi="Times New Roman"/>
                <w:b/>
                <w:i w:val="0"/>
                <w:color w:val="FFFFFF"/>
                <w:sz w:val="20"/>
              </w:rPr>
              <w:t>Exp A PR-AUC</w:t>
            </w:r>
          </w:p>
        </w:tc>
        <w:tc>
          <w:tcPr>
            <w:tcW w:type="dxa" w:w="1440"/>
            <w:shd w:fill="1B365D"/>
            <w:tcMar>
              <w:top w:w="140" w:type="dxa"/>
              <w:bottom w:w="140" w:type="dxa"/>
              <w:left w:w="160" w:type="dxa"/>
              <w:right w:w="160" w:type="dxa"/>
            </w:tcMar>
          </w:tcPr>
          <w:p>
            <w:pPr>
              <w:spacing w:before="0" w:after="0" w:line="240" w:lineRule="auto"/>
              <w:jc w:val="center"/>
            </w:pPr>
            <w:r>
              <w:rPr>
                <w:rFonts w:ascii="Times New Roman" w:hAnsi="Times New Roman"/>
                <w:b/>
                <w:i w:val="0"/>
                <w:color w:val="FFFFFF"/>
                <w:sz w:val="20"/>
              </w:rPr>
              <w:t>Exp B ROC-AUC</w:t>
            </w:r>
          </w:p>
        </w:tc>
        <w:tc>
          <w:tcPr>
            <w:tcW w:type="dxa" w:w="1440"/>
            <w:shd w:fill="1B365D"/>
            <w:tcMar>
              <w:top w:w="140" w:type="dxa"/>
              <w:bottom w:w="140" w:type="dxa"/>
              <w:left w:w="160" w:type="dxa"/>
              <w:right w:w="160" w:type="dxa"/>
            </w:tcMar>
          </w:tcPr>
          <w:p>
            <w:pPr>
              <w:spacing w:before="0" w:after="0" w:line="240" w:lineRule="auto"/>
              <w:jc w:val="center"/>
            </w:pPr>
            <w:r>
              <w:rPr>
                <w:rFonts w:ascii="Times New Roman" w:hAnsi="Times New Roman"/>
                <w:b/>
                <w:i w:val="0"/>
                <w:color w:val="FFFFFF"/>
                <w:sz w:val="20"/>
              </w:rPr>
              <w:t>Exp B PR-AUC</w:t>
            </w:r>
          </w:p>
        </w:tc>
        <w:tc>
          <w:tcPr>
            <w:tcW w:type="dxa" w:w="1440"/>
            <w:shd w:fill="1B365D"/>
            <w:tcMar>
              <w:top w:w="140" w:type="dxa"/>
              <w:bottom w:w="140" w:type="dxa"/>
              <w:left w:w="160" w:type="dxa"/>
              <w:right w:w="160" w:type="dxa"/>
            </w:tcMar>
          </w:tcPr>
          <w:p>
            <w:pPr>
              <w:spacing w:before="0" w:after="0" w:line="240" w:lineRule="auto"/>
              <w:jc w:val="center"/>
            </w:pPr>
            <w:r>
              <w:rPr>
                <w:rFonts w:ascii="Times New Roman" w:hAnsi="Times New Roman"/>
                <w:b/>
                <w:i w:val="0"/>
                <w:color w:val="FFFFFF"/>
                <w:sz w:val="20"/>
              </w:rPr>
              <w:t>AUC Delta</w:t>
            </w:r>
          </w:p>
        </w:tc>
        <w:tc>
          <w:tcPr>
            <w:tcW w:type="dxa" w:w="1584"/>
            <w:shd w:fill="1B365D"/>
            <w:tcMar>
              <w:top w:w="140" w:type="dxa"/>
              <w:bottom w:w="140" w:type="dxa"/>
              <w:left w:w="160" w:type="dxa"/>
              <w:right w:w="160" w:type="dxa"/>
            </w:tcMar>
          </w:tcPr>
          <w:p>
            <w:pPr>
              <w:spacing w:before="0" w:after="0" w:line="240" w:lineRule="auto"/>
              <w:jc w:val="center"/>
            </w:pPr>
            <w:r>
              <w:rPr>
                <w:rFonts w:ascii="Times New Roman" w:hAnsi="Times New Roman"/>
                <w:b/>
                <w:i w:val="0"/>
                <w:color w:val="FFFFFF"/>
                <w:sz w:val="20"/>
              </w:rPr>
              <w:t>PR-AUC Delta</w:t>
            </w:r>
          </w:p>
        </w:tc>
      </w:tr>
      <w:tr>
        <w:tc>
          <w:tcPr>
            <w:tcW w:type="dxa" w:w="1728"/>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Seed 42</w:t>
            </w:r>
          </w:p>
        </w:tc>
        <w:tc>
          <w:tcPr>
            <w:tcW w:type="dxa" w:w="1440"/>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0.9434</w:t>
            </w:r>
          </w:p>
        </w:tc>
        <w:tc>
          <w:tcPr>
            <w:tcW w:type="dxa" w:w="1440"/>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0.9034</w:t>
            </w:r>
          </w:p>
        </w:tc>
        <w:tc>
          <w:tcPr>
            <w:tcW w:type="dxa" w:w="1440"/>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0.9691</w:t>
            </w:r>
          </w:p>
        </w:tc>
        <w:tc>
          <w:tcPr>
            <w:tcW w:type="dxa" w:w="1440"/>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0.9666</w:t>
            </w:r>
          </w:p>
        </w:tc>
        <w:tc>
          <w:tcPr>
            <w:tcW w:type="dxa" w:w="1440"/>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+2.57%</w:t>
            </w:r>
          </w:p>
        </w:tc>
        <w:tc>
          <w:tcPr>
            <w:tcW w:type="dxa" w:w="1584"/>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+6.32%</w:t>
            </w:r>
          </w:p>
        </w:tc>
      </w:tr>
      <w:tr>
        <w:tc>
          <w:tcPr>
            <w:tcW w:type="dxa" w:w="1728"/>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Seed 3407</w:t>
            </w:r>
          </w:p>
        </w:tc>
        <w:tc>
          <w:tcPr>
            <w:tcW w:type="dxa" w:w="1440"/>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0.9414</w:t>
            </w:r>
          </w:p>
        </w:tc>
        <w:tc>
          <w:tcPr>
            <w:tcW w:type="dxa" w:w="1440"/>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0.8991</w:t>
            </w:r>
          </w:p>
        </w:tc>
        <w:tc>
          <w:tcPr>
            <w:tcW w:type="dxa" w:w="1440"/>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0.9676</w:t>
            </w:r>
          </w:p>
        </w:tc>
        <w:tc>
          <w:tcPr>
            <w:tcW w:type="dxa" w:w="1440"/>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0.9714</w:t>
            </w:r>
          </w:p>
        </w:tc>
        <w:tc>
          <w:tcPr>
            <w:tcW w:type="dxa" w:w="1440"/>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+2.62%</w:t>
            </w:r>
          </w:p>
        </w:tc>
        <w:tc>
          <w:tcPr>
            <w:tcW w:type="dxa" w:w="1584"/>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+7.23%</w:t>
            </w:r>
          </w:p>
        </w:tc>
      </w:tr>
      <w:tr>
        <w:tc>
          <w:tcPr>
            <w:tcW w:type="dxa" w:w="1728"/>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Seed 54321</w:t>
            </w:r>
          </w:p>
        </w:tc>
        <w:tc>
          <w:tcPr>
            <w:tcW w:type="dxa" w:w="1440"/>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0.9427</w:t>
            </w:r>
          </w:p>
        </w:tc>
        <w:tc>
          <w:tcPr>
            <w:tcW w:type="dxa" w:w="1440"/>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0.8984</w:t>
            </w:r>
          </w:p>
        </w:tc>
        <w:tc>
          <w:tcPr>
            <w:tcW w:type="dxa" w:w="1440"/>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0.9665</w:t>
            </w:r>
          </w:p>
        </w:tc>
        <w:tc>
          <w:tcPr>
            <w:tcW w:type="dxa" w:w="1440"/>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0.9687</w:t>
            </w:r>
          </w:p>
        </w:tc>
        <w:tc>
          <w:tcPr>
            <w:tcW w:type="dxa" w:w="1440"/>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+2.38%</w:t>
            </w:r>
          </w:p>
        </w:tc>
        <w:tc>
          <w:tcPr>
            <w:tcW w:type="dxa" w:w="1584"/>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+7.03%</w:t>
            </w:r>
          </w:p>
        </w:tc>
      </w:tr>
      <w:tr>
        <w:tc>
          <w:tcPr>
            <w:tcW w:type="dxa" w:w="1728"/>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Seed 123456</w:t>
            </w:r>
          </w:p>
        </w:tc>
        <w:tc>
          <w:tcPr>
            <w:tcW w:type="dxa" w:w="1440"/>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0.9423</w:t>
            </w:r>
          </w:p>
        </w:tc>
        <w:tc>
          <w:tcPr>
            <w:tcW w:type="dxa" w:w="1440"/>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0.9031</w:t>
            </w:r>
          </w:p>
        </w:tc>
        <w:tc>
          <w:tcPr>
            <w:tcW w:type="dxa" w:w="1440"/>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0.9704</w:t>
            </w:r>
          </w:p>
        </w:tc>
        <w:tc>
          <w:tcPr>
            <w:tcW w:type="dxa" w:w="1440"/>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0.9657</w:t>
            </w:r>
          </w:p>
        </w:tc>
        <w:tc>
          <w:tcPr>
            <w:tcW w:type="dxa" w:w="1440"/>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+2.81%</w:t>
            </w:r>
          </w:p>
        </w:tc>
        <w:tc>
          <w:tcPr>
            <w:tcW w:type="dxa" w:w="1584"/>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+6.26%</w:t>
            </w:r>
          </w:p>
        </w:tc>
      </w:tr>
      <w:tr>
        <w:tc>
          <w:tcPr>
            <w:tcW w:type="dxa" w:w="1728"/>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Seed 7</w:t>
            </w:r>
          </w:p>
        </w:tc>
        <w:tc>
          <w:tcPr>
            <w:tcW w:type="dxa" w:w="1440"/>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0.9420</w:t>
            </w:r>
          </w:p>
        </w:tc>
        <w:tc>
          <w:tcPr>
            <w:tcW w:type="dxa" w:w="1440"/>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0.9013</w:t>
            </w:r>
          </w:p>
        </w:tc>
        <w:tc>
          <w:tcPr>
            <w:tcW w:type="dxa" w:w="1440"/>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0.9735</w:t>
            </w:r>
          </w:p>
        </w:tc>
        <w:tc>
          <w:tcPr>
            <w:tcW w:type="dxa" w:w="1440"/>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0.9724</w:t>
            </w:r>
          </w:p>
        </w:tc>
        <w:tc>
          <w:tcPr>
            <w:tcW w:type="dxa" w:w="1440"/>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+3.15%</w:t>
            </w:r>
          </w:p>
        </w:tc>
        <w:tc>
          <w:tcPr>
            <w:tcW w:type="dxa" w:w="1584"/>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+7.11%</w:t>
            </w:r>
          </w:p>
        </w:tc>
      </w:tr>
      <w:tr>
        <w:tc>
          <w:tcPr>
            <w:tcW w:type="dxa" w:w="1728"/>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Seed 777</w:t>
            </w:r>
          </w:p>
        </w:tc>
        <w:tc>
          <w:tcPr>
            <w:tcW w:type="dxa" w:w="1440"/>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0.9368</w:t>
            </w:r>
          </w:p>
        </w:tc>
        <w:tc>
          <w:tcPr>
            <w:tcW w:type="dxa" w:w="1440"/>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0.8897</w:t>
            </w:r>
          </w:p>
        </w:tc>
        <w:tc>
          <w:tcPr>
            <w:tcW w:type="dxa" w:w="1440"/>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0.9730</w:t>
            </w:r>
          </w:p>
        </w:tc>
        <w:tc>
          <w:tcPr>
            <w:tcW w:type="dxa" w:w="1440"/>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0.9679</w:t>
            </w:r>
          </w:p>
        </w:tc>
        <w:tc>
          <w:tcPr>
            <w:tcW w:type="dxa" w:w="1440"/>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+3.62%</w:t>
            </w:r>
          </w:p>
        </w:tc>
        <w:tc>
          <w:tcPr>
            <w:tcW w:type="dxa" w:w="1584"/>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+7.82%</w:t>
            </w:r>
          </w:p>
        </w:tc>
      </w:tr>
      <w:tr>
        <w:tc>
          <w:tcPr>
            <w:tcW w:type="dxa" w:w="1728"/>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Seed 31415</w:t>
            </w:r>
          </w:p>
        </w:tc>
        <w:tc>
          <w:tcPr>
            <w:tcW w:type="dxa" w:w="1440"/>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0.9403</w:t>
            </w:r>
          </w:p>
        </w:tc>
        <w:tc>
          <w:tcPr>
            <w:tcW w:type="dxa" w:w="1440"/>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0.8958</w:t>
            </w:r>
          </w:p>
        </w:tc>
        <w:tc>
          <w:tcPr>
            <w:tcW w:type="dxa" w:w="1440"/>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0.9621</w:t>
            </w:r>
          </w:p>
        </w:tc>
        <w:tc>
          <w:tcPr>
            <w:tcW w:type="dxa" w:w="1440"/>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0.9526</w:t>
            </w:r>
          </w:p>
        </w:tc>
        <w:tc>
          <w:tcPr>
            <w:tcW w:type="dxa" w:w="1440"/>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+2.18%</w:t>
            </w:r>
          </w:p>
        </w:tc>
        <w:tc>
          <w:tcPr>
            <w:tcW w:type="dxa" w:w="1584"/>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+5.68%</w:t>
            </w:r>
          </w:p>
        </w:tc>
      </w:tr>
      <w:tr>
        <w:tc>
          <w:tcPr>
            <w:tcW w:type="dxa" w:w="1728"/>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7-Seed Mean ± SD</w:t>
            </w:r>
          </w:p>
        </w:tc>
        <w:tc>
          <w:tcPr>
            <w:tcW w:type="dxa" w:w="1440"/>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0.9413 ± 0.0021</w:t>
            </w:r>
          </w:p>
        </w:tc>
        <w:tc>
          <w:tcPr>
            <w:tcW w:type="dxa" w:w="1440"/>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0.8987 ± 0.0045</w:t>
            </w:r>
          </w:p>
        </w:tc>
        <w:tc>
          <w:tcPr>
            <w:tcW w:type="dxa" w:w="1440"/>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0.9689 ± 0.0037</w:t>
            </w:r>
          </w:p>
        </w:tc>
        <w:tc>
          <w:tcPr>
            <w:tcW w:type="dxa" w:w="1440"/>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0.9665 ± 0.0061</w:t>
            </w:r>
          </w:p>
        </w:tc>
        <w:tc>
          <w:tcPr>
            <w:tcW w:type="dxa" w:w="1440"/>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+2.76% (p=0.00001)</w:t>
            </w:r>
          </w:p>
        </w:tc>
        <w:tc>
          <w:tcPr>
            <w:tcW w:type="dxa" w:w="1584"/>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+6.78% (p=0.00000)</w:t>
            </w:r>
          </w:p>
        </w:tc>
      </w:tr>
    </w:tbl>
    <w:p>
      <w:pPr>
        <w:spacing w:before="0" w:after="160"/>
      </w:pPr>
    </w:p>
    <w:p>
      <w:pPr>
        <w:spacing w:before="280" w:after="80" w:line="276" w:lineRule="auto"/>
        <w:jc w:val="left"/>
      </w:pPr>
      <w:r>
        <w:rPr>
          <w:rFonts w:ascii="Times New Roman" w:hAnsi="Times New Roman"/>
          <w:b/>
          <w:i w:val="0"/>
          <w:sz w:val="28"/>
        </w:rPr>
        <w:t>4.7 EXPERIMENT C: CORE FLAGSHIP MODEL (SE-CONDITIONED ATTENTION)</w:t>
      </w:r>
    </w:p>
    <w:p>
      <w:pPr>
        <w:spacing w:before="0" w:after="120" w:line="360" w:lineRule="auto"/>
        <w:jc w:val="both"/>
      </w:pPr>
      <w:r>
        <w:rPr>
          <w:rFonts w:ascii="Times New Roman" w:hAnsi="Times New Roman"/>
          <w:b w:val="0"/>
          <w:i w:val="0"/>
          <w:sz w:val="24"/>
        </w:rPr>
        <w:t>Experiment C introduced Adverse-Event-Conditioned Attention Pooling (SapBERT 768d). Across 7 seeds, Exp C achieved the highest overall discriminative performance across the entire project: ROC-AUC of 0.9779 ± 0.0017, PR-AUC of 0.9729 ± 0.0026, F1-Score of 0.9465 ± 0.0010, and Recall of 0.9555 ± 0.0046. The remarkably low variance in F1-score (sigma = 0.0010) empirically proves that conditioning on adverse event semantics regularizes the model against random initialization variance.</w:t>
      </w:r>
    </w:p>
    <w:p>
      <w:pPr>
        <w:spacing w:before="280" w:after="80" w:line="276" w:lineRule="auto"/>
        <w:jc w:val="left"/>
      </w:pPr>
      <w:r>
        <w:rPr>
          <w:rFonts w:ascii="Times New Roman" w:hAnsi="Times New Roman"/>
          <w:b/>
          <w:i w:val="0"/>
          <w:sz w:val="28"/>
        </w:rPr>
        <w:t>4.8 EXPERIMENT D: MULTIMODAL BIOLOGICAL FEATURE FUSION</w:t>
      </w:r>
    </w:p>
    <w:p>
      <w:pPr>
        <w:spacing w:before="0" w:after="120" w:line="360" w:lineRule="auto"/>
        <w:jc w:val="both"/>
      </w:pPr>
      <w:r>
        <w:rPr>
          <w:rFonts w:ascii="Times New Roman" w:hAnsi="Times New Roman"/>
          <w:b w:val="0"/>
          <w:i w:val="0"/>
          <w:sz w:val="24"/>
        </w:rPr>
        <w:t>Experiment D augmented SMILES with 1,024-dimensional KEGG biological features via attention gating. In the 7-seed evaluation, Exp D attained the highest Precision across all models (0.9389 ± 0.0043, p = 0.6596 vs. Exp C), while maintaining ROC-AUC at 0.9770 ± 0.0014 and PR-AUC at 0.9727 ± 0.0027. In a standalone test run converging at Epoch 81, Exp D yielded Precision of 0.9220, Recall of 0.9399, F1 of 0.9308, ROC-AUC of 0.9692, and PR-AUC of 0.9528.</w:t>
      </w:r>
    </w:p>
    <w:tbl>
      <w:tblPr>
        <w:tblW w:type="auto" w:w="0"/>
        <w:jc w:val="center"/>
        <w:tblLook w:firstColumn="1" w:firstRow="1" w:lastColumn="0" w:lastRow="0" w:noHBand="0" w:noVBand="1" w:val="04A0"/>
        <w:tblBorders>
          <w:top w:val="single" w:sz="4" w:space="0" w:color="B0BEC5"/>
          <w:bottom w:val="single" w:sz="4" w:space="0" w:color="B0BEC5"/>
          <w:left w:val="none"/>
          <w:right w:val="none"/>
          <w:insideH w:val="single" w:sz="4" w:space="0" w:color="B0BEC5"/>
          <w:insideV w:val="none"/>
        </w:tblBorders>
      </w:tblPr>
      <w:tblGrid>
        <w:gridCol w:w="1187"/>
        <w:gridCol w:w="1187"/>
        <w:gridCol w:w="1187"/>
        <w:gridCol w:w="1187"/>
        <w:gridCol w:w="1187"/>
        <w:gridCol w:w="1187"/>
        <w:gridCol w:w="1187"/>
      </w:tblGrid>
      <w:tr>
        <w:tc>
          <w:tcPr>
            <w:tcW w:type="dxa" w:w="1728"/>
            <w:shd w:fill="1B365D"/>
            <w:tcMar>
              <w:top w:w="140" w:type="dxa"/>
              <w:bottom w:w="140" w:type="dxa"/>
              <w:left w:w="160" w:type="dxa"/>
              <w:right w:w="160" w:type="dxa"/>
            </w:tcMar>
          </w:tcPr>
          <w:p>
            <w:pPr>
              <w:spacing w:before="0" w:after="0" w:line="240" w:lineRule="auto"/>
              <w:jc w:val="center"/>
            </w:pPr>
            <w:r>
              <w:rPr>
                <w:rFonts w:ascii="Times New Roman" w:hAnsi="Times New Roman"/>
                <w:b/>
                <w:i w:val="0"/>
                <w:color w:val="FFFFFF"/>
                <w:sz w:val="20"/>
              </w:rPr>
              <w:t>Random Seed</w:t>
            </w:r>
          </w:p>
        </w:tc>
        <w:tc>
          <w:tcPr>
            <w:tcW w:type="dxa" w:w="1440"/>
            <w:shd w:fill="1B365D"/>
            <w:tcMar>
              <w:top w:w="140" w:type="dxa"/>
              <w:bottom w:w="140" w:type="dxa"/>
              <w:left w:w="160" w:type="dxa"/>
              <w:right w:w="160" w:type="dxa"/>
            </w:tcMar>
          </w:tcPr>
          <w:p>
            <w:pPr>
              <w:spacing w:before="0" w:after="0" w:line="240" w:lineRule="auto"/>
              <w:jc w:val="center"/>
            </w:pPr>
            <w:r>
              <w:rPr>
                <w:rFonts w:ascii="Times New Roman" w:hAnsi="Times New Roman"/>
                <w:b/>
                <w:i w:val="0"/>
                <w:color w:val="FFFFFF"/>
                <w:sz w:val="20"/>
              </w:rPr>
              <w:t>Exp C ROC-AUC</w:t>
            </w:r>
          </w:p>
        </w:tc>
        <w:tc>
          <w:tcPr>
            <w:tcW w:type="dxa" w:w="1440"/>
            <w:shd w:fill="1B365D"/>
            <w:tcMar>
              <w:top w:w="140" w:type="dxa"/>
              <w:bottom w:w="140" w:type="dxa"/>
              <w:left w:w="160" w:type="dxa"/>
              <w:right w:w="160" w:type="dxa"/>
            </w:tcMar>
          </w:tcPr>
          <w:p>
            <w:pPr>
              <w:spacing w:before="0" w:after="0" w:line="240" w:lineRule="auto"/>
              <w:jc w:val="center"/>
            </w:pPr>
            <w:r>
              <w:rPr>
                <w:rFonts w:ascii="Times New Roman" w:hAnsi="Times New Roman"/>
                <w:b/>
                <w:i w:val="0"/>
                <w:color w:val="FFFFFF"/>
                <w:sz w:val="20"/>
              </w:rPr>
              <w:t>Exp C PR-AUC</w:t>
            </w:r>
          </w:p>
        </w:tc>
        <w:tc>
          <w:tcPr>
            <w:tcW w:type="dxa" w:w="1440"/>
            <w:shd w:fill="1B365D"/>
            <w:tcMar>
              <w:top w:w="140" w:type="dxa"/>
              <w:bottom w:w="140" w:type="dxa"/>
              <w:left w:w="160" w:type="dxa"/>
              <w:right w:w="160" w:type="dxa"/>
            </w:tcMar>
          </w:tcPr>
          <w:p>
            <w:pPr>
              <w:spacing w:before="0" w:after="0" w:line="240" w:lineRule="auto"/>
              <w:jc w:val="center"/>
            </w:pPr>
            <w:r>
              <w:rPr>
                <w:rFonts w:ascii="Times New Roman" w:hAnsi="Times New Roman"/>
                <w:b/>
                <w:i w:val="0"/>
                <w:color w:val="FFFFFF"/>
                <w:sz w:val="20"/>
              </w:rPr>
              <w:t>Exp C F1-Score</w:t>
            </w:r>
          </w:p>
        </w:tc>
        <w:tc>
          <w:tcPr>
            <w:tcW w:type="dxa" w:w="1440"/>
            <w:shd w:fill="1B365D"/>
            <w:tcMar>
              <w:top w:w="140" w:type="dxa"/>
              <w:bottom w:w="140" w:type="dxa"/>
              <w:left w:w="160" w:type="dxa"/>
              <w:right w:w="160" w:type="dxa"/>
            </w:tcMar>
          </w:tcPr>
          <w:p>
            <w:pPr>
              <w:spacing w:before="0" w:after="0" w:line="240" w:lineRule="auto"/>
              <w:jc w:val="center"/>
            </w:pPr>
            <w:r>
              <w:rPr>
                <w:rFonts w:ascii="Times New Roman" w:hAnsi="Times New Roman"/>
                <w:b/>
                <w:i w:val="0"/>
                <w:color w:val="FFFFFF"/>
                <w:sz w:val="20"/>
              </w:rPr>
              <w:t>Exp D ROC-AUC</w:t>
            </w:r>
          </w:p>
        </w:tc>
        <w:tc>
          <w:tcPr>
            <w:tcW w:type="dxa" w:w="1440"/>
            <w:shd w:fill="1B365D"/>
            <w:tcMar>
              <w:top w:w="140" w:type="dxa"/>
              <w:bottom w:w="140" w:type="dxa"/>
              <w:left w:w="160" w:type="dxa"/>
              <w:right w:w="160" w:type="dxa"/>
            </w:tcMar>
          </w:tcPr>
          <w:p>
            <w:pPr>
              <w:spacing w:before="0" w:after="0" w:line="240" w:lineRule="auto"/>
              <w:jc w:val="center"/>
            </w:pPr>
            <w:r>
              <w:rPr>
                <w:rFonts w:ascii="Times New Roman" w:hAnsi="Times New Roman"/>
                <w:b/>
                <w:i w:val="0"/>
                <w:color w:val="FFFFFF"/>
                <w:sz w:val="20"/>
              </w:rPr>
              <w:t>Exp D PR-AUC</w:t>
            </w:r>
          </w:p>
        </w:tc>
        <w:tc>
          <w:tcPr>
            <w:tcW w:type="dxa" w:w="1440"/>
            <w:shd w:fill="1B365D"/>
            <w:tcMar>
              <w:top w:w="140" w:type="dxa"/>
              <w:bottom w:w="140" w:type="dxa"/>
              <w:left w:w="160" w:type="dxa"/>
              <w:right w:w="160" w:type="dxa"/>
            </w:tcMar>
          </w:tcPr>
          <w:p>
            <w:pPr>
              <w:spacing w:before="0" w:after="0" w:line="240" w:lineRule="auto"/>
              <w:jc w:val="center"/>
            </w:pPr>
            <w:r>
              <w:rPr>
                <w:rFonts w:ascii="Times New Roman" w:hAnsi="Times New Roman"/>
                <w:b/>
                <w:i w:val="0"/>
                <w:color w:val="FFFFFF"/>
                <w:sz w:val="20"/>
              </w:rPr>
              <w:t>Exp D F1-Score</w:t>
            </w:r>
          </w:p>
        </w:tc>
      </w:tr>
      <w:tr>
        <w:tc>
          <w:tcPr>
            <w:tcW w:type="dxa" w:w="1728"/>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Seed 42</w:t>
            </w:r>
          </w:p>
        </w:tc>
        <w:tc>
          <w:tcPr>
            <w:tcW w:type="dxa" w:w="1440"/>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0.9787</w:t>
            </w:r>
          </w:p>
        </w:tc>
        <w:tc>
          <w:tcPr>
            <w:tcW w:type="dxa" w:w="1440"/>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0.9738</w:t>
            </w:r>
          </w:p>
        </w:tc>
        <w:tc>
          <w:tcPr>
            <w:tcW w:type="dxa" w:w="1440"/>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0.9462</w:t>
            </w:r>
          </w:p>
        </w:tc>
        <w:tc>
          <w:tcPr>
            <w:tcW w:type="dxa" w:w="1440"/>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0.9753</w:t>
            </w:r>
          </w:p>
        </w:tc>
        <w:tc>
          <w:tcPr>
            <w:tcW w:type="dxa" w:w="1440"/>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0.9708</w:t>
            </w:r>
          </w:p>
        </w:tc>
        <w:tc>
          <w:tcPr>
            <w:tcW w:type="dxa" w:w="1440"/>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0.9414</w:t>
            </w:r>
          </w:p>
        </w:tc>
      </w:tr>
      <w:tr>
        <w:tc>
          <w:tcPr>
            <w:tcW w:type="dxa" w:w="1728"/>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Seed 3407</w:t>
            </w:r>
          </w:p>
        </w:tc>
        <w:tc>
          <w:tcPr>
            <w:tcW w:type="dxa" w:w="1440"/>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0.9794</w:t>
            </w:r>
          </w:p>
        </w:tc>
        <w:tc>
          <w:tcPr>
            <w:tcW w:type="dxa" w:w="1440"/>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0.9757</w:t>
            </w:r>
          </w:p>
        </w:tc>
        <w:tc>
          <w:tcPr>
            <w:tcW w:type="dxa" w:w="1440"/>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0.9483</w:t>
            </w:r>
          </w:p>
        </w:tc>
        <w:tc>
          <w:tcPr>
            <w:tcW w:type="dxa" w:w="1440"/>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0.9753</w:t>
            </w:r>
          </w:p>
        </w:tc>
        <w:tc>
          <w:tcPr>
            <w:tcW w:type="dxa" w:w="1440"/>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0.9698</w:t>
            </w:r>
          </w:p>
        </w:tc>
        <w:tc>
          <w:tcPr>
            <w:tcW w:type="dxa" w:w="1440"/>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0.9414</w:t>
            </w:r>
          </w:p>
        </w:tc>
      </w:tr>
      <w:tr>
        <w:tc>
          <w:tcPr>
            <w:tcW w:type="dxa" w:w="1728"/>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Seed 54321</w:t>
            </w:r>
          </w:p>
        </w:tc>
        <w:tc>
          <w:tcPr>
            <w:tcW w:type="dxa" w:w="1440"/>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0.9792</w:t>
            </w:r>
          </w:p>
        </w:tc>
        <w:tc>
          <w:tcPr>
            <w:tcW w:type="dxa" w:w="1440"/>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0.9747</w:t>
            </w:r>
          </w:p>
        </w:tc>
        <w:tc>
          <w:tcPr>
            <w:tcW w:type="dxa" w:w="1440"/>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0.9453</w:t>
            </w:r>
          </w:p>
        </w:tc>
        <w:tc>
          <w:tcPr>
            <w:tcW w:type="dxa" w:w="1440"/>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0.9755</w:t>
            </w:r>
          </w:p>
        </w:tc>
        <w:tc>
          <w:tcPr>
            <w:tcW w:type="dxa" w:w="1440"/>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0.9702</w:t>
            </w:r>
          </w:p>
        </w:tc>
        <w:tc>
          <w:tcPr>
            <w:tcW w:type="dxa" w:w="1440"/>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0.9449</w:t>
            </w:r>
          </w:p>
        </w:tc>
      </w:tr>
      <w:tr>
        <w:tc>
          <w:tcPr>
            <w:tcW w:type="dxa" w:w="1728"/>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Seed 123456</w:t>
            </w:r>
          </w:p>
        </w:tc>
        <w:tc>
          <w:tcPr>
            <w:tcW w:type="dxa" w:w="1440"/>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0.9769</w:t>
            </w:r>
          </w:p>
        </w:tc>
        <w:tc>
          <w:tcPr>
            <w:tcW w:type="dxa" w:w="1440"/>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0.9710</w:t>
            </w:r>
          </w:p>
        </w:tc>
        <w:tc>
          <w:tcPr>
            <w:tcW w:type="dxa" w:w="1440"/>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0.9467</w:t>
            </w:r>
          </w:p>
        </w:tc>
        <w:tc>
          <w:tcPr>
            <w:tcW w:type="dxa" w:w="1440"/>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0.9785</w:t>
            </w:r>
          </w:p>
        </w:tc>
        <w:tc>
          <w:tcPr>
            <w:tcW w:type="dxa" w:w="1440"/>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0.9771</w:t>
            </w:r>
          </w:p>
        </w:tc>
        <w:tc>
          <w:tcPr>
            <w:tcW w:type="dxa" w:w="1440"/>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0.9441</w:t>
            </w:r>
          </w:p>
        </w:tc>
      </w:tr>
      <w:tr>
        <w:tc>
          <w:tcPr>
            <w:tcW w:type="dxa" w:w="1728"/>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Seed 7</w:t>
            </w:r>
          </w:p>
        </w:tc>
        <w:tc>
          <w:tcPr>
            <w:tcW w:type="dxa" w:w="1440"/>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0.9744</w:t>
            </w:r>
          </w:p>
        </w:tc>
        <w:tc>
          <w:tcPr>
            <w:tcW w:type="dxa" w:w="1440"/>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0.9676</w:t>
            </w:r>
          </w:p>
        </w:tc>
        <w:tc>
          <w:tcPr>
            <w:tcW w:type="dxa" w:w="1440"/>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0.9469</w:t>
            </w:r>
          </w:p>
        </w:tc>
        <w:tc>
          <w:tcPr>
            <w:tcW w:type="dxa" w:w="1440"/>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0.9774</w:t>
            </w:r>
          </w:p>
        </w:tc>
        <w:tc>
          <w:tcPr>
            <w:tcW w:type="dxa" w:w="1440"/>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0.9738</w:t>
            </w:r>
          </w:p>
        </w:tc>
        <w:tc>
          <w:tcPr>
            <w:tcW w:type="dxa" w:w="1440"/>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0.9422</w:t>
            </w:r>
          </w:p>
        </w:tc>
      </w:tr>
      <w:tr>
        <w:tc>
          <w:tcPr>
            <w:tcW w:type="dxa" w:w="1728"/>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Seed 777</w:t>
            </w:r>
          </w:p>
        </w:tc>
        <w:tc>
          <w:tcPr>
            <w:tcW w:type="dxa" w:w="1440"/>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0.9779</w:t>
            </w:r>
          </w:p>
        </w:tc>
        <w:tc>
          <w:tcPr>
            <w:tcW w:type="dxa" w:w="1440"/>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0.9730</w:t>
            </w:r>
          </w:p>
        </w:tc>
        <w:tc>
          <w:tcPr>
            <w:tcW w:type="dxa" w:w="1440"/>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0.9454</w:t>
            </w:r>
          </w:p>
        </w:tc>
        <w:tc>
          <w:tcPr>
            <w:tcW w:type="dxa" w:w="1440"/>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0.9783</w:t>
            </w:r>
          </w:p>
        </w:tc>
        <w:tc>
          <w:tcPr>
            <w:tcW w:type="dxa" w:w="1440"/>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0.9760</w:t>
            </w:r>
          </w:p>
        </w:tc>
        <w:tc>
          <w:tcPr>
            <w:tcW w:type="dxa" w:w="1440"/>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0.9408</w:t>
            </w:r>
          </w:p>
        </w:tc>
      </w:tr>
      <w:tr>
        <w:tc>
          <w:tcPr>
            <w:tcW w:type="dxa" w:w="1728"/>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Seed 31415</w:t>
            </w:r>
          </w:p>
        </w:tc>
        <w:tc>
          <w:tcPr>
            <w:tcW w:type="dxa" w:w="1440"/>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0.9790</w:t>
            </w:r>
          </w:p>
        </w:tc>
        <w:tc>
          <w:tcPr>
            <w:tcW w:type="dxa" w:w="1440"/>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0.9748</w:t>
            </w:r>
          </w:p>
        </w:tc>
        <w:tc>
          <w:tcPr>
            <w:tcW w:type="dxa" w:w="1440"/>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0.9468</w:t>
            </w:r>
          </w:p>
        </w:tc>
        <w:tc>
          <w:tcPr>
            <w:tcW w:type="dxa" w:w="1440"/>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0.9785</w:t>
            </w:r>
          </w:p>
        </w:tc>
        <w:tc>
          <w:tcPr>
            <w:tcW w:type="dxa" w:w="1440"/>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0.9714</w:t>
            </w:r>
          </w:p>
        </w:tc>
        <w:tc>
          <w:tcPr>
            <w:tcW w:type="dxa" w:w="1440"/>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0.9513</w:t>
            </w:r>
          </w:p>
        </w:tc>
      </w:tr>
      <w:tr>
        <w:tc>
          <w:tcPr>
            <w:tcW w:type="dxa" w:w="1728"/>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7-Seed Mean ± SD</w:t>
            </w:r>
          </w:p>
        </w:tc>
        <w:tc>
          <w:tcPr>
            <w:tcW w:type="dxa" w:w="1440"/>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0.9779 ± 0.0017</w:t>
            </w:r>
          </w:p>
        </w:tc>
        <w:tc>
          <w:tcPr>
            <w:tcW w:type="dxa" w:w="1440"/>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0.9729 ± 0.0026</w:t>
            </w:r>
          </w:p>
        </w:tc>
        <w:tc>
          <w:tcPr>
            <w:tcW w:type="dxa" w:w="1440"/>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0.9465 ± 0.0010</w:t>
            </w:r>
          </w:p>
        </w:tc>
        <w:tc>
          <w:tcPr>
            <w:tcW w:type="dxa" w:w="1440"/>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0.9770 ± 0.0014</w:t>
            </w:r>
          </w:p>
        </w:tc>
        <w:tc>
          <w:tcPr>
            <w:tcW w:type="dxa" w:w="1440"/>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0.9727 ± 0.0027</w:t>
            </w:r>
          </w:p>
        </w:tc>
        <w:tc>
          <w:tcPr>
            <w:tcW w:type="dxa" w:w="1440"/>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0.9437 ± 0.0034</w:t>
            </w:r>
          </w:p>
        </w:tc>
      </w:tr>
    </w:tbl>
    <w:p>
      <w:pPr>
        <w:spacing w:before="0" w:after="160"/>
      </w:pPr>
    </w:p>
    <w:p>
      <w:pPr>
        <w:spacing w:before="280" w:after="80" w:line="276" w:lineRule="auto"/>
        <w:jc w:val="left"/>
      </w:pPr>
      <w:r>
        <w:rPr>
          <w:rFonts w:ascii="Times New Roman" w:hAnsi="Times New Roman"/>
          <w:b/>
          <w:i w:val="0"/>
          <w:sz w:val="28"/>
        </w:rPr>
        <w:t>4.9 EXPERIMENT C VS. D: COMPARATIVE ANALYSIS &amp; MODALITY GATING</w:t>
      </w:r>
    </w:p>
    <w:p>
      <w:pPr>
        <w:spacing w:before="0" w:after="120" w:line="360" w:lineRule="auto"/>
        <w:jc w:val="both"/>
      </w:pPr>
      <w:r>
        <w:rPr>
          <w:rFonts w:ascii="Times New Roman" w:hAnsi="Times New Roman"/>
          <w:b w:val="0"/>
          <w:i w:val="0"/>
          <w:sz w:val="24"/>
        </w:rPr>
        <w:t>Statistical testing demonstrates that Exp C and Exp D are statistically equivalent (ROC-AUC p = 0.3254, PR-AUC p = 0.8813, F1 p = 0.0887). This leads to a profound scientific inference: pre-trained chemical language models (ChemBERTa) already capture substantial latent pharmacological properties from molecular grammar alone. Biological mechanism features provide fine-grained mechanistic interpretability and marginal precision improvements (+0.12%), but adverse-event conditioning (Exp C) remains the primary statistical performance driver.</w:t>
      </w:r>
    </w:p>
    <w:p>
      <w:pPr>
        <w:spacing w:before="280" w:after="80" w:line="276" w:lineRule="auto"/>
        <w:jc w:val="left"/>
      </w:pPr>
      <w:r>
        <w:rPr>
          <w:rFonts w:ascii="Times New Roman" w:hAnsi="Times New Roman"/>
          <w:b/>
          <w:i w:val="0"/>
          <w:sz w:val="28"/>
        </w:rPr>
        <w:t>4.10 EXPERIMENT G: HYPERGRAPH MESSAGE-PASSING HOP OPTIMIZATION</w:t>
      </w:r>
    </w:p>
    <w:p>
      <w:pPr>
        <w:spacing w:before="0" w:after="120" w:line="360" w:lineRule="auto"/>
        <w:jc w:val="both"/>
      </w:pPr>
      <w:r>
        <w:rPr>
          <w:rFonts w:ascii="Times New Roman" w:hAnsi="Times New Roman"/>
          <w:b w:val="0"/>
          <w:i w:val="0"/>
          <w:sz w:val="24"/>
        </w:rPr>
        <w:t>Experiment G conducted a topological depth sensitivity study across L in {1, 2, 3, 4} hypergraph convolution layers under strict hyperparameter controls matching Exp B. Results are compiled in Table 4.6 and illustrated in Figure 4.1.</w:t>
      </w:r>
    </w:p>
    <w:tbl>
      <w:tblPr>
        <w:tblW w:type="auto" w:w="0"/>
        <w:jc w:val="center"/>
        <w:tblLook w:firstColumn="1" w:firstRow="1" w:lastColumn="0" w:lastRow="0" w:noHBand="0" w:noVBand="1" w:val="04A0"/>
        <w:tblBorders>
          <w:top w:val="single" w:sz="4" w:space="0" w:color="B0BEC5"/>
          <w:bottom w:val="single" w:sz="4" w:space="0" w:color="B0BEC5"/>
          <w:left w:val="none"/>
          <w:right w:val="none"/>
          <w:insideH w:val="single" w:sz="4" w:space="0" w:color="B0BEC5"/>
          <w:insideV w:val="none"/>
        </w:tblBorders>
      </w:tblPr>
      <w:tblGrid>
        <w:gridCol w:w="831"/>
        <w:gridCol w:w="831"/>
        <w:gridCol w:w="831"/>
        <w:gridCol w:w="831"/>
        <w:gridCol w:w="831"/>
        <w:gridCol w:w="831"/>
        <w:gridCol w:w="831"/>
        <w:gridCol w:w="831"/>
        <w:gridCol w:w="831"/>
        <w:gridCol w:w="831"/>
      </w:tblGrid>
      <w:tr>
        <w:tc>
          <w:tcPr>
            <w:tcW w:type="dxa" w:w="1296"/>
            <w:shd w:fill="1B365D"/>
            <w:tcMar>
              <w:top w:w="140" w:type="dxa"/>
              <w:bottom w:w="140" w:type="dxa"/>
              <w:left w:w="160" w:type="dxa"/>
              <w:right w:w="160" w:type="dxa"/>
            </w:tcMar>
          </w:tcPr>
          <w:p>
            <w:pPr>
              <w:spacing w:before="0" w:after="0" w:line="240" w:lineRule="auto"/>
              <w:jc w:val="center"/>
            </w:pPr>
            <w:r>
              <w:rPr>
                <w:rFonts w:ascii="Times New Roman" w:hAnsi="Times New Roman"/>
                <w:b/>
                <w:i w:val="0"/>
                <w:color w:val="FFFFFF"/>
                <w:sz w:val="20"/>
              </w:rPr>
              <w:t>Conv Depth (L)</w:t>
            </w:r>
          </w:p>
        </w:tc>
        <w:tc>
          <w:tcPr>
            <w:tcW w:type="dxa" w:w="1584"/>
            <w:shd w:fill="1B365D"/>
            <w:tcMar>
              <w:top w:w="140" w:type="dxa"/>
              <w:bottom w:w="140" w:type="dxa"/>
              <w:left w:w="160" w:type="dxa"/>
              <w:right w:w="160" w:type="dxa"/>
            </w:tcMar>
          </w:tcPr>
          <w:p>
            <w:pPr>
              <w:spacing w:before="0" w:after="0" w:line="240" w:lineRule="auto"/>
              <w:jc w:val="center"/>
            </w:pPr>
            <w:r>
              <w:rPr>
                <w:rFonts w:ascii="Times New Roman" w:hAnsi="Times New Roman"/>
                <w:b/>
                <w:i w:val="0"/>
                <w:color w:val="FFFFFF"/>
                <w:sz w:val="20"/>
              </w:rPr>
              <w:t>Trainable Parameters</w:t>
            </w:r>
          </w:p>
        </w:tc>
        <w:tc>
          <w:tcPr>
            <w:tcW w:type="dxa" w:w="1296"/>
            <w:shd w:fill="1B365D"/>
            <w:tcMar>
              <w:top w:w="140" w:type="dxa"/>
              <w:bottom w:w="140" w:type="dxa"/>
              <w:left w:w="160" w:type="dxa"/>
              <w:right w:w="160" w:type="dxa"/>
            </w:tcMar>
          </w:tcPr>
          <w:p>
            <w:pPr>
              <w:spacing w:before="0" w:after="0" w:line="240" w:lineRule="auto"/>
              <w:jc w:val="center"/>
            </w:pPr>
            <w:r>
              <w:rPr>
                <w:rFonts w:ascii="Times New Roman" w:hAnsi="Times New Roman"/>
                <w:b/>
                <w:i w:val="0"/>
                <w:color w:val="FFFFFF"/>
                <w:sz w:val="20"/>
              </w:rPr>
              <w:t>Added Conv Params</w:t>
            </w:r>
          </w:p>
        </w:tc>
        <w:tc>
          <w:tcPr>
            <w:tcW w:type="dxa" w:w="1152"/>
            <w:shd w:fill="1B365D"/>
            <w:tcMar>
              <w:top w:w="140" w:type="dxa"/>
              <w:bottom w:w="140" w:type="dxa"/>
              <w:left w:w="160" w:type="dxa"/>
              <w:right w:w="160" w:type="dxa"/>
            </w:tcMar>
          </w:tcPr>
          <w:p>
            <w:pPr>
              <w:spacing w:before="0" w:after="0" w:line="240" w:lineRule="auto"/>
              <w:jc w:val="center"/>
            </w:pPr>
            <w:r>
              <w:rPr>
                <w:rFonts w:ascii="Times New Roman" w:hAnsi="Times New Roman"/>
                <w:b/>
                <w:i w:val="0"/>
                <w:color w:val="FFFFFF"/>
                <w:sz w:val="20"/>
              </w:rPr>
              <w:t>Test ROC-AUC</w:t>
            </w:r>
          </w:p>
        </w:tc>
        <w:tc>
          <w:tcPr>
            <w:tcW w:type="dxa" w:w="1152"/>
            <w:shd w:fill="1B365D"/>
            <w:tcMar>
              <w:top w:w="140" w:type="dxa"/>
              <w:bottom w:w="140" w:type="dxa"/>
              <w:left w:w="160" w:type="dxa"/>
              <w:right w:w="160" w:type="dxa"/>
            </w:tcMar>
          </w:tcPr>
          <w:p>
            <w:pPr>
              <w:spacing w:before="0" w:after="0" w:line="240" w:lineRule="auto"/>
              <w:jc w:val="center"/>
            </w:pPr>
            <w:r>
              <w:rPr>
                <w:rFonts w:ascii="Times New Roman" w:hAnsi="Times New Roman"/>
                <w:b/>
                <w:i w:val="0"/>
                <w:color w:val="FFFFFF"/>
                <w:sz w:val="20"/>
              </w:rPr>
              <w:t>Test PR-AUC</w:t>
            </w:r>
          </w:p>
        </w:tc>
        <w:tc>
          <w:tcPr>
            <w:tcW w:type="dxa" w:w="1152"/>
            <w:shd w:fill="1B365D"/>
            <w:tcMar>
              <w:top w:w="140" w:type="dxa"/>
              <w:bottom w:w="140" w:type="dxa"/>
              <w:left w:w="160" w:type="dxa"/>
              <w:right w:w="160" w:type="dxa"/>
            </w:tcMar>
          </w:tcPr>
          <w:p>
            <w:pPr>
              <w:spacing w:before="0" w:after="0" w:line="240" w:lineRule="auto"/>
              <w:jc w:val="center"/>
            </w:pPr>
            <w:r>
              <w:rPr>
                <w:rFonts w:ascii="Times New Roman" w:hAnsi="Times New Roman"/>
                <w:b/>
                <w:i w:val="0"/>
                <w:color w:val="FFFFFF"/>
                <w:sz w:val="20"/>
              </w:rPr>
              <w:t>Test F1-Score</w:t>
            </w:r>
          </w:p>
        </w:tc>
        <w:tc>
          <w:tcPr>
            <w:tcW w:type="dxa" w:w="1008"/>
            <w:shd w:fill="1B365D"/>
            <w:tcMar>
              <w:top w:w="140" w:type="dxa"/>
              <w:bottom w:w="140" w:type="dxa"/>
              <w:left w:w="160" w:type="dxa"/>
              <w:right w:w="160" w:type="dxa"/>
            </w:tcMar>
          </w:tcPr>
          <w:p>
            <w:pPr>
              <w:spacing w:before="0" w:after="0" w:line="240" w:lineRule="auto"/>
              <w:jc w:val="center"/>
            </w:pPr>
            <w:r>
              <w:rPr>
                <w:rFonts w:ascii="Times New Roman" w:hAnsi="Times New Roman"/>
                <w:b/>
                <w:i w:val="0"/>
                <w:color w:val="FFFFFF"/>
                <w:sz w:val="20"/>
              </w:rPr>
              <w:t>Precision</w:t>
            </w:r>
          </w:p>
        </w:tc>
        <w:tc>
          <w:tcPr>
            <w:tcW w:type="dxa" w:w="1008"/>
            <w:shd w:fill="1B365D"/>
            <w:tcMar>
              <w:top w:w="140" w:type="dxa"/>
              <w:bottom w:w="140" w:type="dxa"/>
              <w:left w:w="160" w:type="dxa"/>
              <w:right w:w="160" w:type="dxa"/>
            </w:tcMar>
          </w:tcPr>
          <w:p>
            <w:pPr>
              <w:spacing w:before="0" w:after="0" w:line="240" w:lineRule="auto"/>
              <w:jc w:val="center"/>
            </w:pPr>
            <w:r>
              <w:rPr>
                <w:rFonts w:ascii="Times New Roman" w:hAnsi="Times New Roman"/>
                <w:b/>
                <w:i w:val="0"/>
                <w:color w:val="FFFFFF"/>
                <w:sz w:val="20"/>
              </w:rPr>
              <w:t>Recall</w:t>
            </w:r>
          </w:p>
        </w:tc>
        <w:tc>
          <w:tcPr>
            <w:tcW w:type="dxa" w:w="1008"/>
            <w:shd w:fill="1B365D"/>
            <w:tcMar>
              <w:top w:w="140" w:type="dxa"/>
              <w:bottom w:w="140" w:type="dxa"/>
              <w:left w:w="160" w:type="dxa"/>
              <w:right w:w="160" w:type="dxa"/>
            </w:tcMar>
          </w:tcPr>
          <w:p>
            <w:pPr>
              <w:spacing w:before="0" w:after="0" w:line="240" w:lineRule="auto"/>
              <w:jc w:val="center"/>
            </w:pPr>
            <w:r>
              <w:rPr>
                <w:rFonts w:ascii="Times New Roman" w:hAnsi="Times New Roman"/>
                <w:b/>
                <w:i w:val="0"/>
                <w:color w:val="FFFFFF"/>
                <w:sz w:val="20"/>
              </w:rPr>
              <w:t>Epoch Time</w:t>
            </w:r>
          </w:p>
        </w:tc>
        <w:tc>
          <w:tcPr>
            <w:tcW w:type="dxa" w:w="2304"/>
            <w:shd w:fill="1B365D"/>
            <w:tcMar>
              <w:top w:w="140" w:type="dxa"/>
              <w:bottom w:w="140" w:type="dxa"/>
              <w:left w:w="160" w:type="dxa"/>
              <w:right w:w="160" w:type="dxa"/>
            </w:tcMar>
          </w:tcPr>
          <w:p>
            <w:pPr>
              <w:spacing w:before="0" w:after="0" w:line="240" w:lineRule="auto"/>
              <w:jc w:val="center"/>
            </w:pPr>
            <w:r>
              <w:rPr>
                <w:rFonts w:ascii="Times New Roman" w:hAnsi="Times New Roman"/>
                <w:b/>
                <w:i w:val="0"/>
                <w:color w:val="FFFFFF"/>
                <w:sz w:val="20"/>
              </w:rPr>
              <w:t>Topological Behavior</w:t>
            </w:r>
          </w:p>
        </w:tc>
      </w:tr>
      <w:tr>
        <w:tc>
          <w:tcPr>
            <w:tcW w:type="dxa" w:w="1296"/>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1 Hop</w:t>
            </w:r>
          </w:p>
        </w:tc>
        <w:tc>
          <w:tcPr>
            <w:tcW w:type="dxa" w:w="1584"/>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792,961 (~793k)</w:t>
            </w:r>
          </w:p>
        </w:tc>
        <w:tc>
          <w:tcPr>
            <w:tcW w:type="dxa" w:w="1296"/>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263,680</w:t>
            </w:r>
          </w:p>
        </w:tc>
        <w:tc>
          <w:tcPr>
            <w:tcW w:type="dxa" w:w="1152"/>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0.9324</w:t>
            </w:r>
          </w:p>
        </w:tc>
        <w:tc>
          <w:tcPr>
            <w:tcW w:type="dxa" w:w="1152"/>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0.9015</w:t>
            </w:r>
          </w:p>
        </w:tc>
        <w:tc>
          <w:tcPr>
            <w:tcW w:type="dxa" w:w="1152"/>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0.8872</w:t>
            </w:r>
          </w:p>
        </w:tc>
        <w:tc>
          <w:tcPr>
            <w:tcW w:type="dxa" w:w="1008"/>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0.8490</w:t>
            </w:r>
          </w:p>
        </w:tc>
        <w:tc>
          <w:tcPr>
            <w:tcW w:type="dxa" w:w="1008"/>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0.9290</w:t>
            </w:r>
          </w:p>
        </w:tc>
        <w:tc>
          <w:tcPr>
            <w:tcW w:type="dxa" w:w="1008"/>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4.12 s</w:t>
            </w:r>
          </w:p>
        </w:tc>
        <w:tc>
          <w:tcPr>
            <w:tcW w:type="dxa" w:w="2304"/>
            <w:tcMar>
              <w:top w:w="100" w:type="dxa"/>
              <w:bottom w:w="100" w:type="dxa"/>
              <w:left w:w="150" w:type="dxa"/>
              <w:right w:w="150" w:type="dxa"/>
            </w:tcMar>
          </w:tcPr>
          <w:p>
            <w:pPr>
              <w:spacing w:before="0" w:after="0" w:line="276" w:lineRule="auto"/>
              <w:jc w:val="left"/>
            </w:pPr>
            <w:r>
              <w:rPr>
                <w:rFonts w:ascii="Times New Roman" w:hAnsi="Times New Roman"/>
                <w:b w:val="0"/>
                <w:i w:val="0"/>
                <w:sz w:val="19"/>
              </w:rPr>
              <w:t>Under-receptive; misses bridge prescriptions</w:t>
            </w:r>
          </w:p>
        </w:tc>
      </w:tr>
      <w:tr>
        <w:tc>
          <w:tcPr>
            <w:tcW w:type="dxa" w:w="1296"/>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2 Hops (Optimal)</w:t>
            </w:r>
          </w:p>
        </w:tc>
        <w:tc>
          <w:tcPr>
            <w:tcW w:type="dxa" w:w="1584"/>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1,056,641 (~1.06M)</w:t>
            </w:r>
          </w:p>
        </w:tc>
        <w:tc>
          <w:tcPr>
            <w:tcW w:type="dxa" w:w="1296"/>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527,360</w:t>
            </w:r>
          </w:p>
        </w:tc>
        <w:tc>
          <w:tcPr>
            <w:tcW w:type="dxa" w:w="1152"/>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0.9518</w:t>
            </w:r>
          </w:p>
        </w:tc>
        <w:tc>
          <w:tcPr>
            <w:tcW w:type="dxa" w:w="1152"/>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0.9285</w:t>
            </w:r>
          </w:p>
        </w:tc>
        <w:tc>
          <w:tcPr>
            <w:tcW w:type="dxa" w:w="1152"/>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0.9101</w:t>
            </w:r>
          </w:p>
        </w:tc>
        <w:tc>
          <w:tcPr>
            <w:tcW w:type="dxa" w:w="1008"/>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0.8724</w:t>
            </w:r>
          </w:p>
        </w:tc>
        <w:tc>
          <w:tcPr>
            <w:tcW w:type="dxa" w:w="1008"/>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0.9511</w:t>
            </w:r>
          </w:p>
        </w:tc>
        <w:tc>
          <w:tcPr>
            <w:tcW w:type="dxa" w:w="1008"/>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6.45 s</w:t>
            </w:r>
          </w:p>
        </w:tc>
        <w:tc>
          <w:tcPr>
            <w:tcW w:type="dxa" w:w="2304"/>
            <w:shd w:fill="F8F9FA"/>
            <w:tcMar>
              <w:top w:w="100" w:type="dxa"/>
              <w:bottom w:w="100" w:type="dxa"/>
              <w:left w:w="150" w:type="dxa"/>
              <w:right w:w="150" w:type="dxa"/>
            </w:tcMar>
          </w:tcPr>
          <w:p>
            <w:pPr>
              <w:spacing w:before="0" w:after="0" w:line="276" w:lineRule="auto"/>
              <w:jc w:val="left"/>
            </w:pPr>
            <w:r>
              <w:rPr>
                <w:rFonts w:ascii="Times New Roman" w:hAnsi="Times New Roman"/>
                <w:b w:val="0"/>
                <w:i w:val="0"/>
                <w:sz w:val="19"/>
              </w:rPr>
              <w:t>Optimal Sweet Spot (Peak AUC &amp; PR-AUC)</w:t>
            </w:r>
          </w:p>
        </w:tc>
      </w:tr>
      <w:tr>
        <w:tc>
          <w:tcPr>
            <w:tcW w:type="dxa" w:w="1296"/>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3 Hops</w:t>
            </w:r>
          </w:p>
        </w:tc>
        <w:tc>
          <w:tcPr>
            <w:tcW w:type="dxa" w:w="1584"/>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1,320,321 (~1.32M)</w:t>
            </w:r>
          </w:p>
        </w:tc>
        <w:tc>
          <w:tcPr>
            <w:tcW w:type="dxa" w:w="1296"/>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791,040</w:t>
            </w:r>
          </w:p>
        </w:tc>
        <w:tc>
          <w:tcPr>
            <w:tcW w:type="dxa" w:w="1152"/>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0.9381</w:t>
            </w:r>
          </w:p>
        </w:tc>
        <w:tc>
          <w:tcPr>
            <w:tcW w:type="dxa" w:w="1152"/>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0.9092</w:t>
            </w:r>
          </w:p>
        </w:tc>
        <w:tc>
          <w:tcPr>
            <w:tcW w:type="dxa" w:w="1152"/>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0.8920</w:t>
            </w:r>
          </w:p>
        </w:tc>
        <w:tc>
          <w:tcPr>
            <w:tcW w:type="dxa" w:w="1008"/>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0.8540</w:t>
            </w:r>
          </w:p>
        </w:tc>
        <w:tc>
          <w:tcPr>
            <w:tcW w:type="dxa" w:w="1008"/>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0.9335</w:t>
            </w:r>
          </w:p>
        </w:tc>
        <w:tc>
          <w:tcPr>
            <w:tcW w:type="dxa" w:w="1008"/>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8.89 s</w:t>
            </w:r>
          </w:p>
        </w:tc>
        <w:tc>
          <w:tcPr>
            <w:tcW w:type="dxa" w:w="2304"/>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Mild over-smoothing (-1.37% AUC)</w:t>
            </w:r>
          </w:p>
        </w:tc>
      </w:tr>
      <w:tr>
        <w:tc>
          <w:tcPr>
            <w:tcW w:type="dxa" w:w="1296"/>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4 Hops</w:t>
            </w:r>
          </w:p>
        </w:tc>
        <w:tc>
          <w:tcPr>
            <w:tcW w:type="dxa" w:w="1584"/>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1,584,001 (~1.58M)</w:t>
            </w:r>
          </w:p>
        </w:tc>
        <w:tc>
          <w:tcPr>
            <w:tcW w:type="dxa" w:w="1296"/>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1,054,720</w:t>
            </w:r>
          </w:p>
        </w:tc>
        <w:tc>
          <w:tcPr>
            <w:tcW w:type="dxa" w:w="1152"/>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0.9142</w:t>
            </w:r>
          </w:p>
        </w:tc>
        <w:tc>
          <w:tcPr>
            <w:tcW w:type="dxa" w:w="1152"/>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0.8753</w:t>
            </w:r>
          </w:p>
        </w:tc>
        <w:tc>
          <w:tcPr>
            <w:tcW w:type="dxa" w:w="1152"/>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0.8645</w:t>
            </w:r>
          </w:p>
        </w:tc>
        <w:tc>
          <w:tcPr>
            <w:tcW w:type="dxa" w:w="1008"/>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0.8210</w:t>
            </w:r>
          </w:p>
        </w:tc>
        <w:tc>
          <w:tcPr>
            <w:tcW w:type="dxa" w:w="1008"/>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0.9128</w:t>
            </w:r>
          </w:p>
        </w:tc>
        <w:tc>
          <w:tcPr>
            <w:tcW w:type="dxa" w:w="1008"/>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11.34 s</w:t>
            </w:r>
          </w:p>
        </w:tc>
        <w:tc>
          <w:tcPr>
            <w:tcW w:type="dxa" w:w="2304"/>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Severe over-smoothing (-3.76% AUC collapse)</w:t>
            </w:r>
          </w:p>
        </w:tc>
      </w:tr>
    </w:tbl>
    <w:p>
      <w:pPr>
        <w:spacing w:before="0" w:after="160"/>
      </w:pPr>
    </w:p>
    <w:p>
      <w:pPr>
        <w:spacing w:before="120" w:after="80"/>
        <w:jc w:val="center"/>
      </w:pPr>
      <w:r>
        <w:drawing>
          <wp:inline xmlns:a="http://schemas.openxmlformats.org/drawingml/2006/main" xmlns:pic="http://schemas.openxmlformats.org/drawingml/2006/picture">
            <wp:extent cx="5303520" cy="3409406"/>
            <wp:docPr id="4" name="Picture 4"/>
            <wp:cNvGraphicFramePr>
              <a:graphicFrameLocks noChangeAspect="1"/>
            </wp:cNvGraphicFramePr>
            <a:graphic>
              <a:graphicData uri="http://schemas.openxmlformats.org/drawingml/2006/picture">
                <pic:pic>
                  <pic:nvPicPr>
                    <pic:cNvPr id="0" name="fig_hop_ablation.png"/>
                    <pic:cNvPicPr/>
                  </pic:nvPicPr>
                  <pic:blipFill>
                    <a:blip r:embed="rId12"/>
                    <a:stretch>
                      <a:fillRect/>
                    </a:stretch>
                  </pic:blipFill>
                  <pic:spPr>
                    <a:xfrm>
                      <a:off x="0" y="0"/>
                      <a:ext cx="5303520" cy="3409406"/>
                    </a:xfrm>
                    <a:prstGeom prst="rect"/>
                  </pic:spPr>
                </pic:pic>
              </a:graphicData>
            </a:graphic>
          </wp:inline>
        </w:drawing>
      </w:r>
    </w:p>
    <w:p>
      <w:pPr>
        <w:spacing w:before="40" w:after="240" w:line="240" w:lineRule="auto"/>
        <w:jc w:val="center"/>
      </w:pPr>
      <w:r>
        <w:rPr>
          <w:rFonts w:ascii="Times New Roman" w:hAnsi="Times New Roman"/>
          <w:b/>
          <w:i/>
          <w:sz w:val="20"/>
        </w:rPr>
        <w:t>Figure 4.1: Message-Passing Hop Optimization and Over-Smoothing Analysis (Exp G)</w:t>
      </w:r>
    </w:p>
    <w:p>
      <w:pPr>
        <w:spacing w:before="80" w:after="200" w:line="312" w:lineRule="auto"/>
        <w:jc w:val="left"/>
      </w:pPr>
      <w:r>
        <w:rPr>
          <w:rFonts w:ascii="Times New Roman" w:hAnsi="Times New Roman"/>
          <w:b w:val="0"/>
          <w:i w:val="0"/>
          <w:sz w:val="23"/>
        </w:rPr>
        <w:t>Scientific Insights from Exp G:</w:t>
        <w:br/>
        <w:t>1. Under-Receptivity at L = 1: Single-hop propagation restricts context strictly to the immediate co-prescribed drugs. It fails to propagate shared co-prescription patterns across different patients who share intermediate bridge drugs, resulting in lower discriminative capacity (0.9324 AUC).</w:t>
        <w:br/>
        <w:t>2. Over-Smoothing Onset at L &gt;= 3: Beyond 2 hops, hypergraph convolutions rapidly blend node features because hyperedges have high node degree overlaps. Drug embeddings converge toward the graph centroid, causing representation collapse (-3.76% AUC at 4 hops).</w:t>
        <w:br/>
        <w:t>3. Pareto-Optimal Sweet Spot: 2 hops achieves the global performance optimum with 1.06M parameters, establishing the ideal receptive field for polypharmacy networks.</w:t>
      </w:r>
    </w:p>
    <w:p>
      <w:pPr>
        <w:spacing w:before="280" w:after="80" w:line="276" w:lineRule="auto"/>
        <w:jc w:val="left"/>
      </w:pPr>
      <w:r>
        <w:rPr>
          <w:rFonts w:ascii="Times New Roman" w:hAnsi="Times New Roman"/>
          <w:b/>
          <w:i w:val="0"/>
          <w:sz w:val="28"/>
        </w:rPr>
        <w:t>4.11 COMPREHENSIVE EMPIRICAL COMPARISON &amp; PROGRESSIVE GAIN ANALYSIS</w:t>
      </w:r>
    </w:p>
    <w:p>
      <w:pPr>
        <w:spacing w:before="0" w:after="120" w:line="360" w:lineRule="auto"/>
        <w:jc w:val="both"/>
      </w:pPr>
      <w:r>
        <w:rPr>
          <w:rFonts w:ascii="Times New Roman" w:hAnsi="Times New Roman"/>
          <w:b w:val="0"/>
          <w:i w:val="0"/>
          <w:sz w:val="24"/>
        </w:rPr>
        <w:t>Figure 4.2 illustrates the progressive performance gains across the model evolution. The A -&gt; B transition (attention pooling) provides the largest single jump (+6.78% PR-AUC). The B -&gt; C transition (adverse-event conditioning) provides crucial stability (+1.55% F1 and variance reduction). The C -&gt; D transition (biological fusion) pushes Precision to its all-time peak (0.9389).</w:t>
      </w:r>
    </w:p>
    <w:p>
      <w:pPr>
        <w:spacing w:before="120" w:after="80"/>
        <w:jc w:val="center"/>
      </w:pPr>
      <w:r>
        <w:drawing>
          <wp:inline xmlns:a="http://schemas.openxmlformats.org/drawingml/2006/main" xmlns:pic="http://schemas.openxmlformats.org/drawingml/2006/picture">
            <wp:extent cx="5303520" cy="3182112"/>
            <wp:docPr id="5" name="Picture 5"/>
            <wp:cNvGraphicFramePr>
              <a:graphicFrameLocks noChangeAspect="1"/>
            </wp:cNvGraphicFramePr>
            <a:graphic>
              <a:graphicData uri="http://schemas.openxmlformats.org/drawingml/2006/picture">
                <pic:pic>
                  <pic:nvPicPr>
                    <pic:cNvPr id="0" name="fig_progressive_benchmark.png"/>
                    <pic:cNvPicPr/>
                  </pic:nvPicPr>
                  <pic:blipFill>
                    <a:blip r:embed="rId13"/>
                    <a:stretch>
                      <a:fillRect/>
                    </a:stretch>
                  </pic:blipFill>
                  <pic:spPr>
                    <a:xfrm>
                      <a:off x="0" y="0"/>
                      <a:ext cx="5303520" cy="3182112"/>
                    </a:xfrm>
                    <a:prstGeom prst="rect"/>
                  </pic:spPr>
                </pic:pic>
              </a:graphicData>
            </a:graphic>
          </wp:inline>
        </w:drawing>
      </w:r>
    </w:p>
    <w:p>
      <w:pPr>
        <w:spacing w:before="40" w:after="240" w:line="240" w:lineRule="auto"/>
        <w:jc w:val="center"/>
      </w:pPr>
      <w:r>
        <w:rPr>
          <w:rFonts w:ascii="Times New Roman" w:hAnsi="Times New Roman"/>
          <w:b/>
          <w:i/>
          <w:sz w:val="20"/>
        </w:rPr>
        <w:t>Figure 4.2: Progressive Architectural Evolution Across Experiments (7-Seed Mean)</w:t>
      </w:r>
    </w:p>
    <w:p>
      <w:pPr>
        <w:spacing w:before="120" w:after="80"/>
        <w:jc w:val="center"/>
      </w:pPr>
      <w:r>
        <w:drawing>
          <wp:inline xmlns:a="http://schemas.openxmlformats.org/drawingml/2006/main" xmlns:pic="http://schemas.openxmlformats.org/drawingml/2006/picture">
            <wp:extent cx="4937760" cy="4114800"/>
            <wp:docPr id="6" name="Picture 6"/>
            <wp:cNvGraphicFramePr>
              <a:graphicFrameLocks noChangeAspect="1"/>
            </wp:cNvGraphicFramePr>
            <a:graphic>
              <a:graphicData uri="http://schemas.openxmlformats.org/drawingml/2006/picture">
                <pic:pic>
                  <pic:nvPicPr>
                    <pic:cNvPr id="0" name="chart1_auc.png"/>
                    <pic:cNvPicPr/>
                  </pic:nvPicPr>
                  <pic:blipFill>
                    <a:blip r:embed="rId14"/>
                    <a:stretch>
                      <a:fillRect/>
                    </a:stretch>
                  </pic:blipFill>
                  <pic:spPr>
                    <a:xfrm>
                      <a:off x="0" y="0"/>
                      <a:ext cx="4937760" cy="4114800"/>
                    </a:xfrm>
                    <a:prstGeom prst="rect"/>
                  </pic:spPr>
                </pic:pic>
              </a:graphicData>
            </a:graphic>
          </wp:inline>
        </w:drawing>
      </w:r>
    </w:p>
    <w:p>
      <w:pPr>
        <w:spacing w:before="40" w:after="240" w:line="240" w:lineRule="auto"/>
        <w:jc w:val="center"/>
      </w:pPr>
      <w:r>
        <w:rPr>
          <w:rFonts w:ascii="Times New Roman" w:hAnsi="Times New Roman"/>
          <w:b/>
          <w:i/>
          <w:sz w:val="20"/>
        </w:rPr>
        <w:t>Figure 4.3: Empirical ROC-AUC Distribution and Variance Across 7 Seeds</w:t>
      </w:r>
    </w:p>
    <w:p>
      <w:r>
        <w:br w:type="page"/>
      </w:r>
    </w:p>
    <w:p>
      <w:pPr>
        <w:spacing w:before="360" w:after="80" w:line="240" w:lineRule="auto"/>
        <w:jc w:val="center"/>
      </w:pPr>
      <w:r>
        <w:rPr>
          <w:rFonts w:ascii="Times New Roman" w:hAnsi="Times New Roman"/>
          <w:b/>
          <w:i w:val="0"/>
          <w:sz w:val="32"/>
        </w:rPr>
        <w:t>CHAPTER 5</w:t>
        <w:br/>
      </w:r>
      <w:r>
        <w:rPr>
          <w:rFonts w:ascii="Times New Roman" w:hAnsi="Times New Roman"/>
          <w:b/>
          <w:i w:val="0"/>
          <w:sz w:val="32"/>
        </w:rPr>
        <w:t>CLINICAL INTERPRETABILITY AND SAFETY SCREENING</w:t>
      </w:r>
    </w:p>
    <w:p>
      <w:pPr>
        <w:spacing w:before="0" w:after="240"/>
      </w:pPr>
    </w:p>
    <w:p>
      <w:pPr>
        <w:spacing w:before="280" w:after="80" w:line="276" w:lineRule="auto"/>
        <w:jc w:val="left"/>
      </w:pPr>
      <w:r>
        <w:rPr>
          <w:rFonts w:ascii="Times New Roman" w:hAnsi="Times New Roman"/>
          <w:b/>
          <w:i w:val="0"/>
          <w:sz w:val="28"/>
        </w:rPr>
        <w:t>5.1 MECHANISTIC INTERPRETABILITY VIA ATTENTION ATTRIBUTION</w:t>
      </w:r>
    </w:p>
    <w:p>
      <w:pPr>
        <w:spacing w:before="0" w:after="120" w:line="360" w:lineRule="auto"/>
        <w:jc w:val="both"/>
      </w:pPr>
      <w:r>
        <w:rPr>
          <w:rFonts w:ascii="Times New Roman" w:hAnsi="Times New Roman"/>
          <w:b w:val="0"/>
          <w:i w:val="0"/>
          <w:sz w:val="24"/>
        </w:rPr>
        <w:t>In high-stakes clinical pharmacovigilance, black-box predictions are unacceptable. Prescribing physicians require transparent, mechanistically plausible rationales before altering patient therapies. HyperAttDDI achieves intrinsic clinical interpretability by leveraging its conditioned attention weights alpha_{e, i}(s_e) as normalized drug attribution scores.</w:t>
      </w:r>
    </w:p>
    <w:p>
      <w:pPr>
        <w:spacing w:before="280" w:after="80" w:line="276" w:lineRule="auto"/>
        <w:jc w:val="left"/>
      </w:pPr>
      <w:r>
        <w:rPr>
          <w:rFonts w:ascii="Times New Roman" w:hAnsi="Times New Roman"/>
          <w:b/>
          <w:i w:val="0"/>
          <w:sz w:val="28"/>
        </w:rPr>
        <w:t>5.2 CASE STUDY 1: TRIPLE ANTITHROMBOTIC POLYPHARMACY</w:t>
      </w:r>
    </w:p>
    <w:p>
      <w:pPr>
        <w:spacing w:before="0" w:after="120" w:line="360" w:lineRule="auto"/>
        <w:jc w:val="both"/>
      </w:pPr>
      <w:r>
        <w:rPr>
          <w:rFonts w:ascii="Times New Roman" w:hAnsi="Times New Roman"/>
          <w:b w:val="0"/>
          <w:i w:val="0"/>
          <w:sz w:val="24"/>
        </w:rPr>
        <w:t>We evaluated a prevalent real-world cardiology regimen: Clopidogrel (P2Y12 antiplatelet) + Dabigatran (direct oral thrombin inhibitor) + Aspirin (COX-1/2 antiplatelet). This combination is commonly encountered in elderly patients with concurrent atrial fibrillation and recent acute coronary syndromes.</w:t>
      </w:r>
    </w:p>
    <w:tbl>
      <w:tblPr>
        <w:tblW w:type="auto" w:w="0"/>
        <w:jc w:val="center"/>
        <w:tblLook w:firstColumn="1" w:firstRow="1" w:lastColumn="0" w:lastRow="0" w:noHBand="0" w:noVBand="1" w:val="04A0"/>
        <w:tblBorders>
          <w:top w:val="single" w:sz="4" w:space="0" w:color="B0BEC5"/>
          <w:bottom w:val="single" w:sz="4" w:space="0" w:color="B0BEC5"/>
          <w:left w:val="none"/>
          <w:right w:val="none"/>
          <w:insideH w:val="single" w:sz="4" w:space="0" w:color="B0BEC5"/>
          <w:insideV w:val="none"/>
        </w:tblBorders>
      </w:tblPr>
      <w:tblGrid>
        <w:gridCol w:w="1187"/>
        <w:gridCol w:w="1187"/>
        <w:gridCol w:w="1187"/>
        <w:gridCol w:w="1187"/>
        <w:gridCol w:w="1187"/>
        <w:gridCol w:w="1187"/>
        <w:gridCol w:w="1187"/>
      </w:tblGrid>
      <w:tr>
        <w:tc>
          <w:tcPr>
            <w:tcW w:type="dxa" w:w="2160"/>
            <w:shd w:fill="1B365D"/>
            <w:tcMar>
              <w:top w:w="140" w:type="dxa"/>
              <w:bottom w:w="140" w:type="dxa"/>
              <w:left w:w="160" w:type="dxa"/>
              <w:right w:w="160" w:type="dxa"/>
            </w:tcMar>
          </w:tcPr>
          <w:p>
            <w:pPr>
              <w:spacing w:before="0" w:after="0" w:line="240" w:lineRule="auto"/>
              <w:jc w:val="center"/>
            </w:pPr>
            <w:r>
              <w:rPr>
                <w:rFonts w:ascii="Times New Roman" w:hAnsi="Times New Roman"/>
                <w:b/>
                <w:i w:val="0"/>
                <w:color w:val="FFFFFF"/>
                <w:sz w:val="20"/>
              </w:rPr>
              <w:t>Evaluated Adverse Reaction</w:t>
            </w:r>
          </w:p>
        </w:tc>
        <w:tc>
          <w:tcPr>
            <w:tcW w:type="dxa" w:w="1008"/>
            <w:shd w:fill="1B365D"/>
            <w:tcMar>
              <w:top w:w="140" w:type="dxa"/>
              <w:bottom w:w="140" w:type="dxa"/>
              <w:left w:w="160" w:type="dxa"/>
              <w:right w:w="160" w:type="dxa"/>
            </w:tcMar>
          </w:tcPr>
          <w:p>
            <w:pPr>
              <w:spacing w:before="0" w:after="0" w:line="240" w:lineRule="auto"/>
              <w:jc w:val="center"/>
            </w:pPr>
            <w:r>
              <w:rPr>
                <w:rFonts w:ascii="Times New Roman" w:hAnsi="Times New Roman"/>
                <w:b/>
                <w:i w:val="0"/>
                <w:color w:val="FFFFFF"/>
                <w:sz w:val="20"/>
              </w:rPr>
              <w:t>Clopidogrel (α1)</w:t>
            </w:r>
          </w:p>
        </w:tc>
        <w:tc>
          <w:tcPr>
            <w:tcW w:type="dxa" w:w="1008"/>
            <w:shd w:fill="1B365D"/>
            <w:tcMar>
              <w:top w:w="140" w:type="dxa"/>
              <w:bottom w:w="140" w:type="dxa"/>
              <w:left w:w="160" w:type="dxa"/>
              <w:right w:w="160" w:type="dxa"/>
            </w:tcMar>
          </w:tcPr>
          <w:p>
            <w:pPr>
              <w:spacing w:before="0" w:after="0" w:line="240" w:lineRule="auto"/>
              <w:jc w:val="center"/>
            </w:pPr>
            <w:r>
              <w:rPr>
                <w:rFonts w:ascii="Times New Roman" w:hAnsi="Times New Roman"/>
                <w:b/>
                <w:i w:val="0"/>
                <w:color w:val="FFFFFF"/>
                <w:sz w:val="20"/>
              </w:rPr>
              <w:t>Dabigatran (α2)</w:t>
            </w:r>
          </w:p>
        </w:tc>
        <w:tc>
          <w:tcPr>
            <w:tcW w:type="dxa" w:w="1008"/>
            <w:shd w:fill="1B365D"/>
            <w:tcMar>
              <w:top w:w="140" w:type="dxa"/>
              <w:bottom w:w="140" w:type="dxa"/>
              <w:left w:w="160" w:type="dxa"/>
              <w:right w:w="160" w:type="dxa"/>
            </w:tcMar>
          </w:tcPr>
          <w:p>
            <w:pPr>
              <w:spacing w:before="0" w:after="0" w:line="240" w:lineRule="auto"/>
              <w:jc w:val="center"/>
            </w:pPr>
            <w:r>
              <w:rPr>
                <w:rFonts w:ascii="Times New Roman" w:hAnsi="Times New Roman"/>
                <w:b/>
                <w:i w:val="0"/>
                <w:color w:val="FFFFFF"/>
                <w:sz w:val="20"/>
              </w:rPr>
              <w:t>Aspirin (α3)</w:t>
            </w:r>
          </w:p>
        </w:tc>
        <w:tc>
          <w:tcPr>
            <w:tcW w:type="dxa" w:w="1440"/>
            <w:shd w:fill="1B365D"/>
            <w:tcMar>
              <w:top w:w="140" w:type="dxa"/>
              <w:bottom w:w="140" w:type="dxa"/>
              <w:left w:w="160" w:type="dxa"/>
              <w:right w:w="160" w:type="dxa"/>
            </w:tcMar>
          </w:tcPr>
          <w:p>
            <w:pPr>
              <w:spacing w:before="0" w:after="0" w:line="240" w:lineRule="auto"/>
              <w:jc w:val="center"/>
            </w:pPr>
            <w:r>
              <w:rPr>
                <w:rFonts w:ascii="Times New Roman" w:hAnsi="Times New Roman"/>
                <w:b/>
                <w:i w:val="0"/>
                <w:color w:val="FFFFFF"/>
                <w:sz w:val="20"/>
              </w:rPr>
              <w:t>Predicted Risk</w:t>
            </w:r>
          </w:p>
        </w:tc>
        <w:tc>
          <w:tcPr>
            <w:tcW w:type="dxa" w:w="1728"/>
            <w:shd w:fill="1B365D"/>
            <w:tcMar>
              <w:top w:w="140" w:type="dxa"/>
              <w:bottom w:w="140" w:type="dxa"/>
              <w:left w:w="160" w:type="dxa"/>
              <w:right w:w="160" w:type="dxa"/>
            </w:tcMar>
          </w:tcPr>
          <w:p>
            <w:pPr>
              <w:spacing w:before="0" w:after="0" w:line="240" w:lineRule="auto"/>
              <w:jc w:val="center"/>
            </w:pPr>
            <w:r>
              <w:rPr>
                <w:rFonts w:ascii="Times New Roman" w:hAnsi="Times New Roman"/>
                <w:b/>
                <w:i w:val="0"/>
                <w:color w:val="FFFFFF"/>
                <w:sz w:val="20"/>
              </w:rPr>
              <w:t>Attributed Culprit Drug</w:t>
            </w:r>
          </w:p>
        </w:tc>
        <w:tc>
          <w:tcPr>
            <w:tcW w:type="dxa" w:w="2592"/>
            <w:shd w:fill="1B365D"/>
            <w:tcMar>
              <w:top w:w="140" w:type="dxa"/>
              <w:bottom w:w="140" w:type="dxa"/>
              <w:left w:w="160" w:type="dxa"/>
              <w:right w:w="160" w:type="dxa"/>
            </w:tcMar>
          </w:tcPr>
          <w:p>
            <w:pPr>
              <w:spacing w:before="0" w:after="0" w:line="240" w:lineRule="auto"/>
              <w:jc w:val="center"/>
            </w:pPr>
            <w:r>
              <w:rPr>
                <w:rFonts w:ascii="Times New Roman" w:hAnsi="Times New Roman"/>
                <w:b/>
                <w:i w:val="0"/>
                <w:color w:val="FFFFFF"/>
                <w:sz w:val="20"/>
              </w:rPr>
              <w:t>Pharmacological Mechanism</w:t>
            </w:r>
          </w:p>
        </w:tc>
      </w:tr>
      <w:tr>
        <w:tc>
          <w:tcPr>
            <w:tcW w:type="dxa" w:w="2160"/>
            <w:tcMar>
              <w:top w:w="100" w:type="dxa"/>
              <w:bottom w:w="100" w:type="dxa"/>
              <w:left w:w="150" w:type="dxa"/>
              <w:right w:w="150" w:type="dxa"/>
            </w:tcMar>
          </w:tcPr>
          <w:p>
            <w:pPr>
              <w:spacing w:before="0" w:after="0" w:line="276" w:lineRule="auto"/>
              <w:jc w:val="left"/>
            </w:pPr>
            <w:r>
              <w:rPr>
                <w:rFonts w:ascii="Times New Roman" w:hAnsi="Times New Roman"/>
                <w:b w:val="0"/>
                <w:i w:val="0"/>
                <w:sz w:val="19"/>
              </w:rPr>
              <w:t>Gastrointestinal Hemorrhage</w:t>
            </w:r>
          </w:p>
        </w:tc>
        <w:tc>
          <w:tcPr>
            <w:tcW w:type="dxa" w:w="1008"/>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0.4420</w:t>
            </w:r>
          </w:p>
        </w:tc>
        <w:tc>
          <w:tcPr>
            <w:tcW w:type="dxa" w:w="1008"/>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0.5180</w:t>
            </w:r>
          </w:p>
        </w:tc>
        <w:tc>
          <w:tcPr>
            <w:tcW w:type="dxa" w:w="1008"/>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0.0400</w:t>
            </w:r>
          </w:p>
        </w:tc>
        <w:tc>
          <w:tcPr>
            <w:tcW w:type="dxa" w:w="1440"/>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96.4% (🔴 High)</w:t>
            </w:r>
          </w:p>
        </w:tc>
        <w:tc>
          <w:tcPr>
            <w:tcW w:type="dxa" w:w="1728"/>
            <w:tcMar>
              <w:top w:w="100" w:type="dxa"/>
              <w:bottom w:w="100" w:type="dxa"/>
              <w:left w:w="150" w:type="dxa"/>
              <w:right w:w="150" w:type="dxa"/>
            </w:tcMar>
          </w:tcPr>
          <w:p>
            <w:pPr>
              <w:spacing w:before="0" w:after="0" w:line="276" w:lineRule="auto"/>
              <w:jc w:val="left"/>
            </w:pPr>
            <w:r>
              <w:rPr>
                <w:rFonts w:ascii="Times New Roman" w:hAnsi="Times New Roman"/>
                <w:b w:val="0"/>
                <w:i w:val="0"/>
                <w:sz w:val="19"/>
              </w:rPr>
              <w:t>Dabigatran + Clopidogrel</w:t>
            </w:r>
          </w:p>
        </w:tc>
        <w:tc>
          <w:tcPr>
            <w:tcW w:type="dxa" w:w="2592"/>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Potent synergy between direct thrombin inhibition &amp; P2Y12 blockade</w:t>
            </w:r>
          </w:p>
        </w:tc>
      </w:tr>
      <w:tr>
        <w:tc>
          <w:tcPr>
            <w:tcW w:type="dxa" w:w="2160"/>
            <w:shd w:fill="F8F9FA"/>
            <w:tcMar>
              <w:top w:w="100" w:type="dxa"/>
              <w:bottom w:w="100" w:type="dxa"/>
              <w:left w:w="150" w:type="dxa"/>
              <w:right w:w="150" w:type="dxa"/>
            </w:tcMar>
          </w:tcPr>
          <w:p>
            <w:pPr>
              <w:spacing w:before="0" w:after="0" w:line="276" w:lineRule="auto"/>
              <w:jc w:val="left"/>
            </w:pPr>
            <w:r>
              <w:rPr>
                <w:rFonts w:ascii="Times New Roman" w:hAnsi="Times New Roman"/>
                <w:b w:val="0"/>
                <w:i w:val="0"/>
                <w:sz w:val="19"/>
              </w:rPr>
              <w:t>Renal Failure / Injury</w:t>
            </w:r>
          </w:p>
        </w:tc>
        <w:tc>
          <w:tcPr>
            <w:tcW w:type="dxa" w:w="1008"/>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0.2100</w:t>
            </w:r>
          </w:p>
        </w:tc>
        <w:tc>
          <w:tcPr>
            <w:tcW w:type="dxa" w:w="1008"/>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0.6200</w:t>
            </w:r>
          </w:p>
        </w:tc>
        <w:tc>
          <w:tcPr>
            <w:tcW w:type="dxa" w:w="1008"/>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0.1700</w:t>
            </w:r>
          </w:p>
        </w:tc>
        <w:tc>
          <w:tcPr>
            <w:tcW w:type="dxa" w:w="1440"/>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84.1% (🔴 High)</w:t>
            </w:r>
          </w:p>
        </w:tc>
        <w:tc>
          <w:tcPr>
            <w:tcW w:type="dxa" w:w="1728"/>
            <w:shd w:fill="F8F9FA"/>
            <w:tcMar>
              <w:top w:w="100" w:type="dxa"/>
              <w:bottom w:w="100" w:type="dxa"/>
              <w:left w:w="150" w:type="dxa"/>
              <w:right w:w="150" w:type="dxa"/>
            </w:tcMar>
          </w:tcPr>
          <w:p>
            <w:pPr>
              <w:spacing w:before="0" w:after="0" w:line="276" w:lineRule="auto"/>
              <w:jc w:val="left"/>
            </w:pPr>
            <w:r>
              <w:rPr>
                <w:rFonts w:ascii="Times New Roman" w:hAnsi="Times New Roman"/>
                <w:b w:val="0"/>
                <w:i w:val="0"/>
                <w:sz w:val="19"/>
              </w:rPr>
              <w:t>Dabigatran</w:t>
            </w:r>
          </w:p>
        </w:tc>
        <w:tc>
          <w:tcPr>
            <w:tcW w:type="dxa" w:w="2592"/>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80% renally cleared unchanged; dominant nephrotoxic driver</w:t>
            </w:r>
          </w:p>
        </w:tc>
      </w:tr>
      <w:tr>
        <w:tc>
          <w:tcPr>
            <w:tcW w:type="dxa" w:w="2160"/>
            <w:tcMar>
              <w:top w:w="100" w:type="dxa"/>
              <w:bottom w:w="100" w:type="dxa"/>
              <w:left w:w="150" w:type="dxa"/>
              <w:right w:w="150" w:type="dxa"/>
            </w:tcMar>
          </w:tcPr>
          <w:p>
            <w:pPr>
              <w:spacing w:before="0" w:after="0" w:line="276" w:lineRule="auto"/>
              <w:jc w:val="left"/>
            </w:pPr>
            <w:r>
              <w:rPr>
                <w:rFonts w:ascii="Times New Roman" w:hAnsi="Times New Roman"/>
                <w:b w:val="0"/>
                <w:i w:val="0"/>
                <w:sz w:val="19"/>
              </w:rPr>
              <w:t>Hypotension (Low BP)</w:t>
            </w:r>
          </w:p>
        </w:tc>
        <w:tc>
          <w:tcPr>
            <w:tcW w:type="dxa" w:w="1008"/>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0.1200</w:t>
            </w:r>
          </w:p>
        </w:tc>
        <w:tc>
          <w:tcPr>
            <w:tcW w:type="dxa" w:w="1008"/>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0.1400</w:t>
            </w:r>
          </w:p>
        </w:tc>
        <w:tc>
          <w:tcPr>
            <w:tcW w:type="dxa" w:w="1008"/>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0.7400</w:t>
            </w:r>
          </w:p>
        </w:tc>
        <w:tc>
          <w:tcPr>
            <w:tcW w:type="dxa" w:w="1440"/>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78.2% (🔴 High)</w:t>
            </w:r>
          </w:p>
        </w:tc>
        <w:tc>
          <w:tcPr>
            <w:tcW w:type="dxa" w:w="1728"/>
            <w:tcMar>
              <w:top w:w="100" w:type="dxa"/>
              <w:bottom w:w="100" w:type="dxa"/>
              <w:left w:w="150" w:type="dxa"/>
              <w:right w:w="150" w:type="dxa"/>
            </w:tcMar>
          </w:tcPr>
          <w:p>
            <w:pPr>
              <w:spacing w:before="0" w:after="0" w:line="276" w:lineRule="auto"/>
              <w:jc w:val="left"/>
            </w:pPr>
            <w:r>
              <w:rPr>
                <w:rFonts w:ascii="Times New Roman" w:hAnsi="Times New Roman"/>
                <w:b w:val="0"/>
                <w:i w:val="0"/>
                <w:sz w:val="19"/>
              </w:rPr>
              <w:t>Aspirin</w:t>
            </w:r>
          </w:p>
        </w:tc>
        <w:tc>
          <w:tcPr>
            <w:tcW w:type="dxa" w:w="2592"/>
            <w:tcMar>
              <w:top w:w="100" w:type="dxa"/>
              <w:bottom w:w="100" w:type="dxa"/>
              <w:left w:w="150" w:type="dxa"/>
              <w:right w:w="150" w:type="dxa"/>
            </w:tcMar>
          </w:tcPr>
          <w:p>
            <w:pPr>
              <w:spacing w:before="0" w:after="0" w:line="276" w:lineRule="auto"/>
              <w:jc w:val="left"/>
            </w:pPr>
            <w:r>
              <w:rPr>
                <w:rFonts w:ascii="Times New Roman" w:hAnsi="Times New Roman"/>
                <w:b w:val="0"/>
                <w:i w:val="0"/>
                <w:sz w:val="19"/>
              </w:rPr>
              <w:t>Secondary systemic hemodynamic prostaglandin suppression</w:t>
            </w:r>
          </w:p>
        </w:tc>
      </w:tr>
    </w:tbl>
    <w:p>
      <w:pPr>
        <w:spacing w:before="0" w:after="160"/>
      </w:pPr>
    </w:p>
    <w:p>
      <w:pPr>
        <w:spacing w:before="120" w:after="80"/>
        <w:jc w:val="center"/>
      </w:pPr>
      <w:r>
        <w:drawing>
          <wp:inline xmlns:a="http://schemas.openxmlformats.org/drawingml/2006/main" xmlns:pic="http://schemas.openxmlformats.org/drawingml/2006/picture">
            <wp:extent cx="5303520" cy="3182112"/>
            <wp:docPr id="7" name="Picture 7"/>
            <wp:cNvGraphicFramePr>
              <a:graphicFrameLocks noChangeAspect="1"/>
            </wp:cNvGraphicFramePr>
            <a:graphic>
              <a:graphicData uri="http://schemas.openxmlformats.org/drawingml/2006/picture">
                <pic:pic>
                  <pic:nvPicPr>
                    <pic:cNvPr id="0" name="fig_attention_shift.png"/>
                    <pic:cNvPicPr/>
                  </pic:nvPicPr>
                  <pic:blipFill>
                    <a:blip r:embed="rId15"/>
                    <a:stretch>
                      <a:fillRect/>
                    </a:stretch>
                  </pic:blipFill>
                  <pic:spPr>
                    <a:xfrm>
                      <a:off x="0" y="0"/>
                      <a:ext cx="5303520" cy="3182112"/>
                    </a:xfrm>
                    <a:prstGeom prst="rect"/>
                  </pic:spPr>
                </pic:pic>
              </a:graphicData>
            </a:graphic>
          </wp:inline>
        </w:drawing>
      </w:r>
    </w:p>
    <w:p>
      <w:pPr>
        <w:spacing w:before="40" w:after="240" w:line="240" w:lineRule="auto"/>
        <w:jc w:val="center"/>
      </w:pPr>
      <w:r>
        <w:rPr>
          <w:rFonts w:ascii="Times New Roman" w:hAnsi="Times New Roman"/>
          <w:b/>
          <w:i/>
          <w:sz w:val="20"/>
        </w:rPr>
        <w:t>Figure 5.1: Dynamic Attention Shift Attribution in Cardiovascular Polypharmacy</w:t>
      </w:r>
    </w:p>
    <w:p>
      <w:pPr>
        <w:spacing w:before="0" w:after="120" w:line="360" w:lineRule="auto"/>
        <w:jc w:val="both"/>
      </w:pPr>
      <w:r>
        <w:rPr>
          <w:rFonts w:ascii="Times New Roman" w:hAnsi="Times New Roman"/>
          <w:b w:val="0"/>
          <w:i w:val="0"/>
          <w:sz w:val="24"/>
        </w:rPr>
        <w:t>As proven in Figure 5.1 and Table 5.1, HyperAttDDI demonstrates remarkable pharmacological fidelity: when querying GI Hemorrhage, the model concentrates 96.0% of total attention on Dabigatran and Clopidogrel while de-emphasizing Aspirin. When querying Renal Failure, attention shifts dramatically to Dabigatran (0.6200), reflecting its known 80% renal excretion. When querying Hypotension, attention reallocates to Aspirin (0.7400). The same three drugs produce three completely distinct attention distributions—a behavior impossible in unconditioned static hypergraph models.</w:t>
      </w:r>
    </w:p>
    <w:p>
      <w:pPr>
        <w:spacing w:before="280" w:after="80" w:line="276" w:lineRule="auto"/>
        <w:jc w:val="left"/>
      </w:pPr>
      <w:r>
        <w:rPr>
          <w:rFonts w:ascii="Times New Roman" w:hAnsi="Times New Roman"/>
          <w:b/>
          <w:i w:val="0"/>
          <w:sz w:val="28"/>
        </w:rPr>
        <w:t>5.3 CASE STUDY 2: NEURO-PSYCHIATRIC POLYPHARMACY</w:t>
      </w:r>
    </w:p>
    <w:p>
      <w:pPr>
        <w:spacing w:before="0" w:after="120" w:line="360" w:lineRule="auto"/>
        <w:jc w:val="both"/>
      </w:pPr>
      <w:r>
        <w:rPr>
          <w:rFonts w:ascii="Times New Roman" w:hAnsi="Times New Roman"/>
          <w:b w:val="0"/>
          <w:i w:val="0"/>
          <w:sz w:val="24"/>
        </w:rPr>
        <w:t>We evaluated a 4-drug central nervous system regimen: Escitalopram (SSRI) + Clobazam (Benzodiazepine) + Pregabalin (GABA analogue) + Tramadol (Opioid analgesic).</w:t>
      </w:r>
    </w:p>
    <w:tbl>
      <w:tblPr>
        <w:tblW w:type="auto" w:w="0"/>
        <w:jc w:val="center"/>
        <w:tblLook w:firstColumn="1" w:firstRow="1" w:lastColumn="0" w:lastRow="0" w:noHBand="0" w:noVBand="1" w:val="04A0"/>
        <w:tblBorders>
          <w:top w:val="single" w:sz="4" w:space="0" w:color="B0BEC5"/>
          <w:bottom w:val="single" w:sz="4" w:space="0" w:color="B0BEC5"/>
          <w:left w:val="none"/>
          <w:right w:val="none"/>
          <w:insideH w:val="single" w:sz="4" w:space="0" w:color="B0BEC5"/>
          <w:insideV w:val="none"/>
        </w:tblBorders>
      </w:tblPr>
      <w:tblGrid>
        <w:gridCol w:w="1187"/>
        <w:gridCol w:w="1187"/>
        <w:gridCol w:w="1187"/>
        <w:gridCol w:w="1187"/>
        <w:gridCol w:w="1187"/>
        <w:gridCol w:w="1187"/>
        <w:gridCol w:w="1187"/>
      </w:tblGrid>
      <w:tr>
        <w:tc>
          <w:tcPr>
            <w:tcW w:type="dxa" w:w="2160"/>
            <w:shd w:fill="1B365D"/>
            <w:tcMar>
              <w:top w:w="140" w:type="dxa"/>
              <w:bottom w:w="140" w:type="dxa"/>
              <w:left w:w="160" w:type="dxa"/>
              <w:right w:w="160" w:type="dxa"/>
            </w:tcMar>
          </w:tcPr>
          <w:p>
            <w:pPr>
              <w:spacing w:before="0" w:after="0" w:line="240" w:lineRule="auto"/>
              <w:jc w:val="center"/>
            </w:pPr>
            <w:r>
              <w:rPr>
                <w:rFonts w:ascii="Times New Roman" w:hAnsi="Times New Roman"/>
                <w:b/>
                <w:i w:val="0"/>
                <w:color w:val="FFFFFF"/>
                <w:sz w:val="20"/>
              </w:rPr>
              <w:t>Queried Adverse Event</w:t>
            </w:r>
          </w:p>
        </w:tc>
        <w:tc>
          <w:tcPr>
            <w:tcW w:type="dxa" w:w="1152"/>
            <w:shd w:fill="1B365D"/>
            <w:tcMar>
              <w:top w:w="140" w:type="dxa"/>
              <w:bottom w:w="140" w:type="dxa"/>
              <w:left w:w="160" w:type="dxa"/>
              <w:right w:w="160" w:type="dxa"/>
            </w:tcMar>
          </w:tcPr>
          <w:p>
            <w:pPr>
              <w:spacing w:before="0" w:after="0" w:line="240" w:lineRule="auto"/>
              <w:jc w:val="center"/>
            </w:pPr>
            <w:r>
              <w:rPr>
                <w:rFonts w:ascii="Times New Roman" w:hAnsi="Times New Roman"/>
                <w:b/>
                <w:i w:val="0"/>
                <w:color w:val="FFFFFF"/>
                <w:sz w:val="20"/>
              </w:rPr>
              <w:t>Escitalopram</w:t>
            </w:r>
          </w:p>
        </w:tc>
        <w:tc>
          <w:tcPr>
            <w:tcW w:type="dxa" w:w="1152"/>
            <w:shd w:fill="1B365D"/>
            <w:tcMar>
              <w:top w:w="140" w:type="dxa"/>
              <w:bottom w:w="140" w:type="dxa"/>
              <w:left w:w="160" w:type="dxa"/>
              <w:right w:w="160" w:type="dxa"/>
            </w:tcMar>
          </w:tcPr>
          <w:p>
            <w:pPr>
              <w:spacing w:before="0" w:after="0" w:line="240" w:lineRule="auto"/>
              <w:jc w:val="center"/>
            </w:pPr>
            <w:r>
              <w:rPr>
                <w:rFonts w:ascii="Times New Roman" w:hAnsi="Times New Roman"/>
                <w:b/>
                <w:i w:val="0"/>
                <w:color w:val="FFFFFF"/>
                <w:sz w:val="20"/>
              </w:rPr>
              <w:t>Clobazam</w:t>
            </w:r>
          </w:p>
        </w:tc>
        <w:tc>
          <w:tcPr>
            <w:tcW w:type="dxa" w:w="1152"/>
            <w:shd w:fill="1B365D"/>
            <w:tcMar>
              <w:top w:w="140" w:type="dxa"/>
              <w:bottom w:w="140" w:type="dxa"/>
              <w:left w:w="160" w:type="dxa"/>
              <w:right w:w="160" w:type="dxa"/>
            </w:tcMar>
          </w:tcPr>
          <w:p>
            <w:pPr>
              <w:spacing w:before="0" w:after="0" w:line="240" w:lineRule="auto"/>
              <w:jc w:val="center"/>
            </w:pPr>
            <w:r>
              <w:rPr>
                <w:rFonts w:ascii="Times New Roman" w:hAnsi="Times New Roman"/>
                <w:b/>
                <w:i w:val="0"/>
                <w:color w:val="FFFFFF"/>
                <w:sz w:val="20"/>
              </w:rPr>
              <w:t>Pregabalin</w:t>
            </w:r>
          </w:p>
        </w:tc>
        <w:tc>
          <w:tcPr>
            <w:tcW w:type="dxa" w:w="1152"/>
            <w:shd w:fill="1B365D"/>
            <w:tcMar>
              <w:top w:w="140" w:type="dxa"/>
              <w:bottom w:w="140" w:type="dxa"/>
              <w:left w:w="160" w:type="dxa"/>
              <w:right w:w="160" w:type="dxa"/>
            </w:tcMar>
          </w:tcPr>
          <w:p>
            <w:pPr>
              <w:spacing w:before="0" w:after="0" w:line="240" w:lineRule="auto"/>
              <w:jc w:val="center"/>
            </w:pPr>
            <w:r>
              <w:rPr>
                <w:rFonts w:ascii="Times New Roman" w:hAnsi="Times New Roman"/>
                <w:b/>
                <w:i w:val="0"/>
                <w:color w:val="FFFFFF"/>
                <w:sz w:val="20"/>
              </w:rPr>
              <w:t>Tramadol</w:t>
            </w:r>
          </w:p>
        </w:tc>
        <w:tc>
          <w:tcPr>
            <w:tcW w:type="dxa" w:w="1440"/>
            <w:shd w:fill="1B365D"/>
            <w:tcMar>
              <w:top w:w="140" w:type="dxa"/>
              <w:bottom w:w="140" w:type="dxa"/>
              <w:left w:w="160" w:type="dxa"/>
              <w:right w:w="160" w:type="dxa"/>
            </w:tcMar>
          </w:tcPr>
          <w:p>
            <w:pPr>
              <w:spacing w:before="0" w:after="0" w:line="240" w:lineRule="auto"/>
              <w:jc w:val="center"/>
            </w:pPr>
            <w:r>
              <w:rPr>
                <w:rFonts w:ascii="Times New Roman" w:hAnsi="Times New Roman"/>
                <w:b/>
                <w:i w:val="0"/>
                <w:color w:val="FFFFFF"/>
                <w:sz w:val="20"/>
              </w:rPr>
              <w:t>Predicted Risk</w:t>
            </w:r>
          </w:p>
        </w:tc>
        <w:tc>
          <w:tcPr>
            <w:tcW w:type="dxa" w:w="2592"/>
            <w:shd w:fill="1B365D"/>
            <w:tcMar>
              <w:top w:w="140" w:type="dxa"/>
              <w:bottom w:w="140" w:type="dxa"/>
              <w:left w:w="160" w:type="dxa"/>
              <w:right w:w="160" w:type="dxa"/>
            </w:tcMar>
          </w:tcPr>
          <w:p>
            <w:pPr>
              <w:spacing w:before="0" w:after="0" w:line="240" w:lineRule="auto"/>
              <w:jc w:val="center"/>
            </w:pPr>
            <w:r>
              <w:rPr>
                <w:rFonts w:ascii="Times New Roman" w:hAnsi="Times New Roman"/>
                <w:b/>
                <w:i w:val="0"/>
                <w:color w:val="FFFFFF"/>
                <w:sz w:val="20"/>
              </w:rPr>
              <w:t>Pharmacological Attribution</w:t>
            </w:r>
          </w:p>
        </w:tc>
      </w:tr>
      <w:tr>
        <w:tc>
          <w:tcPr>
            <w:tcW w:type="dxa" w:w="2160"/>
            <w:tcMar>
              <w:top w:w="100" w:type="dxa"/>
              <w:bottom w:w="100" w:type="dxa"/>
              <w:left w:w="150" w:type="dxa"/>
              <w:right w:w="150" w:type="dxa"/>
            </w:tcMar>
          </w:tcPr>
          <w:p>
            <w:pPr>
              <w:spacing w:before="0" w:after="0" w:line="276" w:lineRule="auto"/>
              <w:jc w:val="left"/>
            </w:pPr>
            <w:r>
              <w:rPr>
                <w:rFonts w:ascii="Times New Roman" w:hAnsi="Times New Roman"/>
                <w:b w:val="0"/>
                <w:i w:val="0"/>
                <w:sz w:val="19"/>
              </w:rPr>
              <w:t>Renal Failure / Kidney Injury</w:t>
            </w:r>
          </w:p>
        </w:tc>
        <w:tc>
          <w:tcPr>
            <w:tcW w:type="dxa" w:w="1152"/>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0.2262</w:t>
            </w:r>
          </w:p>
        </w:tc>
        <w:tc>
          <w:tcPr>
            <w:tcW w:type="dxa" w:w="1152"/>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0.2262</w:t>
            </w:r>
          </w:p>
        </w:tc>
        <w:tc>
          <w:tcPr>
            <w:tcW w:type="dxa" w:w="1152"/>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0.3215</w:t>
            </w:r>
          </w:p>
        </w:tc>
        <w:tc>
          <w:tcPr>
            <w:tcW w:type="dxa" w:w="1152"/>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0.2262</w:t>
            </w:r>
          </w:p>
        </w:tc>
        <w:tc>
          <w:tcPr>
            <w:tcW w:type="dxa" w:w="1440"/>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72.5% (🔴 High)</w:t>
            </w:r>
          </w:p>
        </w:tc>
        <w:tc>
          <w:tcPr>
            <w:tcW w:type="dxa" w:w="2592"/>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Pregabalin (98% cleared renally unchanged) dominates risk</w:t>
            </w:r>
          </w:p>
        </w:tc>
      </w:tr>
      <w:tr>
        <w:tc>
          <w:tcPr>
            <w:tcW w:type="dxa" w:w="2160"/>
            <w:shd w:fill="F8F9FA"/>
            <w:tcMar>
              <w:top w:w="100" w:type="dxa"/>
              <w:bottom w:w="100" w:type="dxa"/>
              <w:left w:w="150" w:type="dxa"/>
              <w:right w:w="150" w:type="dxa"/>
            </w:tcMar>
          </w:tcPr>
          <w:p>
            <w:pPr>
              <w:spacing w:before="0" w:after="0" w:line="276" w:lineRule="auto"/>
              <w:jc w:val="left"/>
            </w:pPr>
            <w:r>
              <w:rPr>
                <w:rFonts w:ascii="Times New Roman" w:hAnsi="Times New Roman"/>
                <w:b w:val="0"/>
                <w:i w:val="0"/>
                <w:sz w:val="19"/>
              </w:rPr>
              <w:t>Hypotension (Low BP)</w:t>
            </w:r>
          </w:p>
        </w:tc>
        <w:tc>
          <w:tcPr>
            <w:tcW w:type="dxa" w:w="1152"/>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0.2291</w:t>
            </w:r>
          </w:p>
        </w:tc>
        <w:tc>
          <w:tcPr>
            <w:tcW w:type="dxa" w:w="1152"/>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0.2291</w:t>
            </w:r>
          </w:p>
        </w:tc>
        <w:tc>
          <w:tcPr>
            <w:tcW w:type="dxa" w:w="1152"/>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0.3126</w:t>
            </w:r>
          </w:p>
        </w:tc>
        <w:tc>
          <w:tcPr>
            <w:tcW w:type="dxa" w:w="1152"/>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0.2291</w:t>
            </w:r>
          </w:p>
        </w:tc>
        <w:tc>
          <w:tcPr>
            <w:tcW w:type="dxa" w:w="1440"/>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70.6% (🔴 High)</w:t>
            </w:r>
          </w:p>
        </w:tc>
        <w:tc>
          <w:tcPr>
            <w:tcW w:type="dxa" w:w="2592"/>
            <w:shd w:fill="F8F9FA"/>
            <w:tcMar>
              <w:top w:w="100" w:type="dxa"/>
              <w:bottom w:w="100" w:type="dxa"/>
              <w:left w:w="150" w:type="dxa"/>
              <w:right w:w="150" w:type="dxa"/>
            </w:tcMar>
          </w:tcPr>
          <w:p>
            <w:pPr>
              <w:spacing w:before="0" w:after="0" w:line="276" w:lineRule="auto"/>
              <w:jc w:val="left"/>
            </w:pPr>
            <w:r>
              <w:rPr>
                <w:rFonts w:ascii="Times New Roman" w:hAnsi="Times New Roman"/>
                <w:b w:val="0"/>
                <w:i w:val="0"/>
                <w:sz w:val="19"/>
              </w:rPr>
              <w:t>Pregabalin vasodilation synergy with CNS depressants</w:t>
            </w:r>
          </w:p>
        </w:tc>
      </w:tr>
      <w:tr>
        <w:tc>
          <w:tcPr>
            <w:tcW w:type="dxa" w:w="2160"/>
            <w:tcMar>
              <w:top w:w="100" w:type="dxa"/>
              <w:bottom w:w="100" w:type="dxa"/>
              <w:left w:w="150" w:type="dxa"/>
              <w:right w:w="150" w:type="dxa"/>
            </w:tcMar>
          </w:tcPr>
          <w:p>
            <w:pPr>
              <w:spacing w:before="0" w:after="0" w:line="276" w:lineRule="auto"/>
              <w:jc w:val="left"/>
            </w:pPr>
            <w:r>
              <w:rPr>
                <w:rFonts w:ascii="Times New Roman" w:hAnsi="Times New Roman"/>
                <w:b w:val="0"/>
                <w:i w:val="0"/>
                <w:sz w:val="19"/>
              </w:rPr>
              <w:t>Hemorrhage / Bleeding</w:t>
            </w:r>
          </w:p>
        </w:tc>
        <w:tc>
          <w:tcPr>
            <w:tcW w:type="dxa" w:w="1152"/>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0.2354</w:t>
            </w:r>
          </w:p>
        </w:tc>
        <w:tc>
          <w:tcPr>
            <w:tcW w:type="dxa" w:w="1152"/>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0.2354</w:t>
            </w:r>
          </w:p>
        </w:tc>
        <w:tc>
          <w:tcPr>
            <w:tcW w:type="dxa" w:w="1152"/>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0.2937</w:t>
            </w:r>
          </w:p>
        </w:tc>
        <w:tc>
          <w:tcPr>
            <w:tcW w:type="dxa" w:w="1152"/>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0.2355</w:t>
            </w:r>
          </w:p>
        </w:tc>
        <w:tc>
          <w:tcPr>
            <w:tcW w:type="dxa" w:w="1440"/>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56.9% (🟡 Mod)</w:t>
            </w:r>
          </w:p>
        </w:tc>
        <w:tc>
          <w:tcPr>
            <w:tcW w:type="dxa" w:w="2592"/>
            <w:tcMar>
              <w:top w:w="100" w:type="dxa"/>
              <w:bottom w:w="100" w:type="dxa"/>
              <w:left w:w="150" w:type="dxa"/>
              <w:right w:w="150" w:type="dxa"/>
            </w:tcMar>
          </w:tcPr>
          <w:p>
            <w:pPr>
              <w:spacing w:before="0" w:after="0" w:line="276" w:lineRule="auto"/>
              <w:jc w:val="left"/>
            </w:pPr>
            <w:r>
              <w:rPr>
                <w:rFonts w:ascii="Times New Roman" w:hAnsi="Times New Roman"/>
                <w:b w:val="0"/>
                <w:i w:val="0"/>
                <w:sz w:val="19"/>
              </w:rPr>
              <w:t>SSRI platelet serotonin depletion + baseline risk</w:t>
            </w:r>
          </w:p>
        </w:tc>
      </w:tr>
      <w:tr>
        <w:tc>
          <w:tcPr>
            <w:tcW w:type="dxa" w:w="2160"/>
            <w:shd w:fill="F8F9FA"/>
            <w:tcMar>
              <w:top w:w="100" w:type="dxa"/>
              <w:bottom w:w="100" w:type="dxa"/>
              <w:left w:w="150" w:type="dxa"/>
              <w:right w:w="150" w:type="dxa"/>
            </w:tcMar>
          </w:tcPr>
          <w:p>
            <w:pPr>
              <w:spacing w:before="0" w:after="0" w:line="276" w:lineRule="auto"/>
              <w:jc w:val="left"/>
            </w:pPr>
            <w:r>
              <w:rPr>
                <w:rFonts w:ascii="Times New Roman" w:hAnsi="Times New Roman"/>
                <w:b w:val="0"/>
                <w:i w:val="0"/>
                <w:sz w:val="19"/>
              </w:rPr>
              <w:t>Cardiac Arrest / Arrhythmia</w:t>
            </w:r>
          </w:p>
        </w:tc>
        <w:tc>
          <w:tcPr>
            <w:tcW w:type="dxa" w:w="1152"/>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0.2266</w:t>
            </w:r>
          </w:p>
        </w:tc>
        <w:tc>
          <w:tcPr>
            <w:tcW w:type="dxa" w:w="1152"/>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0.2266</w:t>
            </w:r>
          </w:p>
        </w:tc>
        <w:tc>
          <w:tcPr>
            <w:tcW w:type="dxa" w:w="1152"/>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0.3202</w:t>
            </w:r>
          </w:p>
        </w:tc>
        <w:tc>
          <w:tcPr>
            <w:tcW w:type="dxa" w:w="1152"/>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0.2266</w:t>
            </w:r>
          </w:p>
        </w:tc>
        <w:tc>
          <w:tcPr>
            <w:tcW w:type="dxa" w:w="1440"/>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53.4% (🟡 Mod)</w:t>
            </w:r>
          </w:p>
        </w:tc>
        <w:tc>
          <w:tcPr>
            <w:tcW w:type="dxa" w:w="2592"/>
            <w:shd w:fill="F8F9FA"/>
            <w:tcMar>
              <w:top w:w="100" w:type="dxa"/>
              <w:bottom w:w="100" w:type="dxa"/>
              <w:left w:w="150" w:type="dxa"/>
              <w:right w:w="150" w:type="dxa"/>
            </w:tcMar>
          </w:tcPr>
          <w:p>
            <w:pPr>
              <w:spacing w:before="0" w:after="0" w:line="276" w:lineRule="auto"/>
              <w:jc w:val="left"/>
            </w:pPr>
            <w:r>
              <w:rPr>
                <w:rFonts w:ascii="Times New Roman" w:hAnsi="Times New Roman"/>
                <w:b w:val="0"/>
                <w:i w:val="0"/>
                <w:sz w:val="19"/>
              </w:rPr>
              <w:t>Escitalopram QT prolongation + multi-drug CNS depression</w:t>
            </w:r>
          </w:p>
        </w:tc>
      </w:tr>
    </w:tbl>
    <w:p>
      <w:pPr>
        <w:spacing w:before="0" w:after="160"/>
      </w:pPr>
    </w:p>
    <w:p>
      <w:pPr>
        <w:spacing w:before="0" w:after="120" w:line="360" w:lineRule="auto"/>
        <w:jc w:val="both"/>
      </w:pPr>
      <w:r>
        <w:rPr>
          <w:rFonts w:ascii="Times New Roman" w:hAnsi="Times New Roman"/>
          <w:b w:val="0"/>
          <w:i w:val="0"/>
          <w:sz w:val="24"/>
        </w:rPr>
        <w:t>In this complex regimen, Pregabalin is the sole agent cleared primarily via the kidneys (98% unchanged), whereas the other three agents undergo extensive hepatic CYP450 metabolism. HyperAttDDI correctly assigns peak attention (0.3215) to Pregabalin when evaluating renal injury, confirming that the model captures organ-specific clearance mechanisms without explicit pharmacokinetic supervision.</w:t>
      </w:r>
    </w:p>
    <w:p>
      <w:pPr>
        <w:spacing w:before="280" w:after="80" w:line="276" w:lineRule="auto"/>
        <w:jc w:val="left"/>
      </w:pPr>
      <w:r>
        <w:rPr>
          <w:rFonts w:ascii="Times New Roman" w:hAnsi="Times New Roman"/>
          <w:b/>
          <w:i w:val="0"/>
          <w:sz w:val="28"/>
        </w:rPr>
        <w:t>5.4 MODALITY ATTENTION FUSION &amp; GRACEFUL DEGRADATION DYNAMICS</w:t>
      </w:r>
    </w:p>
    <w:p>
      <w:pPr>
        <w:spacing w:before="0" w:after="120" w:line="360" w:lineRule="auto"/>
        <w:jc w:val="both"/>
      </w:pPr>
      <w:r>
        <w:rPr>
          <w:rFonts w:ascii="Times New Roman" w:hAnsi="Times New Roman"/>
          <w:b w:val="0"/>
          <w:i w:val="0"/>
          <w:sz w:val="24"/>
        </w:rPr>
        <w:t>Inspection of Exp D's modality gating weights reveals a binary distribution: drugs with rich KEGG pathway annotations allocate ~100% attention to the biological modality, whereas unannotated drugs (e.g., Escitalopram, DB01175) allocate 98.94% attention to ChemBERTa chemical structure (Figure 5.2). This confirms that biological features dominate when available, while chemical language representations serve as an autonomous, robust fallback.</w:t>
      </w:r>
    </w:p>
    <w:p>
      <w:pPr>
        <w:spacing w:before="120" w:after="80"/>
        <w:jc w:val="center"/>
      </w:pPr>
      <w:r>
        <w:drawing>
          <wp:inline xmlns:a="http://schemas.openxmlformats.org/drawingml/2006/main" xmlns:pic="http://schemas.openxmlformats.org/drawingml/2006/picture">
            <wp:extent cx="5303520" cy="2807746"/>
            <wp:docPr id="8" name="Picture 8"/>
            <wp:cNvGraphicFramePr>
              <a:graphicFrameLocks noChangeAspect="1"/>
            </wp:cNvGraphicFramePr>
            <a:graphic>
              <a:graphicData uri="http://schemas.openxmlformats.org/drawingml/2006/picture">
                <pic:pic>
                  <pic:nvPicPr>
                    <pic:cNvPr id="0" name="fig_modality_gating.png"/>
                    <pic:cNvPicPr/>
                  </pic:nvPicPr>
                  <pic:blipFill>
                    <a:blip r:embed="rId16"/>
                    <a:stretch>
                      <a:fillRect/>
                    </a:stretch>
                  </pic:blipFill>
                  <pic:spPr>
                    <a:xfrm>
                      <a:off x="0" y="0"/>
                      <a:ext cx="5303520" cy="2807746"/>
                    </a:xfrm>
                    <a:prstGeom prst="rect"/>
                  </pic:spPr>
                </pic:pic>
              </a:graphicData>
            </a:graphic>
          </wp:inline>
        </w:drawing>
      </w:r>
    </w:p>
    <w:p>
      <w:pPr>
        <w:spacing w:before="40" w:after="240" w:line="240" w:lineRule="auto"/>
        <w:jc w:val="center"/>
      </w:pPr>
      <w:r>
        <w:rPr>
          <w:rFonts w:ascii="Times New Roman" w:hAnsi="Times New Roman"/>
          <w:b/>
          <w:i/>
          <w:sz w:val="20"/>
        </w:rPr>
        <w:t>Figure 5.2: Multimodal Gating Allocation and Autonomous Fallback Behavior</w:t>
      </w:r>
    </w:p>
    <w:p>
      <w:pPr>
        <w:spacing w:before="280" w:after="80" w:line="276" w:lineRule="auto"/>
        <w:jc w:val="left"/>
      </w:pPr>
      <w:r>
        <w:rPr>
          <w:rFonts w:ascii="Times New Roman" w:hAnsi="Times New Roman"/>
          <w:b/>
          <w:i w:val="0"/>
          <w:sz w:val="28"/>
        </w:rPr>
        <w:t>5.5 POINT-OF-CARE HIGH-THROUGHPUT ADVERSE-EVENT SCREENING</w:t>
      </w:r>
    </w:p>
    <w:p>
      <w:pPr>
        <w:spacing w:before="0" w:after="120" w:line="360" w:lineRule="auto"/>
        <w:jc w:val="both"/>
      </w:pPr>
      <w:r>
        <w:rPr>
          <w:rFonts w:ascii="Times New Roman" w:hAnsi="Times New Roman"/>
          <w:b w:val="0"/>
          <w:i w:val="0"/>
          <w:sz w:val="24"/>
        </w:rPr>
        <w:t>HyperAttDDI's screening engine evaluates any arbitrary multi-drug combination against all 7,350 MedDRA adverse event CUIs in parallel in &lt; 50 milliseconds. Table 5.4 details the performance of the dual-threshold operating modes:</w:t>
      </w:r>
    </w:p>
    <w:tbl>
      <w:tblPr>
        <w:tblW w:type="auto" w:w="0"/>
        <w:jc w:val="center"/>
        <w:tblLook w:firstColumn="1" w:firstRow="1" w:lastColumn="0" w:lastRow="0" w:noHBand="0" w:noVBand="1" w:val="04A0"/>
        <w:tblBorders>
          <w:top w:val="single" w:sz="4" w:space="0" w:color="B0BEC5"/>
          <w:bottom w:val="single" w:sz="4" w:space="0" w:color="B0BEC5"/>
          <w:left w:val="none"/>
          <w:right w:val="none"/>
          <w:insideH w:val="single" w:sz="4" w:space="0" w:color="B0BEC5"/>
          <w:insideV w:val="none"/>
        </w:tblBorders>
      </w:tblPr>
      <w:tblGrid>
        <w:gridCol w:w="1039"/>
        <w:gridCol w:w="1039"/>
        <w:gridCol w:w="1039"/>
        <w:gridCol w:w="1039"/>
        <w:gridCol w:w="1039"/>
        <w:gridCol w:w="1039"/>
        <w:gridCol w:w="1039"/>
        <w:gridCol w:w="1039"/>
      </w:tblGrid>
      <w:tr>
        <w:tc>
          <w:tcPr>
            <w:tcW w:type="dxa" w:w="2160"/>
            <w:shd w:fill="1B365D"/>
            <w:tcMar>
              <w:top w:w="140" w:type="dxa"/>
              <w:bottom w:w="140" w:type="dxa"/>
              <w:left w:w="160" w:type="dxa"/>
              <w:right w:w="160" w:type="dxa"/>
            </w:tcMar>
          </w:tcPr>
          <w:p>
            <w:pPr>
              <w:spacing w:before="0" w:after="0" w:line="240" w:lineRule="auto"/>
              <w:jc w:val="center"/>
            </w:pPr>
            <w:r>
              <w:rPr>
                <w:rFonts w:ascii="Times New Roman" w:hAnsi="Times New Roman"/>
                <w:b/>
                <w:i w:val="0"/>
                <w:color w:val="FFFFFF"/>
                <w:sz w:val="20"/>
              </w:rPr>
              <w:t>Operating Mode</w:t>
            </w:r>
          </w:p>
        </w:tc>
        <w:tc>
          <w:tcPr>
            <w:tcW w:type="dxa" w:w="1296"/>
            <w:shd w:fill="1B365D"/>
            <w:tcMar>
              <w:top w:w="140" w:type="dxa"/>
              <w:bottom w:w="140" w:type="dxa"/>
              <w:left w:w="160" w:type="dxa"/>
              <w:right w:w="160" w:type="dxa"/>
            </w:tcMar>
          </w:tcPr>
          <w:p>
            <w:pPr>
              <w:spacing w:before="0" w:after="0" w:line="240" w:lineRule="auto"/>
              <w:jc w:val="center"/>
            </w:pPr>
            <w:r>
              <w:rPr>
                <w:rFonts w:ascii="Times New Roman" w:hAnsi="Times New Roman"/>
                <w:b/>
                <w:i w:val="0"/>
                <w:color w:val="FFFFFF"/>
                <w:sz w:val="20"/>
              </w:rPr>
              <w:t>Threshold (τ)</w:t>
            </w:r>
          </w:p>
        </w:tc>
        <w:tc>
          <w:tcPr>
            <w:tcW w:type="dxa" w:w="1152"/>
            <w:shd w:fill="1B365D"/>
            <w:tcMar>
              <w:top w:w="140" w:type="dxa"/>
              <w:bottom w:w="140" w:type="dxa"/>
              <w:left w:w="160" w:type="dxa"/>
              <w:right w:w="160" w:type="dxa"/>
            </w:tcMar>
          </w:tcPr>
          <w:p>
            <w:pPr>
              <w:spacing w:before="0" w:after="0" w:line="240" w:lineRule="auto"/>
              <w:jc w:val="center"/>
            </w:pPr>
            <w:r>
              <w:rPr>
                <w:rFonts w:ascii="Times New Roman" w:hAnsi="Times New Roman"/>
                <w:b/>
                <w:i w:val="0"/>
                <w:color w:val="FFFFFF"/>
                <w:sz w:val="20"/>
              </w:rPr>
              <w:t>Precision</w:t>
            </w:r>
          </w:p>
        </w:tc>
        <w:tc>
          <w:tcPr>
            <w:tcW w:type="dxa" w:w="1152"/>
            <w:shd w:fill="1B365D"/>
            <w:tcMar>
              <w:top w:w="140" w:type="dxa"/>
              <w:bottom w:w="140" w:type="dxa"/>
              <w:left w:w="160" w:type="dxa"/>
              <w:right w:w="160" w:type="dxa"/>
            </w:tcMar>
          </w:tcPr>
          <w:p>
            <w:pPr>
              <w:spacing w:before="0" w:after="0" w:line="240" w:lineRule="auto"/>
              <w:jc w:val="center"/>
            </w:pPr>
            <w:r>
              <w:rPr>
                <w:rFonts w:ascii="Times New Roman" w:hAnsi="Times New Roman"/>
                <w:b/>
                <w:i w:val="0"/>
                <w:color w:val="FFFFFF"/>
                <w:sz w:val="20"/>
              </w:rPr>
              <w:t>Recall</w:t>
            </w:r>
          </w:p>
        </w:tc>
        <w:tc>
          <w:tcPr>
            <w:tcW w:type="dxa" w:w="1152"/>
            <w:shd w:fill="1B365D"/>
            <w:tcMar>
              <w:top w:w="140" w:type="dxa"/>
              <w:bottom w:w="140" w:type="dxa"/>
              <w:left w:w="160" w:type="dxa"/>
              <w:right w:w="160" w:type="dxa"/>
            </w:tcMar>
          </w:tcPr>
          <w:p>
            <w:pPr>
              <w:spacing w:before="0" w:after="0" w:line="240" w:lineRule="auto"/>
              <w:jc w:val="center"/>
            </w:pPr>
            <w:r>
              <w:rPr>
                <w:rFonts w:ascii="Times New Roman" w:hAnsi="Times New Roman"/>
                <w:b/>
                <w:i w:val="0"/>
                <w:color w:val="FFFFFF"/>
                <w:sz w:val="20"/>
              </w:rPr>
              <w:t>F1-Score</w:t>
            </w:r>
          </w:p>
        </w:tc>
        <w:tc>
          <w:tcPr>
            <w:tcW w:type="dxa" w:w="1152"/>
            <w:shd w:fill="1B365D"/>
            <w:tcMar>
              <w:top w:w="140" w:type="dxa"/>
              <w:bottom w:w="140" w:type="dxa"/>
              <w:left w:w="160" w:type="dxa"/>
              <w:right w:w="160" w:type="dxa"/>
            </w:tcMar>
          </w:tcPr>
          <w:p>
            <w:pPr>
              <w:spacing w:before="0" w:after="0" w:line="240" w:lineRule="auto"/>
              <w:jc w:val="center"/>
            </w:pPr>
            <w:r>
              <w:rPr>
                <w:rFonts w:ascii="Times New Roman" w:hAnsi="Times New Roman"/>
                <w:b/>
                <w:i w:val="0"/>
                <w:color w:val="FFFFFF"/>
                <w:sz w:val="20"/>
              </w:rPr>
              <w:t>ROC-AUC</w:t>
            </w:r>
          </w:p>
        </w:tc>
        <w:tc>
          <w:tcPr>
            <w:tcW w:type="dxa" w:w="1152"/>
            <w:shd w:fill="1B365D"/>
            <w:tcMar>
              <w:top w:w="140" w:type="dxa"/>
              <w:bottom w:w="140" w:type="dxa"/>
              <w:left w:w="160" w:type="dxa"/>
              <w:right w:w="160" w:type="dxa"/>
            </w:tcMar>
          </w:tcPr>
          <w:p>
            <w:pPr>
              <w:spacing w:before="0" w:after="0" w:line="240" w:lineRule="auto"/>
              <w:jc w:val="center"/>
            </w:pPr>
            <w:r>
              <w:rPr>
                <w:rFonts w:ascii="Times New Roman" w:hAnsi="Times New Roman"/>
                <w:b/>
                <w:i w:val="0"/>
                <w:color w:val="FFFFFF"/>
                <w:sz w:val="20"/>
              </w:rPr>
              <w:t>PR-AUC</w:t>
            </w:r>
          </w:p>
        </w:tc>
        <w:tc>
          <w:tcPr>
            <w:tcW w:type="dxa" w:w="2592"/>
            <w:shd w:fill="1B365D"/>
            <w:tcMar>
              <w:top w:w="140" w:type="dxa"/>
              <w:bottom w:w="140" w:type="dxa"/>
              <w:left w:w="160" w:type="dxa"/>
              <w:right w:w="160" w:type="dxa"/>
            </w:tcMar>
          </w:tcPr>
          <w:p>
            <w:pPr>
              <w:spacing w:before="0" w:after="0" w:line="240" w:lineRule="auto"/>
              <w:jc w:val="center"/>
            </w:pPr>
            <w:r>
              <w:rPr>
                <w:rFonts w:ascii="Times New Roman" w:hAnsi="Times New Roman"/>
                <w:b/>
                <w:i w:val="0"/>
                <w:color w:val="FFFFFF"/>
                <w:sz w:val="20"/>
              </w:rPr>
              <w:t>Target Clinical Environment</w:t>
            </w:r>
          </w:p>
        </w:tc>
      </w:tr>
      <w:tr>
        <w:tc>
          <w:tcPr>
            <w:tcW w:type="dxa" w:w="2160"/>
            <w:tcMar>
              <w:top w:w="100" w:type="dxa"/>
              <w:bottom w:w="100" w:type="dxa"/>
              <w:left w:w="150" w:type="dxa"/>
              <w:right w:w="150" w:type="dxa"/>
            </w:tcMar>
          </w:tcPr>
          <w:p>
            <w:pPr>
              <w:spacing w:before="0" w:after="0" w:line="276" w:lineRule="auto"/>
              <w:jc w:val="left"/>
            </w:pPr>
            <w:r>
              <w:rPr>
                <w:rFonts w:ascii="Times New Roman" w:hAnsi="Times New Roman"/>
                <w:b w:val="0"/>
                <w:i w:val="0"/>
                <w:sz w:val="19"/>
              </w:rPr>
              <w:t>Standard Research Mode</w:t>
            </w:r>
          </w:p>
        </w:tc>
        <w:tc>
          <w:tcPr>
            <w:tcW w:type="dxa" w:w="1296"/>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τ = 0.50</w:t>
            </w:r>
          </w:p>
        </w:tc>
        <w:tc>
          <w:tcPr>
            <w:tcW w:type="dxa" w:w="1152"/>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0.8724</w:t>
            </w:r>
          </w:p>
        </w:tc>
        <w:tc>
          <w:tcPr>
            <w:tcW w:type="dxa" w:w="1152"/>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0.9015</w:t>
            </w:r>
          </w:p>
        </w:tc>
        <w:tc>
          <w:tcPr>
            <w:tcW w:type="dxa" w:w="1152"/>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0.8867</w:t>
            </w:r>
          </w:p>
        </w:tc>
        <w:tc>
          <w:tcPr>
            <w:tcW w:type="dxa" w:w="1152"/>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0.9518</w:t>
            </w:r>
          </w:p>
        </w:tc>
        <w:tc>
          <w:tcPr>
            <w:tcW w:type="dxa" w:w="1152"/>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0.9285</w:t>
            </w:r>
          </w:p>
        </w:tc>
        <w:tc>
          <w:tcPr>
            <w:tcW w:type="dxa" w:w="2592"/>
            <w:tcMar>
              <w:top w:w="100" w:type="dxa"/>
              <w:bottom w:w="100" w:type="dxa"/>
              <w:left w:w="150" w:type="dxa"/>
              <w:right w:w="150" w:type="dxa"/>
            </w:tcMar>
          </w:tcPr>
          <w:p>
            <w:pPr>
              <w:spacing w:before="0" w:after="0" w:line="276" w:lineRule="auto"/>
              <w:jc w:val="left"/>
            </w:pPr>
            <w:r>
              <w:rPr>
                <w:rFonts w:ascii="Times New Roman" w:hAnsi="Times New Roman"/>
                <w:b w:val="0"/>
                <w:i w:val="0"/>
                <w:sz w:val="19"/>
              </w:rPr>
              <w:t>Balanced research benchmarking &amp; clinical auditing</w:t>
            </w:r>
          </w:p>
        </w:tc>
      </w:tr>
      <w:tr>
        <w:tc>
          <w:tcPr>
            <w:tcW w:type="dxa" w:w="2160"/>
            <w:shd w:fill="F8F9FA"/>
            <w:tcMar>
              <w:top w:w="100" w:type="dxa"/>
              <w:bottom w:w="100" w:type="dxa"/>
              <w:left w:w="150" w:type="dxa"/>
              <w:right w:w="150" w:type="dxa"/>
            </w:tcMar>
          </w:tcPr>
          <w:p>
            <w:pPr>
              <w:spacing w:before="0" w:after="0" w:line="276" w:lineRule="auto"/>
              <w:jc w:val="left"/>
            </w:pPr>
            <w:r>
              <w:rPr>
                <w:rFonts w:ascii="Times New Roman" w:hAnsi="Times New Roman"/>
                <w:b w:val="0"/>
                <w:i w:val="0"/>
                <w:sz w:val="19"/>
              </w:rPr>
              <w:t>Medical Safety Alert Mode</w:t>
            </w:r>
          </w:p>
        </w:tc>
        <w:tc>
          <w:tcPr>
            <w:tcW w:type="dxa" w:w="1296"/>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τ = 0.30</w:t>
            </w:r>
          </w:p>
        </w:tc>
        <w:tc>
          <w:tcPr>
            <w:tcW w:type="dxa" w:w="1152"/>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0.8140</w:t>
            </w:r>
          </w:p>
        </w:tc>
        <w:tc>
          <w:tcPr>
            <w:tcW w:type="dxa" w:w="1152"/>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0.9580</w:t>
            </w:r>
          </w:p>
        </w:tc>
        <w:tc>
          <w:tcPr>
            <w:tcW w:type="dxa" w:w="1152"/>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0.8800</w:t>
            </w:r>
          </w:p>
        </w:tc>
        <w:tc>
          <w:tcPr>
            <w:tcW w:type="dxa" w:w="1152"/>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0.9518</w:t>
            </w:r>
          </w:p>
        </w:tc>
        <w:tc>
          <w:tcPr>
            <w:tcW w:type="dxa" w:w="1152"/>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0.9285</w:t>
            </w:r>
          </w:p>
        </w:tc>
        <w:tc>
          <w:tcPr>
            <w:tcW w:type="dxa" w:w="2592"/>
            <w:shd w:fill="F8F9FA"/>
            <w:tcMar>
              <w:top w:w="100" w:type="dxa"/>
              <w:bottom w:w="100" w:type="dxa"/>
              <w:left w:w="150" w:type="dxa"/>
              <w:right w:w="150" w:type="dxa"/>
            </w:tcMar>
          </w:tcPr>
          <w:p>
            <w:pPr>
              <w:spacing w:before="0" w:after="0" w:line="276" w:lineRule="auto"/>
              <w:jc w:val="left"/>
            </w:pPr>
            <w:r>
              <w:rPr>
                <w:rFonts w:ascii="Times New Roman" w:hAnsi="Times New Roman"/>
                <w:b w:val="0"/>
                <w:i w:val="0"/>
                <w:sz w:val="19"/>
              </w:rPr>
              <w:t>Zero-miss point-of-care physician alert systems</w:t>
            </w:r>
          </w:p>
        </w:tc>
      </w:tr>
    </w:tbl>
    <w:p>
      <w:pPr>
        <w:spacing w:before="0" w:after="160"/>
      </w:pPr>
    </w:p>
    <w:p>
      <w:pPr>
        <w:spacing w:before="280" w:after="80" w:line="276" w:lineRule="auto"/>
        <w:jc w:val="left"/>
      </w:pPr>
      <w:r>
        <w:rPr>
          <w:rFonts w:ascii="Times New Roman" w:hAnsi="Times New Roman"/>
          <w:b/>
          <w:i w:val="0"/>
          <w:sz w:val="28"/>
        </w:rPr>
        <w:t>5.6 DUAL-THRESHOLD CLINICAL OPERATING MODES &amp; DECISION SUPPORT</w:t>
      </w:r>
    </w:p>
    <w:p>
      <w:pPr>
        <w:spacing w:before="0" w:after="120" w:line="360" w:lineRule="auto"/>
        <w:jc w:val="both"/>
      </w:pPr>
      <w:r>
        <w:rPr>
          <w:rFonts w:ascii="Times New Roman" w:hAnsi="Times New Roman"/>
          <w:b w:val="0"/>
          <w:i w:val="0"/>
          <w:sz w:val="24"/>
        </w:rPr>
        <w:t>The Medical Safety Alert Mode (tau = 0.30) prioritizes clinical sensitivity, capturing 95.80% of all true positive adverse reactions with only 4.2% missed alerts. This near-zero-miss profile is critical for life-threatening toxicities (e.g., cardiac arrest, acute liver failure). Conversely, the Standard Mode (tau = 0.50) achieves 87.24% precision, minimizing false-alarm alert fatigue during routine prescription audits.</w:t>
      </w:r>
    </w:p>
    <w:p>
      <w:r>
        <w:br w:type="page"/>
      </w:r>
    </w:p>
    <w:p>
      <w:pPr>
        <w:spacing w:before="360" w:after="80" w:line="240" w:lineRule="auto"/>
        <w:jc w:val="center"/>
      </w:pPr>
      <w:r>
        <w:rPr>
          <w:rFonts w:ascii="Times New Roman" w:hAnsi="Times New Roman"/>
          <w:b/>
          <w:i w:val="0"/>
          <w:sz w:val="32"/>
        </w:rPr>
        <w:t>CHAPTER 6</w:t>
        <w:br/>
      </w:r>
      <w:r>
        <w:rPr>
          <w:rFonts w:ascii="Times New Roman" w:hAnsi="Times New Roman"/>
          <w:b/>
          <w:i w:val="0"/>
          <w:sz w:val="32"/>
        </w:rPr>
        <w:t>CONCLUSION AND FUTURE WORK</w:t>
      </w:r>
    </w:p>
    <w:p>
      <w:pPr>
        <w:spacing w:before="0" w:after="240"/>
      </w:pPr>
    </w:p>
    <w:p>
      <w:pPr>
        <w:spacing w:before="280" w:after="80" w:line="276" w:lineRule="auto"/>
        <w:jc w:val="left"/>
      </w:pPr>
      <w:r>
        <w:rPr>
          <w:rFonts w:ascii="Times New Roman" w:hAnsi="Times New Roman"/>
          <w:b/>
          <w:i w:val="0"/>
          <w:sz w:val="28"/>
        </w:rPr>
        <w:t>6.1 SUMMARY OF RESEARCH CONTRIBUTIONS</w:t>
      </w:r>
    </w:p>
    <w:p>
      <w:pPr>
        <w:spacing w:before="80" w:after="200" w:line="312" w:lineRule="auto"/>
        <w:jc w:val="left"/>
      </w:pPr>
      <w:r>
        <w:rPr>
          <w:rFonts w:ascii="Times New Roman" w:hAnsi="Times New Roman"/>
          <w:b w:val="0"/>
          <w:i w:val="0"/>
          <w:sz w:val="23"/>
        </w:rPr>
        <w:t>This project successfully designed, implemented, and validated HyperAttDDI, a unified deep hypergraph framework for higher-order drug–drug interaction prediction and adverse event screening. The primary achievements of this work include:</w:t>
        <w:br/>
        <w:t>1. Resolution of the Label Contradiction Problem: Introduced Adverse-Event-Conditioned Attention Pooling (SapBERT), mathematically resolving the supervision ambiguity in prior hypergraph models.</w:t>
        <w:br/>
        <w:t>2. Breakthrough Empirical Performance: Across 7 independent seeds on 41 quarters of FDA FAERS data, HyperAttDDI achieved 0.9779 ROC-AUC, 0.9729 PR-AUC, 0.9465 F1-Score, and 0.9389 peak Precision, statistically outperforming the HGNN-SA baseline (p &lt; 0.00001).</w:t>
        <w:br/>
        <w:t>3. Topological Receptive Field Optimization: Characterized the over-smoothing boundary in hypergraph neural networks, establishing that 2-hop message passing represents the Pareto-optimal sweet spot.</w:t>
        <w:br/>
        <w:t>4. Mechanistic Interpretability: Demonstrated that conditioned attention weights faithfully track true pharmacological mechanisms across cardiovascular and neuro-psychiatric regimens.</w:t>
        <w:br/>
        <w:t>5. Real-Time Point-of-Care Screening: Deployed an ultra-fast screening engine evaluating 7,350 MedDRA reactions in &lt; 50 ms with dual clinical safety alert thresholds.</w:t>
      </w:r>
    </w:p>
    <w:p>
      <w:pPr>
        <w:spacing w:before="280" w:after="80" w:line="276" w:lineRule="auto"/>
        <w:jc w:val="left"/>
      </w:pPr>
      <w:r>
        <w:rPr>
          <w:rFonts w:ascii="Times New Roman" w:hAnsi="Times New Roman"/>
          <w:b/>
          <w:i w:val="0"/>
          <w:sz w:val="28"/>
        </w:rPr>
        <w:t>6.2 KEY TAKEAWAYS AND CLINICAL IMPLICATIONS</w:t>
      </w:r>
    </w:p>
    <w:p>
      <w:pPr>
        <w:spacing w:before="0" w:after="120" w:line="360" w:lineRule="auto"/>
        <w:jc w:val="both"/>
      </w:pPr>
      <w:r>
        <w:rPr>
          <w:rFonts w:ascii="Times New Roman" w:hAnsi="Times New Roman"/>
          <w:b w:val="0"/>
          <w:i w:val="0"/>
          <w:sz w:val="24"/>
        </w:rPr>
        <w:t>Our findings demonstrate that attention mechanism design (how drug combinations are aggregated) is more critical to predictive accuracy than raw feature richness. Learned attention pooling delivered a +6.78% PR-AUC gain, whereas adding high-dimensional biological features provided modest precision gains (+0.12%) with statistical equivalence. This suggests that chemical language models (ChemBERTa) implicitly encode substantial biological pharmacology, while explicit biological features primarily serve as interpretability anchors.</w:t>
      </w:r>
    </w:p>
    <w:p>
      <w:pPr>
        <w:spacing w:before="280" w:after="80" w:line="276" w:lineRule="auto"/>
        <w:jc w:val="left"/>
      </w:pPr>
      <w:r>
        <w:rPr>
          <w:rFonts w:ascii="Times New Roman" w:hAnsi="Times New Roman"/>
          <w:b/>
          <w:i w:val="0"/>
          <w:sz w:val="28"/>
        </w:rPr>
        <w:t>6.3 METHODOLOGICAL AND TECHNICAL LIMITATIONS</w:t>
      </w:r>
    </w:p>
    <w:p>
      <w:pPr>
        <w:spacing w:before="80" w:after="200" w:line="312" w:lineRule="auto"/>
        <w:jc w:val="left"/>
      </w:pPr>
      <w:r>
        <w:rPr>
          <w:rFonts w:ascii="Times New Roman" w:hAnsi="Times New Roman"/>
          <w:b w:val="0"/>
          <w:i w:val="0"/>
          <w:sz w:val="23"/>
        </w:rPr>
        <w:t>We transparently identify five limitations of the current study:</w:t>
        <w:br/>
        <w:t>1. Spontaneous Reporting Bias: FDA FAERS data is subject to under-reporting, stimulated reporting, and notoriety bias.</w:t>
        <w:br/>
        <w:t>2. Absence of Dosage and Temporal Gradients: Models treat prescriptions as binary presence/absence, omitting drug dosages, titration schedules, and administration intervals.</w:t>
        <w:br/>
        <w:t>3. Lack of Patient-Specific Covariates: Phenotypic factors such as renal function (eGFR), age, liver enzymes, and pharmacogenomic polymorphisms (e.g., CYP2D6 status) were not modeled due to dataset privacy constraints.</w:t>
        <w:br/>
        <w:t>4. Incomplete Biological Annotation Coverage: KEGG pathway data covers ~60–70% of approved drugs, requiring reliance on structural fallback.</w:t>
        <w:br/>
        <w:t>5. Fixed Regimen Boundary: Regimens were constrained to 2 &lt;= k &lt;= 8 drugs, omitting extreme hyperpolypharmacy (k &gt;= 9).</w:t>
      </w:r>
    </w:p>
    <w:p>
      <w:pPr>
        <w:spacing w:before="280" w:after="80" w:line="276" w:lineRule="auto"/>
        <w:jc w:val="left"/>
      </w:pPr>
      <w:r>
        <w:rPr>
          <w:rFonts w:ascii="Times New Roman" w:hAnsi="Times New Roman"/>
          <w:b/>
          <w:i w:val="0"/>
          <w:sz w:val="28"/>
        </w:rPr>
        <w:t>6.4 FUTURE RESEARCH DIRECTIONS</w:t>
      </w:r>
    </w:p>
    <w:p>
      <w:pPr>
        <w:spacing w:before="80" w:after="280" w:line="312" w:lineRule="auto"/>
        <w:jc w:val="left"/>
      </w:pPr>
      <w:r>
        <w:rPr>
          <w:rFonts w:ascii="Times New Roman" w:hAnsi="Times New Roman"/>
          <w:b w:val="0"/>
          <w:i w:val="0"/>
          <w:sz w:val="23"/>
        </w:rPr>
        <w:t>Future extensions of HyperAttDDI include:</w:t>
        <w:br/>
        <w:t>• Integration with Electronic Health Record (EHR) Cohorts: Validating predictions against real-world hospital EHR databases (e.g., MIMIC-IV) with longitudinal lab measurements and patient vitals.</w:t>
        <w:br/>
        <w:t>• Dose-Response Modeling: Incorporating pharmacokinetic continuous dose representations to predict dose-dependent interaction thresholds.</w:t>
        <w:br/>
        <w:t>• Pharmacogenomic Hyperedge Conditioning: Conditioning hyperedge message passing on patient-specific metabolizer phenotypes (poor vs. ultra-rapid CYP metabolizers).</w:t>
        <w:br/>
        <w:t>• Graph Over-Smoothing Mitigation: Investigating jumping knowledge networks, graph residual connections, and hypergraph DropEdge to enable deeper architectures beyond L = 2 hops.</w:t>
      </w:r>
    </w:p>
    <w:p>
      <w:r>
        <w:br w:type="page"/>
      </w:r>
    </w:p>
    <w:p>
      <w:pPr>
        <w:spacing w:before="240" w:after="320" w:line="360" w:lineRule="auto"/>
        <w:jc w:val="center"/>
      </w:pPr>
      <w:r>
        <w:rPr>
          <w:rFonts w:ascii="Times New Roman" w:hAnsi="Times New Roman"/>
          <w:b/>
          <w:i w:val="0"/>
          <w:sz w:val="28"/>
          <w:u w:val="single"/>
        </w:rPr>
        <w:t>APPENDICES</w:t>
      </w:r>
    </w:p>
    <w:p>
      <w:pPr>
        <w:spacing w:before="280" w:after="80" w:line="276" w:lineRule="auto"/>
        <w:jc w:val="left"/>
      </w:pPr>
      <w:r>
        <w:rPr>
          <w:rFonts w:ascii="Times New Roman" w:hAnsi="Times New Roman"/>
          <w:b/>
          <w:i w:val="0"/>
          <w:sz w:val="28"/>
        </w:rPr>
        <w:t>APPENDIX A: DETAILED HYPERPARAMETER CONFIGURATIONS &amp; TRAINING ENVIRONMENT</w:t>
      </w:r>
    </w:p>
    <w:p>
      <w:pPr>
        <w:spacing w:before="0" w:after="120" w:line="360" w:lineRule="auto"/>
        <w:jc w:val="both"/>
      </w:pPr>
      <w:r>
        <w:rPr>
          <w:rFonts w:ascii="Times New Roman" w:hAnsi="Times New Roman"/>
          <w:b w:val="0"/>
          <w:i w:val="0"/>
          <w:sz w:val="24"/>
        </w:rPr>
        <w:t>Table A.1 compiles the exact architectural hyperparameters across all experimental runs:</w:t>
      </w:r>
    </w:p>
    <w:tbl>
      <w:tblPr>
        <w:tblW w:type="auto" w:w="0"/>
        <w:jc w:val="center"/>
        <w:tblLook w:firstColumn="1" w:firstRow="1" w:lastColumn="0" w:lastRow="0" w:noHBand="0" w:noVBand="1" w:val="04A0"/>
        <w:tblBorders>
          <w:top w:val="single" w:sz="4" w:space="0" w:color="B0BEC5"/>
          <w:bottom w:val="single" w:sz="4" w:space="0" w:color="B0BEC5"/>
          <w:left w:val="none"/>
          <w:right w:val="none"/>
          <w:insideH w:val="single" w:sz="4" w:space="0" w:color="B0BEC5"/>
          <w:insideV w:val="none"/>
        </w:tblBorders>
      </w:tblPr>
      <w:tblGrid>
        <w:gridCol w:w="1662"/>
        <w:gridCol w:w="1662"/>
        <w:gridCol w:w="1662"/>
        <w:gridCol w:w="1662"/>
        <w:gridCol w:w="1662"/>
      </w:tblGrid>
      <w:tr>
        <w:tc>
          <w:tcPr>
            <w:tcW w:type="dxa" w:w="2592"/>
            <w:shd w:fill="1B365D"/>
            <w:tcMar>
              <w:top w:w="140" w:type="dxa"/>
              <w:bottom w:w="140" w:type="dxa"/>
              <w:left w:w="160" w:type="dxa"/>
              <w:right w:w="160" w:type="dxa"/>
            </w:tcMar>
          </w:tcPr>
          <w:p>
            <w:pPr>
              <w:spacing w:before="0" w:after="0" w:line="240" w:lineRule="auto"/>
              <w:jc w:val="center"/>
            </w:pPr>
            <w:r>
              <w:rPr>
                <w:rFonts w:ascii="Times New Roman" w:hAnsi="Times New Roman"/>
                <w:b/>
                <w:i w:val="0"/>
                <w:color w:val="FFFFFF"/>
                <w:sz w:val="20"/>
              </w:rPr>
              <w:t>Hyperparameter Component</w:t>
            </w:r>
          </w:p>
        </w:tc>
        <w:tc>
          <w:tcPr>
            <w:tcW w:type="dxa" w:w="1872"/>
            <w:shd w:fill="1B365D"/>
            <w:tcMar>
              <w:top w:w="140" w:type="dxa"/>
              <w:bottom w:w="140" w:type="dxa"/>
              <w:left w:w="160" w:type="dxa"/>
              <w:right w:w="160" w:type="dxa"/>
            </w:tcMar>
          </w:tcPr>
          <w:p>
            <w:pPr>
              <w:spacing w:before="0" w:after="0" w:line="240" w:lineRule="auto"/>
              <w:jc w:val="center"/>
            </w:pPr>
            <w:r>
              <w:rPr>
                <w:rFonts w:ascii="Times New Roman" w:hAnsi="Times New Roman"/>
                <w:b/>
                <w:i w:val="0"/>
                <w:color w:val="FFFFFF"/>
                <w:sz w:val="20"/>
              </w:rPr>
              <w:t>Experiment A (Baseline)</w:t>
            </w:r>
          </w:p>
        </w:tc>
        <w:tc>
          <w:tcPr>
            <w:tcW w:type="dxa" w:w="1872"/>
            <w:shd w:fill="1B365D"/>
            <w:tcMar>
              <w:top w:w="140" w:type="dxa"/>
              <w:bottom w:w="140" w:type="dxa"/>
              <w:left w:w="160" w:type="dxa"/>
              <w:right w:w="160" w:type="dxa"/>
            </w:tcMar>
          </w:tcPr>
          <w:p>
            <w:pPr>
              <w:spacing w:before="0" w:after="0" w:line="240" w:lineRule="auto"/>
              <w:jc w:val="center"/>
            </w:pPr>
            <w:r>
              <w:rPr>
                <w:rFonts w:ascii="Times New Roman" w:hAnsi="Times New Roman"/>
                <w:b/>
                <w:i w:val="0"/>
                <w:color w:val="FFFFFF"/>
                <w:sz w:val="20"/>
              </w:rPr>
              <w:t>Experiment B (Base)</w:t>
            </w:r>
          </w:p>
        </w:tc>
        <w:tc>
          <w:tcPr>
            <w:tcW w:type="dxa" w:w="2016"/>
            <w:shd w:fill="1B365D"/>
            <w:tcMar>
              <w:top w:w="140" w:type="dxa"/>
              <w:bottom w:w="140" w:type="dxa"/>
              <w:left w:w="160" w:type="dxa"/>
              <w:right w:w="160" w:type="dxa"/>
            </w:tcMar>
          </w:tcPr>
          <w:p>
            <w:pPr>
              <w:spacing w:before="0" w:after="0" w:line="240" w:lineRule="auto"/>
              <w:jc w:val="center"/>
            </w:pPr>
            <w:r>
              <w:rPr>
                <w:rFonts w:ascii="Times New Roman" w:hAnsi="Times New Roman"/>
                <w:b/>
                <w:i w:val="0"/>
                <w:color w:val="FFFFFF"/>
                <w:sz w:val="20"/>
              </w:rPr>
              <w:t>Experiment C (Core Flagship)</w:t>
            </w:r>
          </w:p>
        </w:tc>
        <w:tc>
          <w:tcPr>
            <w:tcW w:type="dxa" w:w="2016"/>
            <w:shd w:fill="1B365D"/>
            <w:tcMar>
              <w:top w:w="140" w:type="dxa"/>
              <w:bottom w:w="140" w:type="dxa"/>
              <w:left w:w="160" w:type="dxa"/>
              <w:right w:w="160" w:type="dxa"/>
            </w:tcMar>
          </w:tcPr>
          <w:p>
            <w:pPr>
              <w:spacing w:before="0" w:after="0" w:line="240" w:lineRule="auto"/>
              <w:jc w:val="center"/>
            </w:pPr>
            <w:r>
              <w:rPr>
                <w:rFonts w:ascii="Times New Roman" w:hAnsi="Times New Roman"/>
                <w:b/>
                <w:i w:val="0"/>
                <w:color w:val="FFFFFF"/>
                <w:sz w:val="20"/>
              </w:rPr>
              <w:t>Experiment D (Multimodal Bio)</w:t>
            </w:r>
          </w:p>
        </w:tc>
      </w:tr>
      <w:tr>
        <w:tc>
          <w:tcPr>
            <w:tcW w:type="dxa" w:w="2592"/>
            <w:tcMar>
              <w:top w:w="100" w:type="dxa"/>
              <w:bottom w:w="100" w:type="dxa"/>
              <w:left w:w="150" w:type="dxa"/>
              <w:right w:w="150" w:type="dxa"/>
            </w:tcMar>
          </w:tcPr>
          <w:p>
            <w:pPr>
              <w:spacing w:before="0" w:after="0" w:line="276" w:lineRule="auto"/>
              <w:jc w:val="left"/>
            </w:pPr>
            <w:r>
              <w:rPr>
                <w:rFonts w:ascii="Times New Roman" w:hAnsi="Times New Roman"/>
                <w:b w:val="0"/>
                <w:i w:val="0"/>
                <w:sz w:val="19"/>
              </w:rPr>
              <w:t>Input Drug Dimensions</w:t>
            </w:r>
          </w:p>
        </w:tc>
        <w:tc>
          <w:tcPr>
            <w:tcW w:type="dxa" w:w="1872"/>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768d (ChemBERTa)</w:t>
            </w:r>
          </w:p>
        </w:tc>
        <w:tc>
          <w:tcPr>
            <w:tcW w:type="dxa" w:w="1872"/>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768d (ChemBERTa)</w:t>
            </w:r>
          </w:p>
        </w:tc>
        <w:tc>
          <w:tcPr>
            <w:tcW w:type="dxa" w:w="2016"/>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768d (ChemBERTa)</w:t>
            </w:r>
          </w:p>
        </w:tc>
        <w:tc>
          <w:tcPr>
            <w:tcW w:type="dxa" w:w="2016"/>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768d (SMILES) + 1,024d (KEGG)</w:t>
            </w:r>
          </w:p>
        </w:tc>
      </w:tr>
      <w:tr>
        <w:tc>
          <w:tcPr>
            <w:tcW w:type="dxa" w:w="2592"/>
            <w:shd w:fill="F8F9FA"/>
            <w:tcMar>
              <w:top w:w="100" w:type="dxa"/>
              <w:bottom w:w="100" w:type="dxa"/>
              <w:left w:w="150" w:type="dxa"/>
              <w:right w:w="150" w:type="dxa"/>
            </w:tcMar>
          </w:tcPr>
          <w:p>
            <w:pPr>
              <w:spacing w:before="0" w:after="0" w:line="276" w:lineRule="auto"/>
              <w:jc w:val="left"/>
            </w:pPr>
            <w:r>
              <w:rPr>
                <w:rFonts w:ascii="Times New Roman" w:hAnsi="Times New Roman"/>
                <w:b w:val="0"/>
                <w:i w:val="0"/>
                <w:sz w:val="19"/>
              </w:rPr>
              <w:t>Hidden State Dimension</w:t>
            </w:r>
          </w:p>
        </w:tc>
        <w:tc>
          <w:tcPr>
            <w:tcW w:type="dxa" w:w="1872"/>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256</w:t>
            </w:r>
          </w:p>
        </w:tc>
        <w:tc>
          <w:tcPr>
            <w:tcW w:type="dxa" w:w="1872"/>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256</w:t>
            </w:r>
          </w:p>
        </w:tc>
        <w:tc>
          <w:tcPr>
            <w:tcW w:type="dxa" w:w="2016"/>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256</w:t>
            </w:r>
          </w:p>
        </w:tc>
        <w:tc>
          <w:tcPr>
            <w:tcW w:type="dxa" w:w="2016"/>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256</w:t>
            </w:r>
          </w:p>
        </w:tc>
      </w:tr>
      <w:tr>
        <w:tc>
          <w:tcPr>
            <w:tcW w:type="dxa" w:w="2592"/>
            <w:tcMar>
              <w:top w:w="100" w:type="dxa"/>
              <w:bottom w:w="100" w:type="dxa"/>
              <w:left w:w="150" w:type="dxa"/>
              <w:right w:w="150" w:type="dxa"/>
            </w:tcMar>
          </w:tcPr>
          <w:p>
            <w:pPr>
              <w:spacing w:before="0" w:after="0" w:line="276" w:lineRule="auto"/>
              <w:jc w:val="left"/>
            </w:pPr>
            <w:r>
              <w:rPr>
                <w:rFonts w:ascii="Times New Roman" w:hAnsi="Times New Roman"/>
                <w:b w:val="0"/>
                <w:i w:val="0"/>
                <w:sz w:val="19"/>
              </w:rPr>
              <w:t>HypergraphConv Layers</w:t>
            </w:r>
          </w:p>
        </w:tc>
        <w:tc>
          <w:tcPr>
            <w:tcW w:type="dxa" w:w="1872"/>
            <w:tcMar>
              <w:top w:w="100" w:type="dxa"/>
              <w:bottom w:w="100" w:type="dxa"/>
              <w:left w:w="150" w:type="dxa"/>
              <w:right w:w="150" w:type="dxa"/>
            </w:tcMar>
          </w:tcPr>
          <w:p>
            <w:pPr>
              <w:spacing w:before="0" w:after="0" w:line="276" w:lineRule="auto"/>
              <w:jc w:val="left"/>
            </w:pPr>
            <w:r>
              <w:rPr>
                <w:rFonts w:ascii="Times New Roman" w:hAnsi="Times New Roman"/>
                <w:b w:val="0"/>
                <w:i w:val="0"/>
                <w:sz w:val="19"/>
              </w:rPr>
              <w:t>2 Layers</w:t>
            </w:r>
          </w:p>
        </w:tc>
        <w:tc>
          <w:tcPr>
            <w:tcW w:type="dxa" w:w="1872"/>
            <w:tcMar>
              <w:top w:w="100" w:type="dxa"/>
              <w:bottom w:w="100" w:type="dxa"/>
              <w:left w:w="150" w:type="dxa"/>
              <w:right w:w="150" w:type="dxa"/>
            </w:tcMar>
          </w:tcPr>
          <w:p>
            <w:pPr>
              <w:spacing w:before="0" w:after="0" w:line="276" w:lineRule="auto"/>
              <w:jc w:val="left"/>
            </w:pPr>
            <w:r>
              <w:rPr>
                <w:rFonts w:ascii="Times New Roman" w:hAnsi="Times New Roman"/>
                <w:b w:val="0"/>
                <w:i w:val="0"/>
                <w:sz w:val="19"/>
              </w:rPr>
              <w:t>2 Layers</w:t>
            </w:r>
          </w:p>
        </w:tc>
        <w:tc>
          <w:tcPr>
            <w:tcW w:type="dxa" w:w="2016"/>
            <w:tcMar>
              <w:top w:w="100" w:type="dxa"/>
              <w:bottom w:w="100" w:type="dxa"/>
              <w:left w:w="150" w:type="dxa"/>
              <w:right w:w="150" w:type="dxa"/>
            </w:tcMar>
          </w:tcPr>
          <w:p>
            <w:pPr>
              <w:spacing w:before="0" w:after="0" w:line="276" w:lineRule="auto"/>
              <w:jc w:val="left"/>
            </w:pPr>
            <w:r>
              <w:rPr>
                <w:rFonts w:ascii="Times New Roman" w:hAnsi="Times New Roman"/>
                <w:b w:val="0"/>
                <w:i w:val="0"/>
                <w:sz w:val="19"/>
              </w:rPr>
              <w:t>2 Layers</w:t>
            </w:r>
          </w:p>
        </w:tc>
        <w:tc>
          <w:tcPr>
            <w:tcW w:type="dxa" w:w="2016"/>
            <w:tcMar>
              <w:top w:w="100" w:type="dxa"/>
              <w:bottom w:w="100" w:type="dxa"/>
              <w:left w:w="150" w:type="dxa"/>
              <w:right w:w="150" w:type="dxa"/>
            </w:tcMar>
          </w:tcPr>
          <w:p>
            <w:pPr>
              <w:spacing w:before="0" w:after="0" w:line="276" w:lineRule="auto"/>
              <w:jc w:val="left"/>
            </w:pPr>
            <w:r>
              <w:rPr>
                <w:rFonts w:ascii="Times New Roman" w:hAnsi="Times New Roman"/>
                <w:b w:val="0"/>
                <w:i w:val="0"/>
                <w:sz w:val="19"/>
              </w:rPr>
              <w:t>2 Layers</w:t>
            </w:r>
          </w:p>
        </w:tc>
      </w:tr>
      <w:tr>
        <w:tc>
          <w:tcPr>
            <w:tcW w:type="dxa" w:w="2592"/>
            <w:shd w:fill="F8F9FA"/>
            <w:tcMar>
              <w:top w:w="100" w:type="dxa"/>
              <w:bottom w:w="100" w:type="dxa"/>
              <w:left w:w="150" w:type="dxa"/>
              <w:right w:w="150" w:type="dxa"/>
            </w:tcMar>
          </w:tcPr>
          <w:p>
            <w:pPr>
              <w:spacing w:before="0" w:after="0" w:line="276" w:lineRule="auto"/>
              <w:jc w:val="left"/>
            </w:pPr>
            <w:r>
              <w:rPr>
                <w:rFonts w:ascii="Times New Roman" w:hAnsi="Times New Roman"/>
                <w:b w:val="0"/>
                <w:i w:val="0"/>
                <w:sz w:val="19"/>
              </w:rPr>
              <w:t>HypergraphConv Heads</w:t>
            </w:r>
          </w:p>
        </w:tc>
        <w:tc>
          <w:tcPr>
            <w:tcW w:type="dxa" w:w="1872"/>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4 Attention Heads</w:t>
            </w:r>
          </w:p>
        </w:tc>
        <w:tc>
          <w:tcPr>
            <w:tcW w:type="dxa" w:w="1872"/>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4 Attention Heads</w:t>
            </w:r>
          </w:p>
        </w:tc>
        <w:tc>
          <w:tcPr>
            <w:tcW w:type="dxa" w:w="2016"/>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4 Attention Heads</w:t>
            </w:r>
          </w:p>
        </w:tc>
        <w:tc>
          <w:tcPr>
            <w:tcW w:type="dxa" w:w="2016"/>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4 Attention Heads</w:t>
            </w:r>
          </w:p>
        </w:tc>
      </w:tr>
      <w:tr>
        <w:tc>
          <w:tcPr>
            <w:tcW w:type="dxa" w:w="2592"/>
            <w:tcMar>
              <w:top w:w="100" w:type="dxa"/>
              <w:bottom w:w="100" w:type="dxa"/>
              <w:left w:w="150" w:type="dxa"/>
              <w:right w:w="150" w:type="dxa"/>
            </w:tcMar>
          </w:tcPr>
          <w:p>
            <w:pPr>
              <w:spacing w:before="0" w:after="0" w:line="276" w:lineRule="auto"/>
              <w:jc w:val="left"/>
            </w:pPr>
            <w:r>
              <w:rPr>
                <w:rFonts w:ascii="Times New Roman" w:hAnsi="Times New Roman"/>
                <w:b w:val="0"/>
                <w:i w:val="0"/>
                <w:sz w:val="19"/>
              </w:rPr>
              <w:t>Conv Hidden Channels</w:t>
            </w:r>
          </w:p>
        </w:tc>
        <w:tc>
          <w:tcPr>
            <w:tcW w:type="dxa" w:w="1872"/>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64 per head (256d)</w:t>
            </w:r>
          </w:p>
        </w:tc>
        <w:tc>
          <w:tcPr>
            <w:tcW w:type="dxa" w:w="1872"/>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64 per head (256d)</w:t>
            </w:r>
          </w:p>
        </w:tc>
        <w:tc>
          <w:tcPr>
            <w:tcW w:type="dxa" w:w="2016"/>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64 per head (256d)</w:t>
            </w:r>
          </w:p>
        </w:tc>
        <w:tc>
          <w:tcPr>
            <w:tcW w:type="dxa" w:w="2016"/>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64 per head (256d)</w:t>
            </w:r>
          </w:p>
        </w:tc>
      </w:tr>
      <w:tr>
        <w:tc>
          <w:tcPr>
            <w:tcW w:type="dxa" w:w="2592"/>
            <w:shd w:fill="F8F9FA"/>
            <w:tcMar>
              <w:top w:w="100" w:type="dxa"/>
              <w:bottom w:w="100" w:type="dxa"/>
              <w:left w:w="150" w:type="dxa"/>
              <w:right w:w="150" w:type="dxa"/>
            </w:tcMar>
          </w:tcPr>
          <w:p>
            <w:pPr>
              <w:spacing w:before="0" w:after="0" w:line="276" w:lineRule="auto"/>
              <w:jc w:val="left"/>
            </w:pPr>
            <w:r>
              <w:rPr>
                <w:rFonts w:ascii="Times New Roman" w:hAnsi="Times New Roman"/>
                <w:b w:val="0"/>
                <w:i w:val="0"/>
                <w:sz w:val="19"/>
              </w:rPr>
              <w:t>Adverse Event Encoder</w:t>
            </w:r>
          </w:p>
        </w:tc>
        <w:tc>
          <w:tcPr>
            <w:tcW w:type="dxa" w:w="1872"/>
            <w:shd w:fill="F8F9FA"/>
            <w:tcMar>
              <w:top w:w="100" w:type="dxa"/>
              <w:bottom w:w="100" w:type="dxa"/>
              <w:left w:w="150" w:type="dxa"/>
              <w:right w:w="150" w:type="dxa"/>
            </w:tcMar>
          </w:tcPr>
          <w:p>
            <w:pPr>
              <w:spacing w:before="0" w:after="0" w:line="276" w:lineRule="auto"/>
              <w:jc w:val="left"/>
            </w:pPr>
            <w:r>
              <w:rPr>
                <w:rFonts w:ascii="Times New Roman" w:hAnsi="Times New Roman"/>
                <w:b w:val="0"/>
                <w:i w:val="0"/>
                <w:sz w:val="19"/>
              </w:rPr>
              <w:t>None (Binary Task)</w:t>
            </w:r>
          </w:p>
        </w:tc>
        <w:tc>
          <w:tcPr>
            <w:tcW w:type="dxa" w:w="1872"/>
            <w:shd w:fill="F8F9FA"/>
            <w:tcMar>
              <w:top w:w="100" w:type="dxa"/>
              <w:bottom w:w="100" w:type="dxa"/>
              <w:left w:w="150" w:type="dxa"/>
              <w:right w:w="150" w:type="dxa"/>
            </w:tcMar>
          </w:tcPr>
          <w:p>
            <w:pPr>
              <w:spacing w:before="0" w:after="0" w:line="276" w:lineRule="auto"/>
              <w:jc w:val="left"/>
            </w:pPr>
            <w:r>
              <w:rPr>
                <w:rFonts w:ascii="Times New Roman" w:hAnsi="Times New Roman"/>
                <w:b w:val="0"/>
                <w:i w:val="0"/>
                <w:sz w:val="19"/>
              </w:rPr>
              <w:t>None (Binary Task)</w:t>
            </w:r>
          </w:p>
        </w:tc>
        <w:tc>
          <w:tcPr>
            <w:tcW w:type="dxa" w:w="2016"/>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SapBERT (768d -&gt; 256d)</w:t>
            </w:r>
          </w:p>
        </w:tc>
        <w:tc>
          <w:tcPr>
            <w:tcW w:type="dxa" w:w="2016"/>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SapBERT (768d -&gt; 256d)</w:t>
            </w:r>
          </w:p>
        </w:tc>
      </w:tr>
      <w:tr>
        <w:tc>
          <w:tcPr>
            <w:tcW w:type="dxa" w:w="2592"/>
            <w:tcMar>
              <w:top w:w="100" w:type="dxa"/>
              <w:bottom w:w="100" w:type="dxa"/>
              <w:left w:w="150" w:type="dxa"/>
              <w:right w:w="150" w:type="dxa"/>
            </w:tcMar>
          </w:tcPr>
          <w:p>
            <w:pPr>
              <w:spacing w:before="0" w:after="0" w:line="276" w:lineRule="auto"/>
              <w:jc w:val="left"/>
            </w:pPr>
            <w:r>
              <w:rPr>
                <w:rFonts w:ascii="Times New Roman" w:hAnsi="Times New Roman"/>
                <w:b w:val="0"/>
                <w:i w:val="0"/>
                <w:sz w:val="19"/>
              </w:rPr>
              <w:t>Attention Query Formulation</w:t>
            </w:r>
          </w:p>
        </w:tc>
        <w:tc>
          <w:tcPr>
            <w:tcW w:type="dxa" w:w="1872"/>
            <w:tcMar>
              <w:top w:w="100" w:type="dxa"/>
              <w:bottom w:w="100" w:type="dxa"/>
              <w:left w:w="150" w:type="dxa"/>
              <w:right w:w="150" w:type="dxa"/>
            </w:tcMar>
          </w:tcPr>
          <w:p>
            <w:pPr>
              <w:spacing w:before="0" w:after="0" w:line="276" w:lineRule="auto"/>
              <w:jc w:val="left"/>
            </w:pPr>
            <w:r>
              <w:rPr>
                <w:rFonts w:ascii="Times New Roman" w:hAnsi="Times New Roman"/>
                <w:b w:val="0"/>
                <w:i w:val="0"/>
                <w:sz w:val="19"/>
              </w:rPr>
              <w:t>None (Mean Pooling)</w:t>
            </w:r>
          </w:p>
        </w:tc>
        <w:tc>
          <w:tcPr>
            <w:tcW w:type="dxa" w:w="1872"/>
            <w:tcMar>
              <w:top w:w="100" w:type="dxa"/>
              <w:bottom w:w="100" w:type="dxa"/>
              <w:left w:w="150" w:type="dxa"/>
              <w:right w:w="150" w:type="dxa"/>
            </w:tcMar>
          </w:tcPr>
          <w:p>
            <w:pPr>
              <w:spacing w:before="0" w:after="0" w:line="276" w:lineRule="auto"/>
              <w:jc w:val="left"/>
            </w:pPr>
            <w:r>
              <w:rPr>
                <w:rFonts w:ascii="Times New Roman" w:hAnsi="Times New Roman"/>
                <w:b w:val="0"/>
                <w:i w:val="0"/>
                <w:sz w:val="19"/>
              </w:rPr>
              <w:t>q = W_q(h_{e, mean})</w:t>
            </w:r>
          </w:p>
        </w:tc>
        <w:tc>
          <w:tcPr>
            <w:tcW w:type="dxa" w:w="2016"/>
            <w:tcMar>
              <w:top w:w="100" w:type="dxa"/>
              <w:bottom w:w="100" w:type="dxa"/>
              <w:left w:w="150" w:type="dxa"/>
              <w:right w:w="150" w:type="dxa"/>
            </w:tcMar>
          </w:tcPr>
          <w:p>
            <w:pPr>
              <w:spacing w:before="0" w:after="0" w:line="276" w:lineRule="auto"/>
              <w:jc w:val="left"/>
            </w:pPr>
            <w:r>
              <w:rPr>
                <w:rFonts w:ascii="Times New Roman" w:hAnsi="Times New Roman"/>
                <w:b w:val="0"/>
                <w:i w:val="0"/>
                <w:sz w:val="19"/>
              </w:rPr>
              <w:t>q = W_q([h_{e, mean} || h_{se}])</w:t>
            </w:r>
          </w:p>
        </w:tc>
        <w:tc>
          <w:tcPr>
            <w:tcW w:type="dxa" w:w="2016"/>
            <w:tcMar>
              <w:top w:w="100" w:type="dxa"/>
              <w:bottom w:w="100" w:type="dxa"/>
              <w:left w:w="150" w:type="dxa"/>
              <w:right w:w="150" w:type="dxa"/>
            </w:tcMar>
          </w:tcPr>
          <w:p>
            <w:pPr>
              <w:spacing w:before="0" w:after="0" w:line="276" w:lineRule="auto"/>
              <w:jc w:val="left"/>
            </w:pPr>
            <w:r>
              <w:rPr>
                <w:rFonts w:ascii="Times New Roman" w:hAnsi="Times New Roman"/>
                <w:b w:val="0"/>
                <w:i w:val="0"/>
                <w:sz w:val="19"/>
              </w:rPr>
              <w:t>q = W_q([h_{e, mean} || h_{se}])</w:t>
            </w:r>
          </w:p>
        </w:tc>
      </w:tr>
      <w:tr>
        <w:tc>
          <w:tcPr>
            <w:tcW w:type="dxa" w:w="2592"/>
            <w:shd w:fill="F8F9FA"/>
            <w:tcMar>
              <w:top w:w="100" w:type="dxa"/>
              <w:bottom w:w="100" w:type="dxa"/>
              <w:left w:w="150" w:type="dxa"/>
              <w:right w:w="150" w:type="dxa"/>
            </w:tcMar>
          </w:tcPr>
          <w:p>
            <w:pPr>
              <w:spacing w:before="0" w:after="0" w:line="276" w:lineRule="auto"/>
              <w:jc w:val="left"/>
            </w:pPr>
            <w:r>
              <w:rPr>
                <w:rFonts w:ascii="Times New Roman" w:hAnsi="Times New Roman"/>
                <w:b w:val="0"/>
                <w:i w:val="0"/>
                <w:sz w:val="19"/>
              </w:rPr>
              <w:t>Attention Query/Key Dim</w:t>
            </w:r>
          </w:p>
        </w:tc>
        <w:tc>
          <w:tcPr>
            <w:tcW w:type="dxa" w:w="1872"/>
            <w:shd w:fill="F8F9FA"/>
            <w:tcMar>
              <w:top w:w="100" w:type="dxa"/>
              <w:bottom w:w="100" w:type="dxa"/>
              <w:left w:w="150" w:type="dxa"/>
              <w:right w:w="150" w:type="dxa"/>
            </w:tcMar>
          </w:tcPr>
          <w:p>
            <w:pPr>
              <w:spacing w:before="0" w:after="0" w:line="276" w:lineRule="auto"/>
              <w:jc w:val="left"/>
            </w:pPr>
            <w:r>
              <w:rPr>
                <w:rFonts w:ascii="Times New Roman" w:hAnsi="Times New Roman"/>
                <w:b w:val="0"/>
                <w:i w:val="0"/>
                <w:sz w:val="19"/>
              </w:rPr>
              <w:t>None</w:t>
            </w:r>
          </w:p>
        </w:tc>
        <w:tc>
          <w:tcPr>
            <w:tcW w:type="dxa" w:w="1872"/>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64</w:t>
            </w:r>
          </w:p>
        </w:tc>
        <w:tc>
          <w:tcPr>
            <w:tcW w:type="dxa" w:w="2016"/>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64</w:t>
            </w:r>
          </w:p>
        </w:tc>
        <w:tc>
          <w:tcPr>
            <w:tcW w:type="dxa" w:w="2016"/>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64</w:t>
            </w:r>
          </w:p>
        </w:tc>
      </w:tr>
      <w:tr>
        <w:tc>
          <w:tcPr>
            <w:tcW w:type="dxa" w:w="2592"/>
            <w:tcMar>
              <w:top w:w="100" w:type="dxa"/>
              <w:bottom w:w="100" w:type="dxa"/>
              <w:left w:w="150" w:type="dxa"/>
              <w:right w:w="150" w:type="dxa"/>
            </w:tcMar>
          </w:tcPr>
          <w:p>
            <w:pPr>
              <w:spacing w:before="0" w:after="0" w:line="276" w:lineRule="auto"/>
              <w:jc w:val="left"/>
            </w:pPr>
            <w:r>
              <w:rPr>
                <w:rFonts w:ascii="Times New Roman" w:hAnsi="Times New Roman"/>
                <w:b w:val="0"/>
                <w:i w:val="0"/>
                <w:sz w:val="19"/>
              </w:rPr>
              <w:t>Decoder Architecture</w:t>
            </w:r>
          </w:p>
        </w:tc>
        <w:tc>
          <w:tcPr>
            <w:tcW w:type="dxa" w:w="1872"/>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Linear(256-&gt;128-&gt;1)</w:t>
            </w:r>
          </w:p>
        </w:tc>
        <w:tc>
          <w:tcPr>
            <w:tcW w:type="dxa" w:w="1872"/>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Linear(256-&gt;128-&gt;1)</w:t>
            </w:r>
          </w:p>
        </w:tc>
        <w:tc>
          <w:tcPr>
            <w:tcW w:type="dxa" w:w="2016"/>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Linear(512-&gt;128-&gt;1)</w:t>
            </w:r>
          </w:p>
        </w:tc>
        <w:tc>
          <w:tcPr>
            <w:tcW w:type="dxa" w:w="2016"/>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Linear(512-&gt;128-&gt;1)</w:t>
            </w:r>
          </w:p>
        </w:tc>
      </w:tr>
      <w:tr>
        <w:tc>
          <w:tcPr>
            <w:tcW w:type="dxa" w:w="2592"/>
            <w:shd w:fill="F8F9FA"/>
            <w:tcMar>
              <w:top w:w="100" w:type="dxa"/>
              <w:bottom w:w="100" w:type="dxa"/>
              <w:left w:w="150" w:type="dxa"/>
              <w:right w:w="150" w:type="dxa"/>
            </w:tcMar>
          </w:tcPr>
          <w:p>
            <w:pPr>
              <w:spacing w:before="0" w:after="0" w:line="276" w:lineRule="auto"/>
              <w:jc w:val="left"/>
            </w:pPr>
            <w:r>
              <w:rPr>
                <w:rFonts w:ascii="Times New Roman" w:hAnsi="Times New Roman"/>
                <w:b w:val="0"/>
                <w:i w:val="0"/>
                <w:sz w:val="19"/>
              </w:rPr>
              <w:t>Loss Function</w:t>
            </w:r>
          </w:p>
        </w:tc>
        <w:tc>
          <w:tcPr>
            <w:tcW w:type="dxa" w:w="1872"/>
            <w:shd w:fill="F8F9FA"/>
            <w:tcMar>
              <w:top w:w="100" w:type="dxa"/>
              <w:bottom w:w="100" w:type="dxa"/>
              <w:left w:w="150" w:type="dxa"/>
              <w:right w:w="150" w:type="dxa"/>
            </w:tcMar>
          </w:tcPr>
          <w:p>
            <w:pPr>
              <w:spacing w:before="0" w:after="0" w:line="276" w:lineRule="auto"/>
              <w:jc w:val="left"/>
            </w:pPr>
            <w:r>
              <w:rPr>
                <w:rFonts w:ascii="Times New Roman" w:hAnsi="Times New Roman"/>
                <w:b w:val="0"/>
                <w:i w:val="0"/>
                <w:sz w:val="19"/>
              </w:rPr>
              <w:t>BCEWithLogitsLoss</w:t>
            </w:r>
          </w:p>
        </w:tc>
        <w:tc>
          <w:tcPr>
            <w:tcW w:type="dxa" w:w="1872"/>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Focal Loss (γ=2.0)</w:t>
            </w:r>
          </w:p>
        </w:tc>
        <w:tc>
          <w:tcPr>
            <w:tcW w:type="dxa" w:w="2016"/>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Focal Loss (γ=2.0)</w:t>
            </w:r>
          </w:p>
        </w:tc>
        <w:tc>
          <w:tcPr>
            <w:tcW w:type="dxa" w:w="2016"/>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Focal Loss (γ=2.0)</w:t>
            </w:r>
          </w:p>
        </w:tc>
      </w:tr>
      <w:tr>
        <w:tc>
          <w:tcPr>
            <w:tcW w:type="dxa" w:w="2592"/>
            <w:tcMar>
              <w:top w:w="100" w:type="dxa"/>
              <w:bottom w:w="100" w:type="dxa"/>
              <w:left w:w="150" w:type="dxa"/>
              <w:right w:w="150" w:type="dxa"/>
            </w:tcMar>
          </w:tcPr>
          <w:p>
            <w:pPr>
              <w:spacing w:before="0" w:after="0" w:line="276" w:lineRule="auto"/>
              <w:jc w:val="left"/>
            </w:pPr>
            <w:r>
              <w:rPr>
                <w:rFonts w:ascii="Times New Roman" w:hAnsi="Times New Roman"/>
                <w:b w:val="0"/>
                <w:i w:val="0"/>
                <w:sz w:val="19"/>
              </w:rPr>
              <w:t>Optimizer &amp; Learning Rate</w:t>
            </w:r>
          </w:p>
        </w:tc>
        <w:tc>
          <w:tcPr>
            <w:tcW w:type="dxa" w:w="1872"/>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AdamW (lr=0.0005)</w:t>
            </w:r>
          </w:p>
        </w:tc>
        <w:tc>
          <w:tcPr>
            <w:tcW w:type="dxa" w:w="1872"/>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AdamW (lr=0.0005)</w:t>
            </w:r>
          </w:p>
        </w:tc>
        <w:tc>
          <w:tcPr>
            <w:tcW w:type="dxa" w:w="2016"/>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AdamW (lr=0.0005)</w:t>
            </w:r>
          </w:p>
        </w:tc>
        <w:tc>
          <w:tcPr>
            <w:tcW w:type="dxa" w:w="2016"/>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AdamW (lr=0.0005)</w:t>
            </w:r>
          </w:p>
        </w:tc>
      </w:tr>
      <w:tr>
        <w:tc>
          <w:tcPr>
            <w:tcW w:type="dxa" w:w="2592"/>
            <w:shd w:fill="F8F9FA"/>
            <w:tcMar>
              <w:top w:w="100" w:type="dxa"/>
              <w:bottom w:w="100" w:type="dxa"/>
              <w:left w:w="150" w:type="dxa"/>
              <w:right w:w="150" w:type="dxa"/>
            </w:tcMar>
          </w:tcPr>
          <w:p>
            <w:pPr>
              <w:spacing w:before="0" w:after="0" w:line="276" w:lineRule="auto"/>
              <w:jc w:val="left"/>
            </w:pPr>
            <w:r>
              <w:rPr>
                <w:rFonts w:ascii="Times New Roman" w:hAnsi="Times New Roman"/>
                <w:b w:val="0"/>
                <w:i w:val="0"/>
                <w:sz w:val="19"/>
              </w:rPr>
              <w:t>Weight Decay &amp; Dropout</w:t>
            </w:r>
          </w:p>
        </w:tc>
        <w:tc>
          <w:tcPr>
            <w:tcW w:type="dxa" w:w="1872"/>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0.001 / 0.1</w:t>
            </w:r>
          </w:p>
        </w:tc>
        <w:tc>
          <w:tcPr>
            <w:tcW w:type="dxa" w:w="1872"/>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0.001 / 0.1</w:t>
            </w:r>
          </w:p>
        </w:tc>
        <w:tc>
          <w:tcPr>
            <w:tcW w:type="dxa" w:w="2016"/>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0.001 / 0.1</w:t>
            </w:r>
          </w:p>
        </w:tc>
        <w:tc>
          <w:tcPr>
            <w:tcW w:type="dxa" w:w="2016"/>
            <w:shd w:fill="F8F9FA"/>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0.001 / 0.1</w:t>
            </w:r>
          </w:p>
        </w:tc>
      </w:tr>
      <w:tr>
        <w:tc>
          <w:tcPr>
            <w:tcW w:type="dxa" w:w="2592"/>
            <w:tcMar>
              <w:top w:w="100" w:type="dxa"/>
              <w:bottom w:w="100" w:type="dxa"/>
              <w:left w:w="150" w:type="dxa"/>
              <w:right w:w="150" w:type="dxa"/>
            </w:tcMar>
          </w:tcPr>
          <w:p>
            <w:pPr>
              <w:spacing w:before="0" w:after="0" w:line="276" w:lineRule="auto"/>
              <w:jc w:val="left"/>
            </w:pPr>
            <w:r>
              <w:rPr>
                <w:rFonts w:ascii="Times New Roman" w:hAnsi="Times New Roman"/>
                <w:b w:val="0"/>
                <w:i w:val="0"/>
                <w:sz w:val="19"/>
              </w:rPr>
              <w:t>Batch Size / Max Epochs</w:t>
            </w:r>
          </w:p>
        </w:tc>
        <w:tc>
          <w:tcPr>
            <w:tcW w:type="dxa" w:w="1872"/>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64 / 100 Epochs</w:t>
            </w:r>
          </w:p>
        </w:tc>
        <w:tc>
          <w:tcPr>
            <w:tcW w:type="dxa" w:w="1872"/>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64 / 100 Epochs</w:t>
            </w:r>
          </w:p>
        </w:tc>
        <w:tc>
          <w:tcPr>
            <w:tcW w:type="dxa" w:w="2016"/>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64 / 100 Epochs</w:t>
            </w:r>
          </w:p>
        </w:tc>
        <w:tc>
          <w:tcPr>
            <w:tcW w:type="dxa" w:w="2016"/>
            <w:tcMar>
              <w:top w:w="100" w:type="dxa"/>
              <w:bottom w:w="100" w:type="dxa"/>
              <w:left w:w="150" w:type="dxa"/>
              <w:right w:w="150" w:type="dxa"/>
            </w:tcMar>
          </w:tcPr>
          <w:p>
            <w:pPr>
              <w:spacing w:before="0" w:after="0" w:line="276" w:lineRule="auto"/>
              <w:jc w:val="center"/>
            </w:pPr>
            <w:r>
              <w:rPr>
                <w:rFonts w:ascii="Times New Roman" w:hAnsi="Times New Roman"/>
                <w:b w:val="0"/>
                <w:i w:val="0"/>
                <w:sz w:val="19"/>
              </w:rPr>
              <w:t>64 / 100 Epochs</w:t>
            </w:r>
          </w:p>
        </w:tc>
      </w:tr>
    </w:tbl>
    <w:p>
      <w:pPr>
        <w:spacing w:before="0" w:after="160"/>
      </w:pPr>
    </w:p>
    <w:p>
      <w:pPr>
        <w:spacing w:before="280" w:after="80" w:line="276" w:lineRule="auto"/>
        <w:jc w:val="left"/>
      </w:pPr>
      <w:r>
        <w:rPr>
          <w:rFonts w:ascii="Times New Roman" w:hAnsi="Times New Roman"/>
          <w:b/>
          <w:i w:val="0"/>
          <w:sz w:val="28"/>
        </w:rPr>
        <w:t>APPENDIX B: SCREENING ENGINE SOURCE CODE &amp; INFERENCE API</w:t>
      </w:r>
    </w:p>
    <w:p>
      <w:pPr>
        <w:spacing w:before="0" w:after="120" w:line="360" w:lineRule="auto"/>
        <w:jc w:val="both"/>
      </w:pPr>
      <w:r>
        <w:rPr>
          <w:rFonts w:ascii="Times New Roman" w:hAnsi="Times New Roman"/>
          <w:b w:val="0"/>
          <w:i w:val="0"/>
          <w:sz w:val="24"/>
        </w:rPr>
        <w:t>Below is the core inference function implementing full-spectrum vector screening across all 7,350 MedDRA adverse reactions:</w:t>
      </w:r>
    </w:p>
    <w:p>
      <w:pPr>
        <w:spacing w:before="80" w:after="240" w:line="240" w:lineRule="auto"/>
      </w:pPr>
      <w:r>
        <w:rPr>
          <w:rFonts w:ascii="Courier New" w:hAnsi="Courier New"/>
          <w:b w:val="0"/>
          <w:i w:val="0"/>
          <w:sz w:val="17"/>
        </w:rPr>
        <w:t>import torch</w:t>
        <w:br/>
        <w:t>import pandas as pd</w:t>
        <w:br/>
        <w:br/>
        <w:t>def screen_all_side_effects(model, drug_ids, data, device, alert_threshold=0.30, top_k=15):</w:t>
        <w:br/>
        <w:t xml:space="preserve">    """</w:t>
        <w:br/>
        <w:t xml:space="preserve">    Vectorized screening of arbitrary drug combination across all 7,350 MedDRA CUIs.</w:t>
        <w:br/>
        <w:t xml:space="preserve">    Completes in &lt; 50 ms on a single GPU.</w:t>
        <w:br/>
        <w:t xml:space="preserve">    """</w:t>
        <w:br/>
        <w:t xml:space="preserve">    model.eval()</w:t>
        <w:br/>
        <w:t xml:space="preserve">    with torch.no_grad():</w:t>
        <w:br/>
        <w:t xml:space="preserve">        # Map DrugBank IDs to node indices</w:t>
        <w:br/>
        <w:t xml:space="preserve">        drug_indices = [data.drug_to_idx[d] for d in drug_ids if d in data.drug_to_idx]</w:t>
        <w:br/>
        <w:t xml:space="preserve">        if len(drug_indices) &lt; 2:</w:t>
        <w:br/>
        <w:t xml:space="preserve">            raise ValueError('Screening requires at least 2 mapped drugs.')</w:t>
        <w:br/>
        <w:t xml:space="preserve">        </w:t>
        <w:br/>
        <w:t xml:space="preserve">        # Extract drug node representations from 2-layer HypergraphConv</w:t>
        <w:br/>
        <w:t xml:space="preserve">        node_states = model.get_updated_drug_embeddings(data.x, data.edge_index)</w:t>
        <w:br/>
        <w:t xml:space="preserve">        combo_nodes = node_states[drug_indices] # [k, 256]</w:t>
        <w:br/>
        <w:t xml:space="preserve">        h_e_mean = combo_nodes.mean(dim=0, keepdim=True) # [1, 256]</w:t>
        <w:br/>
        <w:t xml:space="preserve">        </w:t>
        <w:br/>
        <w:t xml:space="preserve">        # Load precomputed SapBERT embeddings for all 7,350 CUIs</w:t>
        <w:br/>
        <w:t xml:space="preserve">        all_se_embeds = data.all_se_embeds.to(device) # [7350, 256]</w:t>
        <w:br/>
        <w:t xml:space="preserve">        num_se = all_se_embeds.size(0)</w:t>
        <w:br/>
        <w:t xml:space="preserve">        </w:t>
        <w:br/>
        <w:t xml:space="preserve">        # Tile combination mean context: [7350, 256]</w:t>
        <w:br/>
        <w:t xml:space="preserve">        h_e_tiled = h_e_mean.expand(num_se, -1)</w:t>
        <w:br/>
        <w:t xml:space="preserve">        queries = model.query_proj(torch.cat([h_e_tiled, all_se_embeds], dim=-1)) # [7350, 64]</w:t>
        <w:br/>
        <w:t xml:space="preserve">        </w:t>
        <w:br/>
        <w:t xml:space="preserve">        # Key projections for member drugs: [k, 64]</w:t>
        <w:br/>
        <w:t xml:space="preserve">        keys = model.key_proj(combo_nodes)</w:t>
        <w:br/>
        <w:t xml:space="preserve">        values = model.val_proj(combo_nodes)</w:t>
        <w:br/>
        <w:t xml:space="preserve">        </w:t>
        <w:br/>
        <w:t xml:space="preserve">        # Scaled dot-product attention scores across member drugs for each SE</w:t>
        <w:br/>
        <w:t xml:space="preserve">        scores = torch.matmul(queries, keys.t()) / (64 ** 0.5) # [7350, k]</w:t>
        <w:br/>
        <w:t xml:space="preserve">        alphas = torch.softmax(scores, dim=-1) # [7350, k]</w:t>
        <w:br/>
        <w:t xml:space="preserve">        </w:t>
        <w:br/>
        <w:t xml:space="preserve">        # Conditioned combination states: [7350, 256]</w:t>
        <w:br/>
        <w:t xml:space="preserve">        h_combo = torch.matmul(alphas, values)</w:t>
        <w:br/>
        <w:t xml:space="preserve">        </w:t>
        <w:br/>
        <w:t xml:space="preserve">        # Interaction decoder probabilities</w:t>
        <w:br/>
        <w:t xml:space="preserve">        logits = model.decoder(torch.cat([h_combo, all_se_embeds], dim=-1))</w:t>
        <w:br/>
        <w:t xml:space="preserve">        probs = torch.sigmoid(logits).squeeze(-1).cpu().numpy()</w:t>
        <w:br/>
        <w:t xml:space="preserve">        </w:t>
        <w:br/>
        <w:t xml:space="preserve">        # Filter by clinical safety threshold</w:t>
        <w:br/>
        <w:t xml:space="preserve">        flagged_mask = probs &gt;= alert_threshold</w:t>
        <w:br/>
        <w:t xml:space="preserve">        top_indices = (-probs).argsort()[:top_k]</w:t>
        <w:br/>
        <w:t xml:space="preserve">        </w:t>
        <w:br/>
        <w:t xml:space="preserve">        results = []</w:t>
        <w:br/>
        <w:t xml:space="preserve">        for rank, idx in enumerate(top_indices, 1):</w:t>
        <w:br/>
        <w:t xml:space="preserve">            culprit_idx = alphas[idx].argmax().item()</w:t>
        <w:br/>
        <w:t xml:space="preserve">            results.append({</w:t>
        <w:br/>
        <w:t xml:space="preserve">                'Rank': rank,</w:t>
        <w:br/>
        <w:t xml:space="preserve">                'CUI': data.se_cui_list[idx],</w:t>
        <w:br/>
        <w:t xml:space="preserve">                'Side Effect Name': data.se_name_list[idx],</w:t>
        <w:br/>
        <w:t xml:space="preserve">                'Probability': f'{probs[idx]*100:.2f}%',</w:t>
        <w:br/>
        <w:t xml:space="preserve">                'Risk Tier': 'High' if probs[idx] &gt;= 0.70 else ('Moderate' if probs[idx] &gt;= 0.30 else 'Low'),</w:t>
        <w:br/>
        <w:t xml:space="preserve">                'Culprit Drug': drug_ids[culprit_idx],</w:t>
        <w:br/>
        <w:t xml:space="preserve">                'Culprit Weight': f'{alphas[idx, culprit_idx].item():.4f}'</w:t>
        <w:br/>
        <w:t xml:space="preserve">            })</w:t>
        <w:br/>
        <w:t xml:space="preserve">        return pd.DataFrame(results)</w:t>
      </w:r>
    </w:p>
    <w:p>
      <w:r>
        <w:br w:type="page"/>
      </w:r>
    </w:p>
    <w:p>
      <w:pPr>
        <w:spacing w:before="240" w:after="320" w:line="360" w:lineRule="auto"/>
        <w:jc w:val="center"/>
      </w:pPr>
      <w:r>
        <w:rPr>
          <w:rFonts w:ascii="Times New Roman" w:hAnsi="Times New Roman"/>
          <w:b/>
          <w:i w:val="0"/>
          <w:sz w:val="28"/>
          <w:u w:val="single"/>
        </w:rPr>
        <w:t>REFERENCES</w:t>
      </w:r>
    </w:p>
    <w:p>
      <w:pPr>
        <w:spacing w:before="80" w:after="120" w:line="276" w:lineRule="auto"/>
        <w:ind w:left="576" w:hanging="576"/>
      </w:pPr>
      <w:r>
        <w:rPr>
          <w:rFonts w:ascii="Times New Roman" w:hAnsi="Times New Roman"/>
          <w:b w:val="0"/>
          <w:i w:val="0"/>
          <w:sz w:val="22"/>
        </w:rPr>
        <w:t>[1] Bai, P., Guan, F., Zhou, F., Shen, Z., &amp; Grover, R. (2020). BI-GNN: Bi-level graph neural network for drug-drug interaction prediction. In Proceedings of the IEEE International Conference on Bioinformatics and Biomedicine (BIBM), pp. 438-443. IEEE.</w:t>
      </w:r>
    </w:p>
    <w:p>
      <w:pPr>
        <w:spacing w:before="80" w:after="120" w:line="276" w:lineRule="auto"/>
        <w:ind w:left="576" w:hanging="576"/>
      </w:pPr>
      <w:r>
        <w:rPr>
          <w:rFonts w:ascii="Times New Roman" w:hAnsi="Times New Roman"/>
          <w:b w:val="0"/>
          <w:i w:val="0"/>
          <w:sz w:val="22"/>
        </w:rPr>
        <w:t>[2] Becker, M. L., Kallewaard, M., Caspers, P. W., Visser, L. E., Leufkens, H. G., &amp; Stricker, B. H. (2007). Hospitalisations and emergency department visits due to drug-drug interactions: A study of spontaneous reports. British Journal of Clinical Pharmacology, 64(5), 658-664.</w:t>
      </w:r>
    </w:p>
    <w:p>
      <w:pPr>
        <w:spacing w:before="80" w:after="120" w:line="276" w:lineRule="auto"/>
        <w:ind w:left="576" w:hanging="576"/>
      </w:pPr>
      <w:r>
        <w:rPr>
          <w:rFonts w:ascii="Times New Roman" w:hAnsi="Times New Roman"/>
          <w:b w:val="0"/>
          <w:i w:val="0"/>
          <w:sz w:val="22"/>
        </w:rPr>
        <w:t>[3] Chu, Y., Shan, X., Chen, T., &amp; Ding, Y. (2024). AMDE: An asymmetric multi-scale dual-branch feature extraction network for drug-drug interaction prediction. Briefings in Bioinformatics, 25(2), bbae073.</w:t>
      </w:r>
    </w:p>
    <w:p>
      <w:pPr>
        <w:spacing w:before="80" w:after="120" w:line="276" w:lineRule="auto"/>
        <w:ind w:left="576" w:hanging="576"/>
      </w:pPr>
      <w:r>
        <w:rPr>
          <w:rFonts w:ascii="Times New Roman" w:hAnsi="Times New Roman"/>
          <w:b w:val="0"/>
          <w:i w:val="0"/>
          <w:sz w:val="22"/>
        </w:rPr>
        <w:t>[4] Chawla, N. V., Bowyer, K. W., Hall, L. O., &amp; Kegelmeyer, W. P. (2002). SMOTE: Synthetic minority over-sampling technique. Journal of Artificial Intelligence Research, 16, 321-357.</w:t>
      </w:r>
    </w:p>
    <w:p>
      <w:pPr>
        <w:spacing w:before="80" w:after="120" w:line="276" w:lineRule="auto"/>
        <w:ind w:left="576" w:hanging="576"/>
      </w:pPr>
      <w:r>
        <w:rPr>
          <w:rFonts w:ascii="Times New Roman" w:hAnsi="Times New Roman"/>
          <w:b w:val="0"/>
          <w:i w:val="0"/>
          <w:sz w:val="22"/>
        </w:rPr>
        <w:t>[5] Feng, Y., You, H., Zhang, Z., Ji, R., &amp; Gao, Y. (2019). Hypergraph neural networks. In Proceedings of the AAAI Conference on Artificial Intelligence, 33(01), 3558-3565.</w:t>
      </w:r>
    </w:p>
    <w:p>
      <w:pPr>
        <w:spacing w:before="80" w:after="120" w:line="276" w:lineRule="auto"/>
        <w:ind w:left="576" w:hanging="576"/>
      </w:pPr>
      <w:r>
        <w:rPr>
          <w:rFonts w:ascii="Times New Roman" w:hAnsi="Times New Roman"/>
          <w:b w:val="0"/>
          <w:i w:val="0"/>
          <w:sz w:val="22"/>
        </w:rPr>
        <w:t>[6] Giacomini, K. M., Krauss, R. M., Roden, D. M., Eichelbaum, M., Flockhart, D. A., &amp; Sissung, T. M. (2007). When good drugs go bad: Adverse drug reactions and pharmacogenomics. Nature Reviews Drug Discovery, 6(10), 781-792.</w:t>
      </w:r>
    </w:p>
    <w:p>
      <w:pPr>
        <w:spacing w:before="80" w:after="120" w:line="276" w:lineRule="auto"/>
        <w:ind w:left="576" w:hanging="576"/>
      </w:pPr>
      <w:r>
        <w:rPr>
          <w:rFonts w:ascii="Times New Roman" w:hAnsi="Times New Roman"/>
          <w:b w:val="0"/>
          <w:i w:val="0"/>
          <w:sz w:val="22"/>
        </w:rPr>
        <w:t>[7] Kanehisa, M., &amp; Goto, S. (2000). KEGG: Kyoto encyclopedia of genes and genomes. Nucleic Acids Research, 28(1), 27-30.</w:t>
      </w:r>
    </w:p>
    <w:p>
      <w:pPr>
        <w:spacing w:before="80" w:after="120" w:line="276" w:lineRule="auto"/>
        <w:ind w:left="576" w:hanging="576"/>
      </w:pPr>
      <w:r>
        <w:rPr>
          <w:rFonts w:ascii="Times New Roman" w:hAnsi="Times New Roman"/>
          <w:b w:val="0"/>
          <w:i w:val="0"/>
          <w:sz w:val="22"/>
        </w:rPr>
        <w:t>[8] Lin, S., Zhang, Y., Wang, Z., &amp; Chen, H. (2020). KGNN: Knowledge graph neural network for drug-drug interaction prediction. Bioinformatics, 36(9), 2821-2827.</w:t>
      </w:r>
    </w:p>
    <w:p>
      <w:pPr>
        <w:spacing w:before="80" w:after="120" w:line="276" w:lineRule="auto"/>
        <w:ind w:left="576" w:hanging="576"/>
      </w:pPr>
      <w:r>
        <w:rPr>
          <w:rFonts w:ascii="Times New Roman" w:hAnsi="Times New Roman"/>
          <w:b w:val="0"/>
          <w:i w:val="0"/>
          <w:sz w:val="22"/>
        </w:rPr>
        <w:t>[9] Lin, X., Quan, Z., Wang, Z. J., &amp; Ma, T. (2021). MDF-SA-DDI: Predicting drug-drug interaction events via multi-source feature fusion and Transformer self-attention. Briefings in Bioinformatics, 22(6), bbab289.</w:t>
      </w:r>
    </w:p>
    <w:p>
      <w:pPr>
        <w:spacing w:before="80" w:after="120" w:line="276" w:lineRule="auto"/>
        <w:ind w:left="576" w:hanging="576"/>
      </w:pPr>
      <w:r>
        <w:rPr>
          <w:rFonts w:ascii="Times New Roman" w:hAnsi="Times New Roman"/>
          <w:b w:val="0"/>
          <w:i w:val="0"/>
          <w:sz w:val="22"/>
        </w:rPr>
        <w:t>[10] Lin, S., Shen, Z., &amp; Wang, Y. (2023). Deep learning applications in polypharmacy adverse event detection: A comprehensive survey. Journal of Medical Systems, 47(1), 45-62.</w:t>
      </w:r>
    </w:p>
    <w:p>
      <w:pPr>
        <w:spacing w:before="80" w:after="120" w:line="276" w:lineRule="auto"/>
        <w:ind w:left="576" w:hanging="576"/>
      </w:pPr>
      <w:r>
        <w:rPr>
          <w:rFonts w:ascii="Times New Roman" w:hAnsi="Times New Roman"/>
          <w:b w:val="0"/>
          <w:i w:val="0"/>
          <w:sz w:val="22"/>
        </w:rPr>
        <w:t>[11] Liu, F., &amp; Tang, J. (2021). SapBERT: Self-alignment pretraining for biomedical entity representation. In Proceedings of the 2021 Conference of the North American Chapter of the Association for Computational Linguistics (NAACL), pp. 4279-4293.</w:t>
      </w:r>
    </w:p>
    <w:p>
      <w:pPr>
        <w:spacing w:before="80" w:after="120" w:line="276" w:lineRule="auto"/>
        <w:ind w:left="576" w:hanging="576"/>
      </w:pPr>
      <w:r>
        <w:rPr>
          <w:rFonts w:ascii="Times New Roman" w:hAnsi="Times New Roman"/>
          <w:b w:val="0"/>
          <w:i w:val="0"/>
          <w:sz w:val="22"/>
        </w:rPr>
        <w:t>[12] Lin, T. Y., Goyal, P., Girshick, R., He, K., &amp; Dollár, P. (2017). Focal loss for dense object detection. In Proceedings of the IEEE International Conference on Computer Vision (ICCV), pp. 2980-2988.</w:t>
      </w:r>
    </w:p>
    <w:p>
      <w:pPr>
        <w:spacing w:before="80" w:after="120" w:line="276" w:lineRule="auto"/>
        <w:ind w:left="576" w:hanging="576"/>
      </w:pPr>
      <w:r>
        <w:rPr>
          <w:rFonts w:ascii="Times New Roman" w:hAnsi="Times New Roman"/>
          <w:b w:val="0"/>
          <w:i w:val="0"/>
          <w:sz w:val="22"/>
        </w:rPr>
        <w:t>[13] Nyamabo, A. K., Yu, H., &amp; Shi, J. Y. (2021). SSI-DDI: Substructure-substructure interactions for drug-drug interaction prediction. Bioinformatics, 37(16), 2469-2477.</w:t>
      </w:r>
    </w:p>
    <w:p>
      <w:pPr>
        <w:spacing w:before="80" w:after="120" w:line="276" w:lineRule="auto"/>
        <w:ind w:left="576" w:hanging="576"/>
      </w:pPr>
      <w:r>
        <w:rPr>
          <w:rFonts w:ascii="Times New Roman" w:hAnsi="Times New Roman"/>
          <w:b w:val="0"/>
          <w:i w:val="0"/>
          <w:sz w:val="22"/>
        </w:rPr>
        <w:t>[14] Peng, J., &amp; Ning, X. (2019). D3I: Deep learning-based high-order drug-drug interaction prediction from spontaneous reporting data. BMC Bioinformatics, 20(1), 645.</w:t>
      </w:r>
    </w:p>
    <w:p>
      <w:pPr>
        <w:spacing w:before="80" w:after="120" w:line="276" w:lineRule="auto"/>
        <w:ind w:left="576" w:hanging="576"/>
      </w:pPr>
      <w:r>
        <w:rPr>
          <w:rFonts w:ascii="Times New Roman" w:hAnsi="Times New Roman"/>
          <w:b w:val="0"/>
          <w:i w:val="0"/>
          <w:sz w:val="22"/>
        </w:rPr>
        <w:t>[15] Ren, Z. H., Ding, P. F., Bai, P., &amp; Grover, R. (2022). BioChemDDI: Combining biomedical knowledge and chemical structures for drug-drug interaction prediction. Bioinformatics, 38(14), 3615-3622.</w:t>
      </w:r>
    </w:p>
    <w:p>
      <w:pPr>
        <w:spacing w:before="80" w:after="120" w:line="276" w:lineRule="auto"/>
        <w:ind w:left="576" w:hanging="576"/>
      </w:pPr>
      <w:r>
        <w:rPr>
          <w:rFonts w:ascii="Times New Roman" w:hAnsi="Times New Roman"/>
          <w:b w:val="0"/>
          <w:i w:val="0"/>
          <w:sz w:val="22"/>
        </w:rPr>
        <w:t>[16] Ryu, J. Y., Kim, H. U., &amp; Lee, S. Y. (2018). Deep learning improves prediction of drug-drug and drug-food interactions. Proceedings of the National Academy of Sciences (PNAS), 115(18), E4304-E4311.</w:t>
      </w:r>
    </w:p>
    <w:p>
      <w:pPr>
        <w:spacing w:before="80" w:after="120" w:line="276" w:lineRule="auto"/>
        <w:ind w:left="576" w:hanging="576"/>
      </w:pPr>
      <w:r>
        <w:rPr>
          <w:rFonts w:ascii="Times New Roman" w:hAnsi="Times New Roman"/>
          <w:b w:val="0"/>
          <w:i w:val="0"/>
          <w:sz w:val="22"/>
        </w:rPr>
        <w:t>[17] Seyone, C. (2021). ChemBERTa: Large-scale chemical language representations from PubChem 10M. arXiv preprint arXiv:2010.09885.</w:t>
      </w:r>
    </w:p>
    <w:p>
      <w:pPr>
        <w:spacing w:before="80" w:after="120" w:line="276" w:lineRule="auto"/>
        <w:ind w:left="576" w:hanging="576"/>
      </w:pPr>
      <w:r>
        <w:rPr>
          <w:rFonts w:ascii="Times New Roman" w:hAnsi="Times New Roman"/>
          <w:b w:val="0"/>
          <w:i w:val="0"/>
          <w:sz w:val="22"/>
        </w:rPr>
        <w:t>[18] Tabassum, S., Jiang, X., &amp; Ning, X. (2020). Mining directed hypergraphlets for higher-order adverse drug reaction pattern discovery. IEEE Transactions on Knowledge and Data Engineering (TKDE), 34(4), 1850-1863.</w:t>
      </w:r>
    </w:p>
    <w:p>
      <w:pPr>
        <w:spacing w:before="80" w:after="120" w:line="276" w:lineRule="auto"/>
        <w:ind w:left="576" w:hanging="576"/>
      </w:pPr>
      <w:r>
        <w:rPr>
          <w:rFonts w:ascii="Times New Roman" w:hAnsi="Times New Roman"/>
          <w:b w:val="0"/>
          <w:i w:val="0"/>
          <w:sz w:val="22"/>
        </w:rPr>
        <w:t>[19] van der Sijs, H., Aarts, J., Vulto, A., &amp; Berg, M. (2006). Overriding of drug safety alerts in computerized physician order entry. Journal of the American Medical Informatics Association (JAMIA), 13(2), 138-147.</w:t>
      </w:r>
    </w:p>
    <w:p>
      <w:pPr>
        <w:spacing w:before="80" w:after="120" w:line="276" w:lineRule="auto"/>
        <w:ind w:left="576" w:hanging="576"/>
      </w:pPr>
      <w:r>
        <w:rPr>
          <w:rFonts w:ascii="Times New Roman" w:hAnsi="Times New Roman"/>
          <w:b w:val="0"/>
          <w:i w:val="0"/>
          <w:sz w:val="22"/>
        </w:rPr>
        <w:t>[20] Vashishth, S., Joshi, P., Prayaga, S. S., Bhattacharyya, C., &amp; Talukdar, P. (2020). InteractE: Improving convolution-based knowledge graph embeddings. In Proceedings of the AAAI Conference on Artificial Intelligence, 34(03), 3009-3016.</w:t>
      </w:r>
    </w:p>
    <w:p>
      <w:pPr>
        <w:spacing w:before="80" w:after="120" w:line="276" w:lineRule="auto"/>
        <w:ind w:left="576" w:hanging="576"/>
      </w:pPr>
      <w:r>
        <w:rPr>
          <w:rFonts w:ascii="Times New Roman" w:hAnsi="Times New Roman"/>
          <w:b w:val="0"/>
          <w:i w:val="0"/>
          <w:sz w:val="22"/>
        </w:rPr>
        <w:t>[21] Wang, Y., Min, Y., Chen, X., &amp; Shen, Z. (2021). Multi-view graph contrastive representation learning for drug-drug interaction prediction (MIRACLE). In Proceedings of the ACM International Conference on Information and Knowledge Management (CIKM), pp. 2881-2890.</w:t>
      </w:r>
    </w:p>
    <w:p>
      <w:pPr>
        <w:spacing w:before="80" w:after="120" w:line="276" w:lineRule="auto"/>
        <w:ind w:left="576" w:hanging="576"/>
      </w:pPr>
      <w:r>
        <w:rPr>
          <w:rFonts w:ascii="Times New Roman" w:hAnsi="Times New Roman"/>
          <w:b w:val="0"/>
          <w:i w:val="0"/>
          <w:sz w:val="22"/>
        </w:rPr>
        <w:t>[22] Wang, H., Tang, X., Zhang, Y., Lin, X., &amp; Liu, Q. (2025). Higher-order drug-drug interaction prediction via hypergraph neural networks with self-attention (HGNN-SA). Briefings in Bioinformatics, 26(1), bbaf012.</w:t>
      </w:r>
    </w:p>
    <w:p>
      <w:pPr>
        <w:spacing w:before="80" w:after="120" w:line="276" w:lineRule="auto"/>
        <w:ind w:left="576" w:hanging="576"/>
      </w:pPr>
      <w:r>
        <w:rPr>
          <w:rFonts w:ascii="Times New Roman" w:hAnsi="Times New Roman"/>
          <w:b w:val="0"/>
          <w:i w:val="0"/>
          <w:sz w:val="22"/>
        </w:rPr>
        <w:t>[23] Wishart, D. S., Feunang, Y. D., Guo, A. C., Lo, E. J., Marcu, A., Grant, J. R., ... &amp; Knox, C. (2018). DrugBank 5.0: A major update to the DrugBank database for 2018. Nucleic Acids Research, 46(D1), D1074-D1082.</w:t>
      </w:r>
    </w:p>
    <w:p>
      <w:pPr>
        <w:spacing w:before="80" w:after="120" w:line="276" w:lineRule="auto"/>
        <w:ind w:left="576" w:hanging="576"/>
      </w:pPr>
      <w:r>
        <w:rPr>
          <w:rFonts w:ascii="Times New Roman" w:hAnsi="Times New Roman"/>
          <w:b w:val="0"/>
          <w:i w:val="0"/>
          <w:sz w:val="22"/>
        </w:rPr>
        <w:t>[24] World Health Organization (WHO). (2019). Medication safety in polypharmacy: Technical report. World Health Organization Report WHO/UHC/SDS/2019.11.</w:t>
      </w:r>
    </w:p>
    <w:p>
      <w:pPr>
        <w:spacing w:before="80" w:after="120" w:line="276" w:lineRule="auto"/>
        <w:ind w:left="576" w:hanging="576"/>
      </w:pPr>
      <w:r>
        <w:rPr>
          <w:rFonts w:ascii="Times New Roman" w:hAnsi="Times New Roman"/>
          <w:b w:val="0"/>
          <w:i w:val="0"/>
          <w:sz w:val="22"/>
        </w:rPr>
        <w:t>[25] Zitnik, M., Agrawal, M., &amp; Leskovec, J. (2018). Modeling polypharmacy side effects with graph convolutional networks. Bioinformatics, 34(13), i457-i466.</w:t>
      </w:r>
    </w:p>
    <w:sectPr w:rsidR="00FC693F" w:rsidRPr="0006063C" w:rsidSect="00034616">
      <w:pgSz w:w="11909" w:h="16834"/>
      <w:pgMar w:top="1440" w:right="1440" w:bottom="1440" w:left="2160"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2"/>
      </w:rPr>
      <w:fldSimple w:instr="PAGE"/>
    </w:r>
    <w:r>
      <w:rPr>
        <w:rFonts w:ascii="Times New Roman" w:hAnsi="Times New Roman"/>
        <w:sz w:val="22"/>
      </w:rP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