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4"/>
        </w:rPr>
        <w:t>COMPLETE STUDY PLAN</w:t>
      </w:r>
    </w:p>
    <w:p>
      <w:pPr>
        <w:pStyle w:val="Title"/>
        <w:jc w:val="center"/>
      </w:pPr>
      <w:r>
        <w:t>Explainable Machine Learning for Chronic Kidney Disease Classification Using NHANES 2021–2023 Data</w:t>
      </w:r>
    </w:p>
    <w:p>
      <w:pPr>
        <w:jc w:val="center"/>
      </w:pPr>
      <w:r>
        <w:t>Feature-attribution stability, missing-data sensitivity, and target-leakage-aware evaluation</w:t>
      </w:r>
    </w:p>
    <w:p/>
    <w:p>
      <w:pPr>
        <w:jc w:val="center"/>
      </w:pPr>
      <w:r>
        <w:t>A reproducible study plan using a public, processed NHANES-derived dataset</w:t>
      </w:r>
    </w:p>
    <w:p>
      <w:pPr>
        <w:jc w:val="center"/>
      </w:pPr>
      <w:r>
        <w:t>Prepared 9 October 2026</w:t>
      </w:r>
    </w:p>
    <w:p>
      <w:pPr>
        <w:pStyle w:val="Heading1"/>
      </w:pPr>
      <w:r>
        <w:t>Executive decision</w:t>
      </w:r>
    </w:p>
    <w:p>
      <w:r>
        <w:t>Study type: original experimental machine-learning study using a public, retrospective tabular dataset. The proposed differentiator is not simply training classifiers and plotting SHAP. It is to quantify how consistent SHAP feature-attribution rankings remain across resampled training folds and how explanations and performance change under a predefined missingness stress test.</w:t>
      </w:r>
    </w:p>
    <w:p>
      <w:r>
        <w:t>Proposed title: “Explainable Machine Learning for Chronic Kidney Disease Classification Using NHANES 2021–2023 Data: Feature Attribution Stability and Missing-Data Sensitivity.”</w:t>
      </w:r>
    </w:p>
    <w:p>
      <w:r>
        <w:t>Novelty caution: this is a candidate contribution, not a guarantee that the exact combination has never been published. A targeted novelty audit is mandatory before claiming novelty. The Kaggle dataset is a processed derivative of NHANES, so its target-generation code and feature definitions must be audited against the original CDC documentation. Because CKD labels may be derived from the same kidney-function measurements supplied as predictors, target leakage is a major risk. Do not claim future disease prediction, clinical readiness, or a definitive clinical diagnosis from a single cross-sectional measurement.</w:t>
      </w:r>
    </w:p>
    <w:p>
      <w:pPr>
        <w:pStyle w:val="Heading1"/>
      </w:pPr>
      <w:r>
        <w:t>Critical correction to the earlier draft</w:t>
      </w:r>
    </w:p>
    <w:p>
      <w:r>
        <w:t>Do not use the mock-data section from the earlier pasted script. It generates random synthetic records and random labels, which cannot support scientific results. Download the actual CKD-NHANES 2021–2023 CSV and verify its columns, labels, missing values, sample count, provenance, and license. Cross-check the processed variables against the original CDC/NCHS NHANES documentation before training any model.</w:t>
      </w:r>
    </w:p>
    <w:p>
      <w:pPr>
        <w:pStyle w:val="Heading1"/>
      </w:pPr>
      <w:r>
        <w:t>1. Research question and objectives</w:t>
      </w:r>
    </w:p>
    <w:p>
      <w:r>
        <w:t>Primary question: How stable are SHAP-derived feature-attribution rankings for CKD classification across resampled training data, and how does controlled additional missingness affect predictive performance and explanation stability?</w:t>
      </w:r>
    </w:p>
    <w:p>
      <w:pPr>
        <w:pStyle w:val="Heading2"/>
      </w:pPr>
      <w:r>
        <w:t>Specific research questions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20"/>
            </w:pPr>
            <w:r/>
            <w:r>
              <w:rPr>
                <w:rFonts w:ascii="Aptos" w:hAnsi="Aptos"/>
                <w:b/>
                <w:sz w:val="17"/>
              </w:rPr>
              <w:t>ID</w:t>
            </w:r>
          </w:p>
        </w:tc>
        <w:tc>
          <w:tcPr>
            <w:tcW w:type="dxa" w:w="3360"/>
            <w:vAlign w:val="center"/>
            <w:shd w:fill="D9EAF7"/>
          </w:tcPr>
          <w:p>
            <w:pPr>
              <w:spacing w:after="20"/>
            </w:pPr>
            <w:r/>
            <w:r>
              <w:rPr>
                <w:rFonts w:ascii="Aptos" w:hAnsi="Aptos"/>
                <w:b/>
                <w:sz w:val="17"/>
              </w:rPr>
              <w:t>Question</w:t>
            </w:r>
          </w:p>
        </w:tc>
        <w:tc>
          <w:tcPr>
            <w:tcW w:type="dxa" w:w="3360"/>
            <w:vAlign w:val="center"/>
            <w:shd w:fill="D9EAF7"/>
          </w:tcPr>
          <w:p>
            <w:pPr>
              <w:spacing w:after="20"/>
            </w:pPr>
            <w:r/>
            <w:r>
              <w:rPr>
                <w:rFonts w:ascii="Aptos" w:hAnsi="Aptos"/>
                <w:b/>
                <w:sz w:val="17"/>
              </w:rPr>
              <w:t>Analysis</w:t>
            </w:r>
          </w:p>
        </w:tc>
      </w:tr>
      <w:tr>
        <w:tc>
          <w:tcPr>
            <w:tcW w:type="dxa" w:w="3360"/>
            <w:vAlign w:val="center"/>
          </w:tcPr>
          <w:p>
            <w:pPr>
              <w:spacing w:after="20"/>
            </w:pPr>
            <w:r/>
            <w:r>
              <w:rPr>
                <w:rFonts w:ascii="Aptos" w:hAnsi="Aptos"/>
                <w:b w:val="0"/>
                <w:sz w:val="16"/>
              </w:rPr>
              <w:t>RQ1</w:t>
            </w:r>
          </w:p>
        </w:tc>
        <w:tc>
          <w:tcPr>
            <w:tcW w:type="dxa" w:w="3360"/>
            <w:vAlign w:val="center"/>
          </w:tcPr>
          <w:p>
            <w:pPr>
              <w:spacing w:after="20"/>
            </w:pPr>
            <w:r/>
            <w:r>
              <w:rPr>
                <w:rFonts w:ascii="Aptos" w:hAnsi="Aptos"/>
                <w:b w:val="0"/>
                <w:sz w:val="16"/>
              </w:rPr>
              <w:t>How does predictive performance vary among Logistic Regression, Random Forest, and XGBoost?</w:t>
            </w:r>
          </w:p>
        </w:tc>
        <w:tc>
          <w:tcPr>
            <w:tcW w:type="dxa" w:w="3360"/>
            <w:vAlign w:val="center"/>
          </w:tcPr>
          <w:p>
            <w:pPr>
              <w:spacing w:after="20"/>
            </w:pPr>
            <w:r/>
            <w:r>
              <w:rPr>
                <w:rFonts w:ascii="Aptos" w:hAnsi="Aptos"/>
                <w:b w:val="0"/>
                <w:sz w:val="16"/>
              </w:rPr>
              <w:t>Repeated stratified cross-validation; discrimination, classification, and calibration metrics.</w:t>
            </w:r>
          </w:p>
        </w:tc>
      </w:tr>
      <w:tr>
        <w:tc>
          <w:tcPr>
            <w:tcW w:type="dxa" w:w="3360"/>
            <w:vAlign w:val="center"/>
          </w:tcPr>
          <w:p>
            <w:pPr>
              <w:spacing w:after="20"/>
            </w:pPr>
            <w:r/>
            <w:r>
              <w:rPr>
                <w:rFonts w:ascii="Aptos" w:hAnsi="Aptos"/>
                <w:b w:val="0"/>
                <w:sz w:val="16"/>
              </w:rPr>
              <w:t>RQ2</w:t>
            </w:r>
          </w:p>
        </w:tc>
        <w:tc>
          <w:tcPr>
            <w:tcW w:type="dxa" w:w="3360"/>
            <w:vAlign w:val="center"/>
          </w:tcPr>
          <w:p>
            <w:pPr>
              <w:spacing w:after="20"/>
            </w:pPr>
            <w:r/>
            <w:r>
              <w:rPr>
                <w:rFonts w:ascii="Aptos" w:hAnsi="Aptos"/>
                <w:b w:val="0"/>
                <w:sz w:val="16"/>
              </w:rPr>
              <w:t>How consistent are SHAP feature rankings across resampled training folds?</w:t>
            </w:r>
          </w:p>
        </w:tc>
        <w:tc>
          <w:tcPr>
            <w:tcW w:type="dxa" w:w="3360"/>
            <w:vAlign w:val="center"/>
          </w:tcPr>
          <w:p>
            <w:pPr>
              <w:spacing w:after="20"/>
            </w:pPr>
            <w:r/>
            <w:r>
              <w:rPr>
                <w:rFonts w:ascii="Aptos" w:hAnsi="Aptos"/>
                <w:b w:val="0"/>
                <w:sz w:val="16"/>
              </w:rPr>
              <w:t>Spearman rank correlation; top-5/top-10 Jaccard overlap.</w:t>
            </w:r>
          </w:p>
        </w:tc>
      </w:tr>
      <w:tr>
        <w:tc>
          <w:tcPr>
            <w:tcW w:type="dxa" w:w="3360"/>
            <w:vAlign w:val="center"/>
          </w:tcPr>
          <w:p>
            <w:pPr>
              <w:spacing w:after="20"/>
            </w:pPr>
            <w:r/>
            <w:r>
              <w:rPr>
                <w:rFonts w:ascii="Aptos" w:hAnsi="Aptos"/>
                <w:b w:val="0"/>
                <w:sz w:val="16"/>
              </w:rPr>
              <w:t>RQ3</w:t>
            </w:r>
          </w:p>
        </w:tc>
        <w:tc>
          <w:tcPr>
            <w:tcW w:type="dxa" w:w="3360"/>
            <w:vAlign w:val="center"/>
          </w:tcPr>
          <w:p>
            <w:pPr>
              <w:spacing w:after="20"/>
            </w:pPr>
            <w:r/>
            <w:r>
              <w:rPr>
                <w:rFonts w:ascii="Aptos" w:hAnsi="Aptos"/>
                <w:b w:val="0"/>
                <w:sz w:val="16"/>
              </w:rPr>
              <w:t>Do different model families identify similar influential original clinical features?</w:t>
            </w:r>
          </w:p>
        </w:tc>
        <w:tc>
          <w:tcPr>
            <w:tcW w:type="dxa" w:w="3360"/>
            <w:vAlign w:val="center"/>
          </w:tcPr>
          <w:p>
            <w:pPr>
              <w:spacing w:after="20"/>
            </w:pPr>
            <w:r/>
            <w:r>
              <w:rPr>
                <w:rFonts w:ascii="Aptos" w:hAnsi="Aptos"/>
                <w:b w:val="0"/>
                <w:sz w:val="16"/>
              </w:rPr>
              <w:t>Cross-model ranking agreement after grouping one-hot encoded features.</w:t>
            </w:r>
          </w:p>
        </w:tc>
      </w:tr>
      <w:tr>
        <w:tc>
          <w:tcPr>
            <w:tcW w:type="dxa" w:w="3360"/>
            <w:vAlign w:val="center"/>
          </w:tcPr>
          <w:p>
            <w:pPr>
              <w:spacing w:after="20"/>
            </w:pPr>
            <w:r/>
            <w:r>
              <w:rPr>
                <w:rFonts w:ascii="Aptos" w:hAnsi="Aptos"/>
                <w:b w:val="0"/>
                <w:sz w:val="16"/>
              </w:rPr>
              <w:t>RQ4</w:t>
            </w:r>
          </w:p>
        </w:tc>
        <w:tc>
          <w:tcPr>
            <w:tcW w:type="dxa" w:w="3360"/>
            <w:vAlign w:val="center"/>
          </w:tcPr>
          <w:p>
            <w:pPr>
              <w:spacing w:after="20"/>
            </w:pPr>
            <w:r/>
            <w:r>
              <w:rPr>
                <w:rFonts w:ascii="Aptos" w:hAnsi="Aptos"/>
                <w:b w:val="0"/>
                <w:sz w:val="16"/>
              </w:rPr>
              <w:t>How does controlled additional missingness affect performance and SHAP explanations?</w:t>
            </w:r>
          </w:p>
        </w:tc>
        <w:tc>
          <w:tcPr>
            <w:tcW w:type="dxa" w:w="3360"/>
            <w:vAlign w:val="center"/>
          </w:tcPr>
          <w:p>
            <w:pPr>
              <w:spacing w:after="20"/>
            </w:pPr>
            <w:r/>
            <w:r>
              <w:rPr>
                <w:rFonts w:ascii="Aptos" w:hAnsi="Aptos"/>
                <w:b w:val="0"/>
                <w:sz w:val="16"/>
              </w:rPr>
              <w:t>10% and 20% masking scenarios on held-out fold inputs, repeated with fixed seeds.</w:t>
            </w:r>
          </w:p>
        </w:tc>
      </w:tr>
    </w:tbl>
    <w:p/>
    <w:p>
      <w:pPr>
        <w:pStyle w:val="Heading2"/>
      </w:pPr>
      <w:r>
        <w:t>Objectives</w:t>
      </w:r>
    </w:p>
    <w:p>
      <w:pPr>
        <w:pStyle w:val="ListBullet"/>
        <w:spacing w:after="40"/>
      </w:pPr>
      <w:r>
        <w:t>Audit and document the public dataset, its target definition, feature types, and missingness.</w:t>
      </w:r>
    </w:p>
    <w:p>
      <w:pPr>
        <w:pStyle w:val="ListBullet"/>
        <w:spacing w:after="40"/>
      </w:pPr>
      <w:r>
        <w:t>Compare three prespecified classification models using a common, leakage-resistant pipeline.</w:t>
      </w:r>
    </w:p>
    <w:p>
      <w:pPr>
        <w:pStyle w:val="ListBullet"/>
        <w:spacing w:after="40"/>
      </w:pPr>
      <w:r>
        <w:t>Report performance across repeated stratified cross-validation rather than relying on one favorable split.</w:t>
      </w:r>
    </w:p>
    <w:p>
      <w:pPr>
        <w:pStyle w:val="ListBullet"/>
        <w:spacing w:after="40"/>
      </w:pPr>
      <w:r>
        <w:t>Use SHAP for global and local explanations of held-out predictions.</w:t>
      </w:r>
    </w:p>
    <w:p>
      <w:pPr>
        <w:pStyle w:val="ListBullet"/>
        <w:spacing w:after="40"/>
      </w:pPr>
      <w:r>
        <w:t>Quantify explanation stability across folds and model families.</w:t>
      </w:r>
    </w:p>
    <w:p>
      <w:pPr>
        <w:pStyle w:val="ListBullet"/>
        <w:spacing w:after="40"/>
      </w:pPr>
      <w:r>
        <w:t>Run a controlled missingness sensitivity experiment and document limitations.</w:t>
      </w:r>
    </w:p>
    <w:p>
      <w:pPr>
        <w:pStyle w:val="Heading1"/>
      </w:pPr>
      <w:r>
        <w:t>2. Dataset choice and acceptance criteria</w:t>
      </w:r>
    </w:p>
    <w:p>
      <w:r>
        <w:t>Primary candidate dataset: “CKD-NHANES 2021–2023: Staged Kidney Disease,” published on Kaggle by the dataset creator (https://www.kaggle.com/datasets/alitaqishah/ckd-nhanes-2021-2023-staged-kidney-disease). The dataset listing describes approximately 12,000 participants, 36 demographic, clinical, and lifestyle features, and targets named ckd_present and ckd_stage. It also describes eGFR calculation using the 2021 CKD-EPI equation and staging based on KDIGO 2024. Treat these as creator-reported details until verified against the downloaded file, code, and CDC source data. NHANES is cross-sectional; one-time measurements do not establish persistence of kidney abnormalities over time.</w:t>
      </w:r>
    </w:p>
    <w:p>
      <w:pPr>
        <w:pStyle w:val="Heading2"/>
      </w:pPr>
      <w:r>
        <w:t>Why this dataset?</w:t>
      </w:r>
    </w:p>
    <w:p>
      <w:pPr>
        <w:pStyle w:val="ListBullet"/>
        <w:spacing w:after="40"/>
      </w:pPr>
      <w:r>
        <w:t>It is larger and has a broader range of demographic, clinical, and lifestyle variables than the classic 400-record UCI CKD benchmark. The added size is useful, but it does not remove the need for target-definition, sampling, and leakage checks.</w:t>
      </w:r>
    </w:p>
    <w:p>
      <w:pPr>
        <w:pStyle w:val="ListBullet"/>
        <w:spacing w:after="40"/>
      </w:pPr>
      <w:r>
        <w:t>It supports a manageable binary classification exercise without recruiting participants or collecting new data.</w:t>
      </w:r>
    </w:p>
    <w:p>
      <w:pPr>
        <w:pStyle w:val="ListBullet"/>
        <w:spacing w:after="40"/>
      </w:pPr>
      <w:r>
        <w:t>Its key limitations are that it is a processed secondary dataset, target construction must be verified, and NHANES sampling design/weights may matter for population-level inference. The manuscript must clearly distinguish predictive modelling on this file from nationally representative prevalence estimation.</w:t>
      </w:r>
    </w:p>
    <w:p>
      <w:pPr>
        <w:pStyle w:val="Heading2"/>
      </w:pPr>
      <w:r>
        <w:t>Dataset audit before modelling</w:t>
      </w:r>
    </w:p>
    <w:p>
      <w:pPr>
        <w:pStyle w:val="ListBullet"/>
        <w:spacing w:after="40"/>
      </w:pPr>
      <w:r>
        <w:t>Record the Kaggle dataset page, creator, version/date accessed, file checksum, license/usage terms, and the corresponding official CDC/NCHS NHANES 2021–2023 source pages and files.</w:t>
      </w:r>
    </w:p>
    <w:p>
      <w:pPr>
        <w:pStyle w:val="ListBullet"/>
        <w:spacing w:after="40"/>
      </w:pPr>
      <w:r>
        <w:t>Confirm the exact feature matrix and target columns in the downloaded Kaggle file; cross-check variable names, definitions, and derivations against the official CDC/NCHS source documentation. Do not assume that the processed file preserves original NHANES variable names.</w:t>
      </w:r>
    </w:p>
    <w:p>
      <w:pPr>
        <w:pStyle w:val="ListBullet"/>
        <w:spacing w:after="40"/>
      </w:pPr>
      <w:r>
        <w:t>Normalize whitespace, tabs, and missing-value markers such as '?', empty strings, or blanks.</w:t>
      </w:r>
    </w:p>
    <w:p>
      <w:pPr>
        <w:pStyle w:val="ListBullet"/>
        <w:spacing w:after="40"/>
      </w:pPr>
      <w:r>
        <w:t>Verify target labels and class counts; document records removed only when the target is invalid or missing.</w:t>
      </w:r>
    </w:p>
    <w:p>
      <w:pPr>
        <w:pStyle w:val="ListBullet"/>
        <w:spacing w:after="40"/>
      </w:pPr>
      <w:r>
        <w:t>Report feature type, number and percentage missing per variable, duplicates, and basic descriptive statistics.</w:t>
      </w:r>
    </w:p>
    <w:p>
      <w:pPr>
        <w:pStyle w:val="ListBullet"/>
        <w:spacing w:after="40"/>
      </w:pPr>
      <w:r>
        <w:t>Investigate duplicates before deciding whether to remove them; never delete rows automatically without documenting the rationale.</w:t>
      </w:r>
    </w:p>
    <w:p>
      <w:pPr>
        <w:pStyle w:val="ListBullet"/>
        <w:spacing w:after="40"/>
      </w:pPr>
      <w:r>
        <w:t>Check for target leakage, identifiers, and variables that may directly encode the label. In particular, establish whether eGFR, serum creatinine, urine albumin, urine creatinine, UACR, or derived stage fields were used to construct ckd_present/ckd_stage. For the primary risk-factor classification analysis, exclude target-defining variables and any direct derivatives from predictors; if a separate model includes them, label it explicitly as a diagnostic-rule/proxy analysis rather than independent early prediction.</w:t>
      </w:r>
    </w:p>
    <w:p>
      <w:pPr>
        <w:pStyle w:val="ListBullet"/>
        <w:spacing w:after="40"/>
      </w:pPr>
      <w:r>
        <w:t>Do not fabricate, augment, or substitute random mock data for the real dataset.</w:t>
      </w:r>
    </w:p>
    <w:p>
      <w:pPr>
        <w:pStyle w:val="Heading1"/>
      </w:pPr>
      <w:r>
        <w:t>3. Study design and validation</w:t>
      </w:r>
    </w:p>
    <w:p>
      <w:r>
        <w:t>Primary design: repeated stratified 5-fold cross-validation with 5 repeats (25 held-out fold evaluations per model). Use fixed random seeds and identical folds across models. Predefine model settings rather than running a large hyperparameter search, and keep all model selection inside training data. The repeated folds overlap and are not 25 independent cohorts; report means and standard deviations descriptively and avoid naive significance tests that treat all folds as independent.</w:t>
      </w:r>
    </w:p>
    <w:p>
      <w:r>
        <w:t>For each fold, fit every imputer, encoder, scaler, and classifier using that fold’s training data only. Generate predictions and SHAP explanations for that fold’s held-out records. This makes the cross-validation analysis the primary estimate and provides held-out explanations for the stability analysis. A separate single 80/20 split is not required for the primary design; if one is added, it must be clearly designated as a secondary holdout experiment and not used to tune models.</w:t>
      </w:r>
    </w:p>
    <w:p>
      <w:pPr>
        <w:pStyle w:val="Heading2"/>
      </w:pPr>
      <w:r>
        <w:t>Preprocessing pipeline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20"/>
            </w:pPr>
            <w:r/>
            <w:r>
              <w:rPr>
                <w:rFonts w:ascii="Aptos" w:hAnsi="Aptos"/>
                <w:b/>
                <w:sz w:val="17"/>
              </w:rPr>
              <w:t>Feature type</w:t>
            </w:r>
          </w:p>
        </w:tc>
        <w:tc>
          <w:tcPr>
            <w:tcW w:type="dxa" w:w="3360"/>
            <w:vAlign w:val="center"/>
            <w:shd w:fill="D9EAF7"/>
          </w:tcPr>
          <w:p>
            <w:pPr>
              <w:spacing w:after="20"/>
            </w:pPr>
            <w:r/>
            <w:r>
              <w:rPr>
                <w:rFonts w:ascii="Aptos" w:hAnsi="Aptos"/>
                <w:b/>
                <w:sz w:val="17"/>
              </w:rPr>
              <w:t>Preprocessing</w:t>
            </w:r>
          </w:p>
        </w:tc>
        <w:tc>
          <w:tcPr>
            <w:tcW w:type="dxa" w:w="3360"/>
            <w:vAlign w:val="center"/>
            <w:shd w:fill="D9EAF7"/>
          </w:tcPr>
          <w:p>
            <w:pPr>
              <w:spacing w:after="20"/>
            </w:pPr>
            <w:r/>
            <w:r>
              <w:rPr>
                <w:rFonts w:ascii="Aptos" w:hAnsi="Aptos"/>
                <w:b/>
                <w:sz w:val="17"/>
              </w:rPr>
              <w:t>Leakage safeguard</w:t>
            </w:r>
          </w:p>
        </w:tc>
      </w:tr>
      <w:tr>
        <w:tc>
          <w:tcPr>
            <w:tcW w:type="dxa" w:w="3360"/>
            <w:vAlign w:val="center"/>
          </w:tcPr>
          <w:p>
            <w:pPr>
              <w:spacing w:after="20"/>
            </w:pPr>
            <w:r/>
            <w:r>
              <w:rPr>
                <w:rFonts w:ascii="Aptos" w:hAnsi="Aptos"/>
                <w:b w:val="0"/>
                <w:sz w:val="16"/>
              </w:rPr>
              <w:t>Numeric</w:t>
            </w:r>
          </w:p>
        </w:tc>
        <w:tc>
          <w:tcPr>
            <w:tcW w:type="dxa" w:w="3360"/>
            <w:vAlign w:val="center"/>
          </w:tcPr>
          <w:p>
            <w:pPr>
              <w:spacing w:after="20"/>
            </w:pPr>
            <w:r/>
            <w:r>
              <w:rPr>
                <w:rFonts w:ascii="Aptos" w:hAnsi="Aptos"/>
                <w:b w:val="0"/>
                <w:sz w:val="16"/>
              </w:rPr>
              <w:t>Median imputation; StandardScaler for Logistic Regression. Tree models do not require scaling, but a shared preprocessing design may retain it if applied consistently.</w:t>
            </w:r>
          </w:p>
        </w:tc>
        <w:tc>
          <w:tcPr>
            <w:tcW w:type="dxa" w:w="3360"/>
            <w:vAlign w:val="center"/>
          </w:tcPr>
          <w:p>
            <w:pPr>
              <w:spacing w:after="20"/>
            </w:pPr>
            <w:r/>
            <w:r>
              <w:rPr>
                <w:rFonts w:ascii="Aptos" w:hAnsi="Aptos"/>
                <w:b w:val="0"/>
                <w:sz w:val="16"/>
              </w:rPr>
              <w:t>Fit imputer/scaler within each training fold.</w:t>
            </w:r>
          </w:p>
        </w:tc>
      </w:tr>
      <w:tr>
        <w:tc>
          <w:tcPr>
            <w:tcW w:type="dxa" w:w="3360"/>
            <w:vAlign w:val="center"/>
          </w:tcPr>
          <w:p>
            <w:pPr>
              <w:spacing w:after="20"/>
            </w:pPr>
            <w:r/>
            <w:r>
              <w:rPr>
                <w:rFonts w:ascii="Aptos" w:hAnsi="Aptos"/>
                <w:b w:val="0"/>
                <w:sz w:val="16"/>
              </w:rPr>
              <w:t>Categorical</w:t>
            </w:r>
          </w:p>
        </w:tc>
        <w:tc>
          <w:tcPr>
            <w:tcW w:type="dxa" w:w="3360"/>
            <w:vAlign w:val="center"/>
          </w:tcPr>
          <w:p>
            <w:pPr>
              <w:spacing w:after="20"/>
            </w:pPr>
            <w:r/>
            <w:r>
              <w:rPr>
                <w:rFonts w:ascii="Aptos" w:hAnsi="Aptos"/>
                <w:b w:val="0"/>
                <w:sz w:val="16"/>
              </w:rPr>
              <w:t>Most-frequent imputation; OneHotEncoder(handle_unknown='ignore').</w:t>
            </w:r>
          </w:p>
        </w:tc>
        <w:tc>
          <w:tcPr>
            <w:tcW w:type="dxa" w:w="3360"/>
            <w:vAlign w:val="center"/>
          </w:tcPr>
          <w:p>
            <w:pPr>
              <w:spacing w:after="20"/>
            </w:pPr>
            <w:r/>
            <w:r>
              <w:rPr>
                <w:rFonts w:ascii="Aptos" w:hAnsi="Aptos"/>
                <w:b w:val="0"/>
                <w:sz w:val="16"/>
              </w:rPr>
              <w:t>Fit imputer/encoder within each training fold.</w:t>
            </w:r>
          </w:p>
        </w:tc>
      </w:tr>
      <w:tr>
        <w:tc>
          <w:tcPr>
            <w:tcW w:type="dxa" w:w="3360"/>
            <w:vAlign w:val="center"/>
          </w:tcPr>
          <w:p>
            <w:pPr>
              <w:spacing w:after="20"/>
            </w:pPr>
            <w:r/>
            <w:r>
              <w:rPr>
                <w:rFonts w:ascii="Aptos" w:hAnsi="Aptos"/>
                <w:b w:val="0"/>
                <w:sz w:val="16"/>
              </w:rPr>
              <w:t>Target</w:t>
            </w:r>
          </w:p>
        </w:tc>
        <w:tc>
          <w:tcPr>
            <w:tcW w:type="dxa" w:w="3360"/>
            <w:vAlign w:val="center"/>
          </w:tcPr>
          <w:p>
            <w:pPr>
              <w:spacing w:after="20"/>
            </w:pPr>
            <w:r/>
            <w:r>
              <w:rPr>
                <w:rFonts w:ascii="Aptos" w:hAnsi="Aptos"/>
                <w:b w:val="0"/>
                <w:sz w:val="16"/>
              </w:rPr>
              <w:t>Map the verified CKD class to 1 and non-CKD to 0.</w:t>
            </w:r>
          </w:p>
        </w:tc>
        <w:tc>
          <w:tcPr>
            <w:tcW w:type="dxa" w:w="3360"/>
            <w:vAlign w:val="center"/>
          </w:tcPr>
          <w:p>
            <w:pPr>
              <w:spacing w:after="20"/>
            </w:pPr>
            <w:r/>
            <w:r>
              <w:rPr>
                <w:rFonts w:ascii="Aptos" w:hAnsi="Aptos"/>
                <w:b w:val="0"/>
                <w:sz w:val="16"/>
              </w:rPr>
              <w:t>Never derive the target from predictors.</w:t>
            </w:r>
          </w:p>
        </w:tc>
      </w:tr>
      <w:tr>
        <w:tc>
          <w:tcPr>
            <w:tcW w:type="dxa" w:w="3360"/>
            <w:vAlign w:val="center"/>
          </w:tcPr>
          <w:p>
            <w:pPr>
              <w:spacing w:after="20"/>
            </w:pPr>
            <w:r/>
            <w:r>
              <w:rPr>
                <w:rFonts w:ascii="Aptos" w:hAnsi="Aptos"/>
                <w:b w:val="0"/>
                <w:sz w:val="16"/>
              </w:rPr>
              <w:t>Feature selection</w:t>
            </w:r>
          </w:p>
        </w:tc>
        <w:tc>
          <w:tcPr>
            <w:tcW w:type="dxa" w:w="3360"/>
            <w:vAlign w:val="center"/>
          </w:tcPr>
          <w:p>
            <w:pPr>
              <w:spacing w:after="20"/>
            </w:pPr>
            <w:r/>
            <w:r>
              <w:rPr>
                <w:rFonts w:ascii="Aptos" w:hAnsi="Aptos"/>
                <w:b w:val="0"/>
                <w:sz w:val="16"/>
              </w:rPr>
              <w:t>No global outcome-driven selection in the primary analysis.</w:t>
            </w:r>
          </w:p>
        </w:tc>
        <w:tc>
          <w:tcPr>
            <w:tcW w:type="dxa" w:w="3360"/>
            <w:vAlign w:val="center"/>
          </w:tcPr>
          <w:p>
            <w:pPr>
              <w:spacing w:after="20"/>
            </w:pPr>
            <w:r/>
            <w:r>
              <w:rPr>
                <w:rFonts w:ascii="Aptos" w:hAnsi="Aptos"/>
                <w:b w:val="0"/>
                <w:sz w:val="16"/>
              </w:rPr>
              <w:t>Any later selection must occur inside training folds.</w:t>
            </w:r>
          </w:p>
        </w:tc>
      </w:tr>
    </w:tbl>
    <w:p/>
    <w:p>
      <w:r>
        <w:t>Use median/most-frequent imputation as a transparent baseline. KNN or iterative imputation can be explored only as a prespecified sensitivity analysis if time permits; do not switch methods after seeing which produces the most attractive result.</w:t>
      </w:r>
    </w:p>
    <w:p>
      <w:pPr>
        <w:pStyle w:val="Heading1"/>
      </w:pPr>
      <w:r>
        <w:t>4. Models and configurations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20"/>
            </w:pPr>
            <w:r/>
            <w:r>
              <w:rPr>
                <w:rFonts w:ascii="Aptos" w:hAnsi="Aptos"/>
                <w:b/>
                <w:sz w:val="17"/>
              </w:rPr>
              <w:t>Model</w:t>
            </w:r>
          </w:p>
        </w:tc>
        <w:tc>
          <w:tcPr>
            <w:tcW w:type="dxa" w:w="3360"/>
            <w:vAlign w:val="center"/>
            <w:shd w:fill="D9EAF7"/>
          </w:tcPr>
          <w:p>
            <w:pPr>
              <w:spacing w:after="20"/>
            </w:pPr>
            <w:r/>
            <w:r>
              <w:rPr>
                <w:rFonts w:ascii="Aptos" w:hAnsi="Aptos"/>
                <w:b/>
                <w:sz w:val="17"/>
              </w:rPr>
              <w:t>Purpose</w:t>
            </w:r>
          </w:p>
        </w:tc>
        <w:tc>
          <w:tcPr>
            <w:tcW w:type="dxa" w:w="3360"/>
            <w:vAlign w:val="center"/>
            <w:shd w:fill="D9EAF7"/>
          </w:tcPr>
          <w:p>
            <w:pPr>
              <w:spacing w:after="20"/>
            </w:pPr>
            <w:r/>
            <w:r>
              <w:rPr>
                <w:rFonts w:ascii="Aptos" w:hAnsi="Aptos"/>
                <w:b/>
                <w:sz w:val="17"/>
              </w:rPr>
              <w:t>Starting configuration</w:t>
            </w:r>
          </w:p>
        </w:tc>
      </w:tr>
      <w:tr>
        <w:tc>
          <w:tcPr>
            <w:tcW w:type="dxa" w:w="3360"/>
            <w:vAlign w:val="center"/>
          </w:tcPr>
          <w:p>
            <w:pPr>
              <w:spacing w:after="20"/>
            </w:pPr>
            <w:r/>
            <w:r>
              <w:rPr>
                <w:rFonts w:ascii="Aptos" w:hAnsi="Aptos"/>
                <w:b w:val="0"/>
                <w:sz w:val="16"/>
              </w:rPr>
              <w:t>Logistic Regression</w:t>
            </w:r>
          </w:p>
        </w:tc>
        <w:tc>
          <w:tcPr>
            <w:tcW w:type="dxa" w:w="3360"/>
            <w:vAlign w:val="center"/>
          </w:tcPr>
          <w:p>
            <w:pPr>
              <w:spacing w:after="20"/>
            </w:pPr>
            <w:r/>
            <w:r>
              <w:rPr>
                <w:rFonts w:ascii="Aptos" w:hAnsi="Aptos"/>
                <w:b w:val="0"/>
                <w:sz w:val="16"/>
              </w:rPr>
              <w:t>Linear baseline; useful contrast to tree models.</w:t>
            </w:r>
          </w:p>
        </w:tc>
        <w:tc>
          <w:tcPr>
            <w:tcW w:type="dxa" w:w="3360"/>
            <w:vAlign w:val="center"/>
          </w:tcPr>
          <w:p>
            <w:pPr>
              <w:spacing w:after="20"/>
            </w:pPr>
            <w:r/>
            <w:r>
              <w:rPr>
                <w:rFonts w:ascii="Aptos" w:hAnsi="Aptos"/>
                <w:b w:val="0"/>
                <w:sz w:val="16"/>
              </w:rPr>
              <w:t>L2 regularization; max_iter=2000; standardize numeric variables; class weighting only if justified and documented.</w:t>
            </w:r>
          </w:p>
        </w:tc>
      </w:tr>
      <w:tr>
        <w:tc>
          <w:tcPr>
            <w:tcW w:type="dxa" w:w="3360"/>
            <w:vAlign w:val="center"/>
          </w:tcPr>
          <w:p>
            <w:pPr>
              <w:spacing w:after="20"/>
            </w:pPr>
            <w:r/>
            <w:r>
              <w:rPr>
                <w:rFonts w:ascii="Aptos" w:hAnsi="Aptos"/>
                <w:b w:val="0"/>
                <w:sz w:val="16"/>
              </w:rPr>
              <w:t>Random Forest</w:t>
            </w:r>
          </w:p>
        </w:tc>
        <w:tc>
          <w:tcPr>
            <w:tcW w:type="dxa" w:w="3360"/>
            <w:vAlign w:val="center"/>
          </w:tcPr>
          <w:p>
            <w:pPr>
              <w:spacing w:after="20"/>
            </w:pPr>
            <w:r/>
            <w:r>
              <w:rPr>
                <w:rFonts w:ascii="Aptos" w:hAnsi="Aptos"/>
                <w:b w:val="0"/>
                <w:sz w:val="16"/>
              </w:rPr>
              <w:t>Nonlinear bagged-tree model; use TreeSHAP.</w:t>
            </w:r>
          </w:p>
        </w:tc>
        <w:tc>
          <w:tcPr>
            <w:tcW w:type="dxa" w:w="3360"/>
            <w:vAlign w:val="center"/>
          </w:tcPr>
          <w:p>
            <w:pPr>
              <w:spacing w:after="20"/>
            </w:pPr>
            <w:r/>
            <w:r>
              <w:rPr>
                <w:rFonts w:ascii="Aptos" w:hAnsi="Aptos"/>
                <w:b w:val="0"/>
                <w:sz w:val="16"/>
              </w:rPr>
              <w:t>n_estimators=300; min_samples_leaf=2; random_state fixed; record all settings.</w:t>
            </w:r>
          </w:p>
        </w:tc>
      </w:tr>
      <w:tr>
        <w:tc>
          <w:tcPr>
            <w:tcW w:type="dxa" w:w="3360"/>
            <w:vAlign w:val="center"/>
          </w:tcPr>
          <w:p>
            <w:pPr>
              <w:spacing w:after="20"/>
            </w:pPr>
            <w:r/>
            <w:r>
              <w:rPr>
                <w:rFonts w:ascii="Aptos" w:hAnsi="Aptos"/>
                <w:b w:val="0"/>
                <w:sz w:val="16"/>
              </w:rPr>
              <w:t>XGBoost</w:t>
            </w:r>
          </w:p>
        </w:tc>
        <w:tc>
          <w:tcPr>
            <w:tcW w:type="dxa" w:w="3360"/>
            <w:vAlign w:val="center"/>
          </w:tcPr>
          <w:p>
            <w:pPr>
              <w:spacing w:after="20"/>
            </w:pPr>
            <w:r/>
            <w:r>
              <w:rPr>
                <w:rFonts w:ascii="Aptos" w:hAnsi="Aptos"/>
                <w:b w:val="0"/>
                <w:sz w:val="16"/>
              </w:rPr>
              <w:t>Gradient-boosted tree comparator; use TreeSHAP.</w:t>
            </w:r>
          </w:p>
        </w:tc>
        <w:tc>
          <w:tcPr>
            <w:tcW w:type="dxa" w:w="3360"/>
            <w:vAlign w:val="center"/>
          </w:tcPr>
          <w:p>
            <w:pPr>
              <w:spacing w:after="20"/>
            </w:pPr>
            <w:r/>
            <w:r>
              <w:rPr>
                <w:rFonts w:ascii="Aptos" w:hAnsi="Aptos"/>
                <w:b w:val="0"/>
                <w:sz w:val="16"/>
              </w:rPr>
              <w:t>Conservative depth (e.g., 3); modest learning rate (e.g., 0.05); fixed number of estimators; record package version and settings.</w:t>
            </w:r>
          </w:p>
        </w:tc>
      </w:tr>
    </w:tbl>
    <w:p/>
    <w:p>
      <w:r>
        <w:t>Do not use the test-fold labels for model selection. Start with prespecified settings and avoid an extensive tuning search that could overfit the validation procedure. If tuning is essential, it must be nested inside the training data, which increases complexity and runtime.</w:t>
      </w:r>
    </w:p>
    <w:p>
      <w:pPr>
        <w:pStyle w:val="Heading1"/>
      </w:pPr>
      <w:r>
        <w:t>5. Performance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20"/>
            </w:pPr>
            <w:r/>
            <w:r>
              <w:rPr>
                <w:rFonts w:ascii="Aptos" w:hAnsi="Aptos"/>
                <w:b/>
                <w:sz w:val="17"/>
              </w:rPr>
              <w:t>Metric</w:t>
            </w:r>
          </w:p>
        </w:tc>
        <w:tc>
          <w:tcPr>
            <w:tcW w:type="dxa" w:w="3360"/>
            <w:vAlign w:val="center"/>
            <w:shd w:fill="D9EAF7"/>
          </w:tcPr>
          <w:p>
            <w:pPr>
              <w:spacing w:after="20"/>
            </w:pPr>
            <w:r/>
            <w:r>
              <w:rPr>
                <w:rFonts w:ascii="Aptos" w:hAnsi="Aptos"/>
                <w:b/>
                <w:sz w:val="17"/>
              </w:rPr>
              <w:t>Definition / purpose</w:t>
            </w:r>
          </w:p>
        </w:tc>
        <w:tc>
          <w:tcPr>
            <w:tcW w:type="dxa" w:w="3360"/>
            <w:vAlign w:val="center"/>
            <w:shd w:fill="D9EAF7"/>
          </w:tcPr>
          <w:p>
            <w:pPr>
              <w:spacing w:after="20"/>
            </w:pPr>
            <w:r/>
            <w:r>
              <w:rPr>
                <w:rFonts w:ascii="Aptos" w:hAnsi="Aptos"/>
                <w:b/>
                <w:sz w:val="17"/>
              </w:rPr>
              <w:t>Reporting</w:t>
            </w:r>
          </w:p>
        </w:tc>
      </w:tr>
      <w:tr>
        <w:tc>
          <w:tcPr>
            <w:tcW w:type="dxa" w:w="3360"/>
            <w:vAlign w:val="center"/>
          </w:tcPr>
          <w:p>
            <w:pPr>
              <w:spacing w:after="20"/>
            </w:pPr>
            <w:r/>
            <w:r>
              <w:rPr>
                <w:rFonts w:ascii="Aptos" w:hAnsi="Aptos"/>
                <w:b w:val="0"/>
                <w:sz w:val="16"/>
              </w:rPr>
              <w:t>ROC-AUC</w:t>
            </w:r>
          </w:p>
        </w:tc>
        <w:tc>
          <w:tcPr>
            <w:tcW w:type="dxa" w:w="3360"/>
            <w:vAlign w:val="center"/>
          </w:tcPr>
          <w:p>
            <w:pPr>
              <w:spacing w:after="20"/>
            </w:pPr>
            <w:r/>
            <w:r>
              <w:rPr>
                <w:rFonts w:ascii="Aptos" w:hAnsi="Aptos"/>
                <w:b w:val="0"/>
                <w:sz w:val="16"/>
              </w:rPr>
              <w:t>Discrimination across probability thresholds.</w:t>
            </w:r>
          </w:p>
        </w:tc>
        <w:tc>
          <w:tcPr>
            <w:tcW w:type="dxa" w:w="3360"/>
            <w:vAlign w:val="center"/>
          </w:tcPr>
          <w:p>
            <w:pPr>
              <w:spacing w:after="20"/>
            </w:pPr>
            <w:r/>
            <w:r>
              <w:rPr>
                <w:rFonts w:ascii="Aptos" w:hAnsi="Aptos"/>
                <w:b w:val="0"/>
                <w:sz w:val="16"/>
              </w:rPr>
              <w:t>Mean ± SD across folds; primary metric.</w:t>
            </w:r>
          </w:p>
        </w:tc>
      </w:tr>
      <w:tr>
        <w:tc>
          <w:tcPr>
            <w:tcW w:type="dxa" w:w="3360"/>
            <w:vAlign w:val="center"/>
          </w:tcPr>
          <w:p>
            <w:pPr>
              <w:spacing w:after="20"/>
            </w:pPr>
            <w:r/>
            <w:r>
              <w:rPr>
                <w:rFonts w:ascii="Aptos" w:hAnsi="Aptos"/>
                <w:b w:val="0"/>
                <w:sz w:val="16"/>
              </w:rPr>
              <w:t>Sensitivity / Recall</w:t>
            </w:r>
          </w:p>
        </w:tc>
        <w:tc>
          <w:tcPr>
            <w:tcW w:type="dxa" w:w="3360"/>
            <w:vAlign w:val="center"/>
          </w:tcPr>
          <w:p>
            <w:pPr>
              <w:spacing w:after="20"/>
            </w:pPr>
            <w:r/>
            <w:r>
              <w:rPr>
                <w:rFonts w:ascii="Aptos" w:hAnsi="Aptos"/>
                <w:b w:val="0"/>
                <w:sz w:val="16"/>
              </w:rPr>
              <w:t>TP / (TP + FN); proportion of CKD cases detected.</w:t>
            </w:r>
          </w:p>
        </w:tc>
        <w:tc>
          <w:tcPr>
            <w:tcW w:type="dxa" w:w="3360"/>
            <w:vAlign w:val="center"/>
          </w:tcPr>
          <w:p>
            <w:pPr>
              <w:spacing w:after="20"/>
            </w:pPr>
            <w:r/>
            <w:r>
              <w:rPr>
                <w:rFonts w:ascii="Aptos" w:hAnsi="Aptos"/>
                <w:b w:val="0"/>
                <w:sz w:val="16"/>
              </w:rPr>
              <w:t>Mean ± SD; clinically important.</w:t>
            </w:r>
          </w:p>
        </w:tc>
      </w:tr>
      <w:tr>
        <w:tc>
          <w:tcPr>
            <w:tcW w:type="dxa" w:w="3360"/>
            <w:vAlign w:val="center"/>
          </w:tcPr>
          <w:p>
            <w:pPr>
              <w:spacing w:after="20"/>
            </w:pPr>
            <w:r/>
            <w:r>
              <w:rPr>
                <w:rFonts w:ascii="Aptos" w:hAnsi="Aptos"/>
                <w:b w:val="0"/>
                <w:sz w:val="16"/>
              </w:rPr>
              <w:t>Specificity</w:t>
            </w:r>
          </w:p>
        </w:tc>
        <w:tc>
          <w:tcPr>
            <w:tcW w:type="dxa" w:w="3360"/>
            <w:vAlign w:val="center"/>
          </w:tcPr>
          <w:p>
            <w:pPr>
              <w:spacing w:after="20"/>
            </w:pPr>
            <w:r/>
            <w:r>
              <w:rPr>
                <w:rFonts w:ascii="Aptos" w:hAnsi="Aptos"/>
                <w:b w:val="0"/>
                <w:sz w:val="16"/>
              </w:rPr>
              <w:t>TN / (TN + FP); proportion of non-CKD cases correctly identified.</w:t>
            </w:r>
          </w:p>
        </w:tc>
        <w:tc>
          <w:tcPr>
            <w:tcW w:type="dxa" w:w="3360"/>
            <w:vAlign w:val="center"/>
          </w:tcPr>
          <w:p>
            <w:pPr>
              <w:spacing w:after="20"/>
            </w:pPr>
            <w:r/>
            <w:r>
              <w:rPr>
                <w:rFonts w:ascii="Aptos" w:hAnsi="Aptos"/>
                <w:b w:val="0"/>
                <w:sz w:val="16"/>
              </w:rPr>
              <w:t>Mean ± SD.</w:t>
            </w:r>
          </w:p>
        </w:tc>
      </w:tr>
      <w:tr>
        <w:tc>
          <w:tcPr>
            <w:tcW w:type="dxa" w:w="3360"/>
            <w:vAlign w:val="center"/>
          </w:tcPr>
          <w:p>
            <w:pPr>
              <w:spacing w:after="20"/>
            </w:pPr>
            <w:r/>
            <w:r>
              <w:rPr>
                <w:rFonts w:ascii="Aptos" w:hAnsi="Aptos"/>
                <w:b w:val="0"/>
                <w:sz w:val="16"/>
              </w:rPr>
              <w:t>Precision / PPV</w:t>
            </w:r>
          </w:p>
        </w:tc>
        <w:tc>
          <w:tcPr>
            <w:tcW w:type="dxa" w:w="3360"/>
            <w:vAlign w:val="center"/>
          </w:tcPr>
          <w:p>
            <w:pPr>
              <w:spacing w:after="20"/>
            </w:pPr>
            <w:r/>
            <w:r>
              <w:rPr>
                <w:rFonts w:ascii="Aptos" w:hAnsi="Aptos"/>
                <w:b w:val="0"/>
                <w:sz w:val="16"/>
              </w:rPr>
              <w:t>TP / (TP + FP); fraction of positive predictions that are CKD.</w:t>
            </w:r>
          </w:p>
        </w:tc>
        <w:tc>
          <w:tcPr>
            <w:tcW w:type="dxa" w:w="3360"/>
            <w:vAlign w:val="center"/>
          </w:tcPr>
          <w:p>
            <w:pPr>
              <w:spacing w:after="20"/>
            </w:pPr>
            <w:r/>
            <w:r>
              <w:rPr>
                <w:rFonts w:ascii="Aptos" w:hAnsi="Aptos"/>
                <w:b w:val="0"/>
                <w:sz w:val="16"/>
              </w:rPr>
              <w:t>Mean ± SD.</w:t>
            </w:r>
          </w:p>
        </w:tc>
      </w:tr>
      <w:tr>
        <w:tc>
          <w:tcPr>
            <w:tcW w:type="dxa" w:w="3360"/>
            <w:vAlign w:val="center"/>
          </w:tcPr>
          <w:p>
            <w:pPr>
              <w:spacing w:after="20"/>
            </w:pPr>
            <w:r/>
            <w:r>
              <w:rPr>
                <w:rFonts w:ascii="Aptos" w:hAnsi="Aptos"/>
                <w:b w:val="0"/>
                <w:sz w:val="16"/>
              </w:rPr>
              <w:t>F1-score</w:t>
            </w:r>
          </w:p>
        </w:tc>
        <w:tc>
          <w:tcPr>
            <w:tcW w:type="dxa" w:w="3360"/>
            <w:vAlign w:val="center"/>
          </w:tcPr>
          <w:p>
            <w:pPr>
              <w:spacing w:after="20"/>
            </w:pPr>
            <w:r/>
            <w:r>
              <w:rPr>
                <w:rFonts w:ascii="Aptos" w:hAnsi="Aptos"/>
                <w:b w:val="0"/>
                <w:sz w:val="16"/>
              </w:rPr>
              <w:t>Harmonic mean of precision and recall.</w:t>
            </w:r>
          </w:p>
        </w:tc>
        <w:tc>
          <w:tcPr>
            <w:tcW w:type="dxa" w:w="3360"/>
            <w:vAlign w:val="center"/>
          </w:tcPr>
          <w:p>
            <w:pPr>
              <w:spacing w:after="20"/>
            </w:pPr>
            <w:r/>
            <w:r>
              <w:rPr>
                <w:rFonts w:ascii="Aptos" w:hAnsi="Aptos"/>
                <w:b w:val="0"/>
                <w:sz w:val="16"/>
              </w:rPr>
              <w:t>Mean ± SD.</w:t>
            </w:r>
          </w:p>
        </w:tc>
      </w:tr>
      <w:tr>
        <w:tc>
          <w:tcPr>
            <w:tcW w:type="dxa" w:w="3360"/>
            <w:vAlign w:val="center"/>
          </w:tcPr>
          <w:p>
            <w:pPr>
              <w:spacing w:after="20"/>
            </w:pPr>
            <w:r/>
            <w:r>
              <w:rPr>
                <w:rFonts w:ascii="Aptos" w:hAnsi="Aptos"/>
                <w:b w:val="0"/>
                <w:sz w:val="16"/>
              </w:rPr>
              <w:t>Accuracy</w:t>
            </w:r>
          </w:p>
        </w:tc>
        <w:tc>
          <w:tcPr>
            <w:tcW w:type="dxa" w:w="3360"/>
            <w:vAlign w:val="center"/>
          </w:tcPr>
          <w:p>
            <w:pPr>
              <w:spacing w:after="20"/>
            </w:pPr>
            <w:r/>
            <w:r>
              <w:rPr>
                <w:rFonts w:ascii="Aptos" w:hAnsi="Aptos"/>
                <w:b w:val="0"/>
                <w:sz w:val="16"/>
              </w:rPr>
              <w:t>Overall fraction of correct classifications.</w:t>
            </w:r>
          </w:p>
        </w:tc>
        <w:tc>
          <w:tcPr>
            <w:tcW w:type="dxa" w:w="3360"/>
            <w:vAlign w:val="center"/>
          </w:tcPr>
          <w:p>
            <w:pPr>
              <w:spacing w:after="20"/>
            </w:pPr>
            <w:r/>
            <w:r>
              <w:rPr>
                <w:rFonts w:ascii="Aptos" w:hAnsi="Aptos"/>
                <w:b w:val="0"/>
                <w:sz w:val="16"/>
              </w:rPr>
              <w:t>Secondary; never report alone.</w:t>
            </w:r>
          </w:p>
        </w:tc>
      </w:tr>
      <w:tr>
        <w:tc>
          <w:tcPr>
            <w:tcW w:type="dxa" w:w="3360"/>
            <w:vAlign w:val="center"/>
          </w:tcPr>
          <w:p>
            <w:pPr>
              <w:spacing w:after="20"/>
            </w:pPr>
            <w:r/>
            <w:r>
              <w:rPr>
                <w:rFonts w:ascii="Aptos" w:hAnsi="Aptos"/>
                <w:b w:val="0"/>
                <w:sz w:val="16"/>
              </w:rPr>
              <w:t>MCC</w:t>
            </w:r>
          </w:p>
        </w:tc>
        <w:tc>
          <w:tcPr>
            <w:tcW w:type="dxa" w:w="3360"/>
            <w:vAlign w:val="center"/>
          </w:tcPr>
          <w:p>
            <w:pPr>
              <w:spacing w:after="20"/>
            </w:pPr>
            <w:r/>
            <w:r>
              <w:rPr>
                <w:rFonts w:ascii="Aptos" w:hAnsi="Aptos"/>
                <w:b w:val="0"/>
                <w:sz w:val="16"/>
              </w:rPr>
              <w:t>Matthews correlation coefficient; balanced summary of binary classification.</w:t>
            </w:r>
          </w:p>
        </w:tc>
        <w:tc>
          <w:tcPr>
            <w:tcW w:type="dxa" w:w="3360"/>
            <w:vAlign w:val="center"/>
          </w:tcPr>
          <w:p>
            <w:pPr>
              <w:spacing w:after="20"/>
            </w:pPr>
            <w:r/>
            <w:r>
              <w:rPr>
                <w:rFonts w:ascii="Aptos" w:hAnsi="Aptos"/>
                <w:b w:val="0"/>
                <w:sz w:val="16"/>
              </w:rPr>
              <w:t>Recommended secondary metric.</w:t>
            </w:r>
          </w:p>
        </w:tc>
      </w:tr>
      <w:tr>
        <w:tc>
          <w:tcPr>
            <w:tcW w:type="dxa" w:w="3360"/>
            <w:vAlign w:val="center"/>
          </w:tcPr>
          <w:p>
            <w:pPr>
              <w:spacing w:after="20"/>
            </w:pPr>
            <w:r/>
            <w:r>
              <w:rPr>
                <w:rFonts w:ascii="Aptos" w:hAnsi="Aptos"/>
                <w:b w:val="0"/>
                <w:sz w:val="16"/>
              </w:rPr>
              <w:t>Brier score</w:t>
            </w:r>
          </w:p>
        </w:tc>
        <w:tc>
          <w:tcPr>
            <w:tcW w:type="dxa" w:w="3360"/>
            <w:vAlign w:val="center"/>
          </w:tcPr>
          <w:p>
            <w:pPr>
              <w:spacing w:after="20"/>
            </w:pPr>
            <w:r/>
            <w:r>
              <w:rPr>
                <w:rFonts w:ascii="Aptos" w:hAnsi="Aptos"/>
                <w:b w:val="0"/>
                <w:sz w:val="16"/>
              </w:rPr>
              <w:t>Mean squared error of predicted probabilities.</w:t>
            </w:r>
          </w:p>
        </w:tc>
        <w:tc>
          <w:tcPr>
            <w:tcW w:type="dxa" w:w="3360"/>
            <w:vAlign w:val="center"/>
          </w:tcPr>
          <w:p>
            <w:pPr>
              <w:spacing w:after="20"/>
            </w:pPr>
            <w:r/>
            <w:r>
              <w:rPr>
                <w:rFonts w:ascii="Aptos" w:hAnsi="Aptos"/>
                <w:b w:val="0"/>
                <w:sz w:val="16"/>
              </w:rPr>
              <w:t>Recommended calibration-related metric; lower is better.</w:t>
            </w:r>
          </w:p>
        </w:tc>
      </w:tr>
      <w:tr>
        <w:tc>
          <w:tcPr>
            <w:tcW w:type="dxa" w:w="3360"/>
            <w:vAlign w:val="center"/>
          </w:tcPr>
          <w:p>
            <w:pPr>
              <w:spacing w:after="20"/>
            </w:pPr>
            <w:r/>
            <w:r>
              <w:rPr>
                <w:rFonts w:ascii="Aptos" w:hAnsi="Aptos"/>
                <w:b w:val="0"/>
                <w:sz w:val="16"/>
              </w:rPr>
              <w:t>Confusion matrix</w:t>
            </w:r>
          </w:p>
        </w:tc>
        <w:tc>
          <w:tcPr>
            <w:tcW w:type="dxa" w:w="3360"/>
            <w:vAlign w:val="center"/>
          </w:tcPr>
          <w:p>
            <w:pPr>
              <w:spacing w:after="20"/>
            </w:pPr>
            <w:r/>
            <w:r>
              <w:rPr>
                <w:rFonts w:ascii="Aptos" w:hAnsi="Aptos"/>
                <w:b w:val="0"/>
                <w:sz w:val="16"/>
              </w:rPr>
              <w:t>Counts of TP, FP, TN, FN.</w:t>
            </w:r>
          </w:p>
        </w:tc>
        <w:tc>
          <w:tcPr>
            <w:tcW w:type="dxa" w:w="3360"/>
            <w:vAlign w:val="center"/>
          </w:tcPr>
          <w:p>
            <w:pPr>
              <w:spacing w:after="20"/>
            </w:pPr>
            <w:r/>
            <w:r>
              <w:rPr>
                <w:rFonts w:ascii="Aptos" w:hAnsi="Aptos"/>
                <w:b w:val="0"/>
                <w:sz w:val="16"/>
              </w:rPr>
              <w:t>Summarize fold-level counts carefully or show an explicitly defined aggregate.</w:t>
            </w:r>
          </w:p>
        </w:tc>
      </w:tr>
    </w:tbl>
    <w:p/>
    <w:p>
      <w:r>
        <w:t>If a decision threshold other than 0.5 is used, define how it is chosen using training data only. Do not choose the threshold to maximize test-set performance. Evaluate calibration if class counts and predicted probabilities support it, and interpret calibration results cautiously.</w:t>
      </w:r>
    </w:p>
    <w:p>
      <w:pPr>
        <w:pStyle w:val="Heading1"/>
      </w:pPr>
      <w:r>
        <w:t>6. Explainable AI plan: SHAP</w:t>
      </w:r>
    </w:p>
    <w:p>
      <w:pPr>
        <w:pStyle w:val="Heading2"/>
      </w:pPr>
      <w:r>
        <w:t>A. Global explanation</w:t>
      </w:r>
    </w:p>
    <w:p>
      <w:pPr>
        <w:pStyle w:val="ListBullet"/>
        <w:spacing w:after="40"/>
      </w:pPr>
      <w:r>
        <w:t>Compute SHAP values for held-out observations for every fold-trained model.</w:t>
      </w:r>
    </w:p>
    <w:p>
      <w:pPr>
        <w:pStyle w:val="ListBullet"/>
        <w:spacing w:after="40"/>
      </w:pPr>
      <w:r>
        <w:t>Report mean absolute SHAP values and a summary/beeswarm plot for each model or for the primary model, with the selection rule declared in advance.</w:t>
      </w:r>
    </w:p>
    <w:p>
      <w:pPr>
        <w:pStyle w:val="ListBullet"/>
        <w:spacing w:after="40"/>
      </w:pPr>
      <w:r>
        <w:t>Group one-hot encoded levels back to their original clinical variable before comparing feature rankings; otherwise categorical variables may be fragmented across dummy columns.</w:t>
      </w:r>
    </w:p>
    <w:p>
      <w:pPr>
        <w:pStyle w:val="ListBullet"/>
        <w:spacing w:after="40"/>
      </w:pPr>
      <w:r>
        <w:t>Show both feature importance magnitude and direction where the plot supports it. Avoid translating attribution into causal or independent clinical risk claims.</w:t>
      </w:r>
    </w:p>
    <w:p>
      <w:pPr>
        <w:pStyle w:val="Heading2"/>
      </w:pPr>
      <w:r>
        <w:t>B. Local explanation</w:t>
      </w:r>
    </w:p>
    <w:p>
      <w:pPr>
        <w:pStyle w:val="ListBullet"/>
        <w:spacing w:after="40"/>
      </w:pPr>
      <w:r>
        <w:t>Generate SHAP waterfall plots for a small number of held-out examples, selected by a reproducible rule.</w:t>
      </w:r>
    </w:p>
    <w:p>
      <w:pPr>
        <w:pStyle w:val="ListBullet"/>
        <w:spacing w:after="40"/>
      </w:pPr>
      <w:r>
        <w:t>Include at least one true positive and one true negative if such examples occur; optionally include a false negative and false positive to audit errors.</w:t>
      </w:r>
    </w:p>
    <w:p>
      <w:pPr>
        <w:pStyle w:val="ListBullet"/>
        <w:spacing w:after="40"/>
      </w:pPr>
      <w:r>
        <w:t>Do not hand-pick only impressive examples. Record the fold and anonymized row index, and state that the plots explain model output rather than provide medical advice.</w:t>
      </w:r>
    </w:p>
    <w:p>
      <w:pPr>
        <w:pStyle w:val="Heading2"/>
      </w:pPr>
      <w:r>
        <w:t>C. Explanation stability (primary contribution candidate)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20"/>
            </w:pPr>
            <w:r/>
            <w:r>
              <w:rPr>
                <w:rFonts w:ascii="Aptos" w:hAnsi="Aptos"/>
                <w:b/>
                <w:sz w:val="17"/>
              </w:rPr>
              <w:t>Measure</w:t>
            </w:r>
          </w:p>
        </w:tc>
        <w:tc>
          <w:tcPr>
            <w:tcW w:type="dxa" w:w="3360"/>
            <w:vAlign w:val="center"/>
            <w:shd w:fill="D9EAF7"/>
          </w:tcPr>
          <w:p>
            <w:pPr>
              <w:spacing w:after="20"/>
            </w:pPr>
            <w:r/>
            <w:r>
              <w:rPr>
                <w:rFonts w:ascii="Aptos" w:hAnsi="Aptos"/>
                <w:b/>
                <w:sz w:val="17"/>
              </w:rPr>
              <w:t>How to calculate</w:t>
            </w:r>
          </w:p>
        </w:tc>
        <w:tc>
          <w:tcPr>
            <w:tcW w:type="dxa" w:w="3360"/>
            <w:vAlign w:val="center"/>
            <w:shd w:fill="D9EAF7"/>
          </w:tcPr>
          <w:p>
            <w:pPr>
              <w:spacing w:after="20"/>
            </w:pPr>
            <w:r/>
            <w:r>
              <w:rPr>
                <w:rFonts w:ascii="Aptos" w:hAnsi="Aptos"/>
                <w:b/>
                <w:sz w:val="17"/>
              </w:rPr>
              <w:t>Interpretation</w:t>
            </w:r>
          </w:p>
        </w:tc>
      </w:tr>
      <w:tr>
        <w:tc>
          <w:tcPr>
            <w:tcW w:type="dxa" w:w="3360"/>
            <w:vAlign w:val="center"/>
          </w:tcPr>
          <w:p>
            <w:pPr>
              <w:spacing w:after="20"/>
            </w:pPr>
            <w:r/>
            <w:r>
              <w:rPr>
                <w:rFonts w:ascii="Aptos" w:hAnsi="Aptos"/>
                <w:b w:val="0"/>
                <w:sz w:val="16"/>
              </w:rPr>
              <w:t>Spearman rank correlation</w:t>
            </w:r>
          </w:p>
        </w:tc>
        <w:tc>
          <w:tcPr>
            <w:tcW w:type="dxa" w:w="3360"/>
            <w:vAlign w:val="center"/>
          </w:tcPr>
          <w:p>
            <w:pPr>
              <w:spacing w:after="20"/>
            </w:pPr>
            <w:r/>
            <w:r>
              <w:rPr>
                <w:rFonts w:ascii="Aptos" w:hAnsi="Aptos"/>
                <w:b w:val="0"/>
                <w:sz w:val="16"/>
              </w:rPr>
              <w:t>Correlation between two folds’ ranks of mean absolute SHAP importance over the same original features.</w:t>
            </w:r>
          </w:p>
        </w:tc>
        <w:tc>
          <w:tcPr>
            <w:tcW w:type="dxa" w:w="3360"/>
            <w:vAlign w:val="center"/>
          </w:tcPr>
          <w:p>
            <w:pPr>
              <w:spacing w:after="20"/>
            </w:pPr>
            <w:r/>
            <w:r>
              <w:rPr>
                <w:rFonts w:ascii="Aptos" w:hAnsi="Aptos"/>
                <w:b w:val="0"/>
                <w:sz w:val="16"/>
              </w:rPr>
              <w:t>Higher means more consistent rank ordering.</w:t>
            </w:r>
          </w:p>
        </w:tc>
      </w:tr>
      <w:tr>
        <w:tc>
          <w:tcPr>
            <w:tcW w:type="dxa" w:w="3360"/>
            <w:vAlign w:val="center"/>
          </w:tcPr>
          <w:p>
            <w:pPr>
              <w:spacing w:after="20"/>
            </w:pPr>
            <w:r/>
            <w:r>
              <w:rPr>
                <w:rFonts w:ascii="Aptos" w:hAnsi="Aptos"/>
                <w:b w:val="0"/>
                <w:sz w:val="16"/>
              </w:rPr>
              <w:t>Top-k Jaccard similarity</w:t>
            </w:r>
          </w:p>
        </w:tc>
        <w:tc>
          <w:tcPr>
            <w:tcW w:type="dxa" w:w="3360"/>
            <w:vAlign w:val="center"/>
          </w:tcPr>
          <w:p>
            <w:pPr>
              <w:spacing w:after="20"/>
            </w:pPr>
            <w:r/>
            <w:r>
              <w:rPr>
                <w:rFonts w:ascii="Aptos" w:hAnsi="Aptos"/>
                <w:b w:val="0"/>
                <w:sz w:val="16"/>
              </w:rPr>
              <w:t>Intersection/union of top-5 or top-10 feature sets across folds.</w:t>
            </w:r>
          </w:p>
        </w:tc>
        <w:tc>
          <w:tcPr>
            <w:tcW w:type="dxa" w:w="3360"/>
            <w:vAlign w:val="center"/>
          </w:tcPr>
          <w:p>
            <w:pPr>
              <w:spacing w:after="20"/>
            </w:pPr>
            <w:r/>
            <w:r>
              <w:rPr>
                <w:rFonts w:ascii="Aptos" w:hAnsi="Aptos"/>
                <w:b w:val="0"/>
                <w:sz w:val="16"/>
              </w:rPr>
              <w:t>Higher means more overlap among highly ranked features.</w:t>
            </w:r>
          </w:p>
        </w:tc>
      </w:tr>
      <w:tr>
        <w:tc>
          <w:tcPr>
            <w:tcW w:type="dxa" w:w="3360"/>
            <w:vAlign w:val="center"/>
          </w:tcPr>
          <w:p>
            <w:pPr>
              <w:spacing w:after="20"/>
            </w:pPr>
            <w:r/>
            <w:r>
              <w:rPr>
                <w:rFonts w:ascii="Aptos" w:hAnsi="Aptos"/>
                <w:b w:val="0"/>
                <w:sz w:val="16"/>
              </w:rPr>
              <w:t>Attribution magnitude variation</w:t>
            </w:r>
          </w:p>
        </w:tc>
        <w:tc>
          <w:tcPr>
            <w:tcW w:type="dxa" w:w="3360"/>
            <w:vAlign w:val="center"/>
          </w:tcPr>
          <w:p>
            <w:pPr>
              <w:spacing w:after="20"/>
            </w:pPr>
            <w:r/>
            <w:r>
              <w:rPr>
                <w:rFonts w:ascii="Aptos" w:hAnsi="Aptos"/>
                <w:b w:val="0"/>
                <w:sz w:val="16"/>
              </w:rPr>
              <w:t>For each feature, summarize variation in mean absolute SHAP values across folds; normalize only with a documented rule if comparing scales.</w:t>
            </w:r>
          </w:p>
        </w:tc>
        <w:tc>
          <w:tcPr>
            <w:tcW w:type="dxa" w:w="3360"/>
            <w:vAlign w:val="center"/>
          </w:tcPr>
          <w:p>
            <w:pPr>
              <w:spacing w:after="20"/>
            </w:pPr>
            <w:r/>
            <w:r>
              <w:rPr>
                <w:rFonts w:ascii="Aptos" w:hAnsi="Aptos"/>
                <w:b w:val="0"/>
                <w:sz w:val="16"/>
              </w:rPr>
              <w:t>Shows whether attribution magnitude varies across fitted models.</w:t>
            </w:r>
          </w:p>
        </w:tc>
      </w:tr>
      <w:tr>
        <w:tc>
          <w:tcPr>
            <w:tcW w:type="dxa" w:w="3360"/>
            <w:vAlign w:val="center"/>
          </w:tcPr>
          <w:p>
            <w:pPr>
              <w:spacing w:after="20"/>
            </w:pPr>
            <w:r/>
            <w:r>
              <w:rPr>
                <w:rFonts w:ascii="Aptos" w:hAnsi="Aptos"/>
                <w:b w:val="0"/>
                <w:sz w:val="16"/>
              </w:rPr>
              <w:t>Cross-model agreement</w:t>
            </w:r>
          </w:p>
        </w:tc>
        <w:tc>
          <w:tcPr>
            <w:tcW w:type="dxa" w:w="3360"/>
            <w:vAlign w:val="center"/>
          </w:tcPr>
          <w:p>
            <w:pPr>
              <w:spacing w:after="20"/>
            </w:pPr>
            <w:r/>
            <w:r>
              <w:rPr>
                <w:rFonts w:ascii="Aptos" w:hAnsi="Aptos"/>
                <w:b w:val="0"/>
                <w:sz w:val="16"/>
              </w:rPr>
              <w:t>Compare original-feature rankings across Logistic Regression, Random Forest, and XGBoost.</w:t>
            </w:r>
          </w:p>
        </w:tc>
        <w:tc>
          <w:tcPr>
            <w:tcW w:type="dxa" w:w="3360"/>
            <w:vAlign w:val="center"/>
          </w:tcPr>
          <w:p>
            <w:pPr>
              <w:spacing w:after="20"/>
            </w:pPr>
            <w:r/>
            <w:r>
              <w:rPr>
                <w:rFonts w:ascii="Aptos" w:hAnsi="Aptos"/>
                <w:b w:val="0"/>
                <w:sz w:val="16"/>
              </w:rPr>
              <w:t>Identifies agreement or disagreement across model families; not proof of biological truth.</w:t>
            </w:r>
          </w:p>
        </w:tc>
      </w:tr>
    </w:tbl>
    <w:p/>
    <w:p>
      <w:r>
        <w:t>Compute pairwise fold comparisons and report the distribution (median, interquartile range, and/or mean ± SD). Because pairwise comparisons are dependent, do not treat them as independent samples for conventional significance tests. SHAP values from different model families may have different scales and semantics; rank agreement is more defensible than directly comparing raw magnitudes.</w:t>
      </w:r>
    </w:p>
    <w:p>
      <w:pPr>
        <w:pStyle w:val="Heading2"/>
      </w:pPr>
      <w:r>
        <w:t>D. Missingness sensitivity experiment</w:t>
      </w:r>
    </w:p>
    <w:p>
      <w:pPr>
        <w:pStyle w:val="ListBullet"/>
        <w:spacing w:after="40"/>
      </w:pPr>
      <w:r>
        <w:t>Baseline: evaluate each fold model on its unmodified held-out fold, preserving naturally missing values handled by the fitted pipeline.</w:t>
      </w:r>
    </w:p>
    <w:p>
      <w:pPr>
        <w:pStyle w:val="ListBullet"/>
        <w:spacing w:after="40"/>
      </w:pPr>
      <w:r>
        <w:t>Stress tests: on the held-out inputs only, randomly mask 10% and 20% of currently observed predictor cells; repeat each scenario with multiple prespecified random seeds.</w:t>
      </w:r>
    </w:p>
    <w:p>
      <w:pPr>
        <w:pStyle w:val="ListBullet"/>
        <w:spacing w:after="40"/>
      </w:pPr>
      <w:r>
        <w:t>Use the already fitted training-fold imputer to transform masked data. Do not refit the model or imputer on masked test data.</w:t>
      </w:r>
    </w:p>
    <w:p>
      <w:pPr>
        <w:pStyle w:val="ListBullet"/>
        <w:spacing w:after="40"/>
      </w:pPr>
      <w:r>
        <w:t>Measure changes in ROC-AUC, sensitivity, specificity, F1, and SHAP ranking stability relative to the unmodified fold.</w:t>
      </w:r>
    </w:p>
    <w:p>
      <w:pPr>
        <w:pStyle w:val="ListBullet"/>
        <w:spacing w:after="40"/>
      </w:pPr>
      <w:r>
        <w:t>Describe the masking as a synthetic stress test, not a claim that the imposed missingness percentages represent real hospital missingness patterns.</w:t>
      </w:r>
    </w:p>
    <w:p>
      <w:pPr>
        <w:pStyle w:val="Heading1"/>
      </w:pPr>
      <w:r>
        <w:t>7. Expected outputs (not expected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20"/>
            </w:pPr>
            <w:r/>
            <w:r>
              <w:rPr>
                <w:rFonts w:ascii="Aptos" w:hAnsi="Aptos"/>
                <w:b/>
                <w:sz w:val="17"/>
              </w:rPr>
              <w:t>Output</w:t>
            </w:r>
          </w:p>
        </w:tc>
        <w:tc>
          <w:tcPr>
            <w:tcW w:type="dxa" w:w="3360"/>
            <w:vAlign w:val="center"/>
            <w:shd w:fill="D9EAF7"/>
          </w:tcPr>
          <w:p>
            <w:pPr>
              <w:spacing w:after="20"/>
            </w:pPr>
            <w:r/>
            <w:r>
              <w:rPr>
                <w:rFonts w:ascii="Aptos" w:hAnsi="Aptos"/>
                <w:b/>
                <w:sz w:val="17"/>
              </w:rPr>
              <w:t>Contents</w:t>
            </w:r>
          </w:p>
        </w:tc>
        <w:tc>
          <w:tcPr>
            <w:tcW w:type="dxa" w:w="3360"/>
            <w:vAlign w:val="center"/>
            <w:shd w:fill="D9EAF7"/>
          </w:tcPr>
          <w:p>
            <w:pPr>
              <w:spacing w:after="20"/>
            </w:pPr>
            <w:r/>
            <w:r>
              <w:rPr>
                <w:rFonts w:ascii="Aptos" w:hAnsi="Aptos"/>
                <w:b/>
                <w:sz w:val="17"/>
              </w:rPr>
              <w:t>Manuscript location</w:t>
            </w:r>
          </w:p>
        </w:tc>
      </w:tr>
      <w:tr>
        <w:tc>
          <w:tcPr>
            <w:tcW w:type="dxa" w:w="3360"/>
            <w:vAlign w:val="center"/>
          </w:tcPr>
          <w:p>
            <w:pPr>
              <w:spacing w:after="20"/>
            </w:pPr>
            <w:r/>
            <w:r>
              <w:rPr>
                <w:rFonts w:ascii="Aptos" w:hAnsi="Aptos"/>
                <w:b w:val="0"/>
                <w:sz w:val="16"/>
              </w:rPr>
              <w:t>Table 1</w:t>
            </w:r>
          </w:p>
        </w:tc>
        <w:tc>
          <w:tcPr>
            <w:tcW w:type="dxa" w:w="3360"/>
            <w:vAlign w:val="center"/>
          </w:tcPr>
          <w:p>
            <w:pPr>
              <w:spacing w:after="20"/>
            </w:pPr>
            <w:r/>
            <w:r>
              <w:rPr>
                <w:rFonts w:ascii="Aptos" w:hAnsi="Aptos"/>
                <w:b w:val="0"/>
                <w:sz w:val="16"/>
              </w:rPr>
              <w:t>Dataset dimensions, target distribution, feature types, missingness.</w:t>
            </w:r>
          </w:p>
        </w:tc>
        <w:tc>
          <w:tcPr>
            <w:tcW w:type="dxa" w:w="3360"/>
            <w:vAlign w:val="center"/>
          </w:tcPr>
          <w:p>
            <w:pPr>
              <w:spacing w:after="20"/>
            </w:pPr>
            <w:r/>
            <w:r>
              <w:rPr>
                <w:rFonts w:ascii="Aptos" w:hAnsi="Aptos"/>
                <w:b w:val="0"/>
                <w:sz w:val="16"/>
              </w:rPr>
              <w:t>Methods / Results</w:t>
            </w:r>
          </w:p>
        </w:tc>
      </w:tr>
      <w:tr>
        <w:tc>
          <w:tcPr>
            <w:tcW w:type="dxa" w:w="3360"/>
            <w:vAlign w:val="center"/>
          </w:tcPr>
          <w:p>
            <w:pPr>
              <w:spacing w:after="20"/>
            </w:pPr>
            <w:r/>
            <w:r>
              <w:rPr>
                <w:rFonts w:ascii="Aptos" w:hAnsi="Aptos"/>
                <w:b w:val="0"/>
                <w:sz w:val="16"/>
              </w:rPr>
              <w:t>Table 2</w:t>
            </w:r>
          </w:p>
        </w:tc>
        <w:tc>
          <w:tcPr>
            <w:tcW w:type="dxa" w:w="3360"/>
            <w:vAlign w:val="center"/>
          </w:tcPr>
          <w:p>
            <w:pPr>
              <w:spacing w:after="20"/>
            </w:pPr>
            <w:r/>
            <w:r>
              <w:rPr>
                <w:rFonts w:ascii="Aptos" w:hAnsi="Aptos"/>
                <w:b w:val="0"/>
                <w:sz w:val="16"/>
              </w:rPr>
              <w:t>Mean ± SD for each model and metric across repeated folds.</w:t>
            </w:r>
          </w:p>
        </w:tc>
        <w:tc>
          <w:tcPr>
            <w:tcW w:type="dxa" w:w="3360"/>
            <w:vAlign w:val="center"/>
          </w:tcPr>
          <w:p>
            <w:pPr>
              <w:spacing w:after="20"/>
            </w:pPr>
            <w:r/>
            <w:r>
              <w:rPr>
                <w:rFonts w:ascii="Aptos" w:hAnsi="Aptos"/>
                <w:b w:val="0"/>
                <w:sz w:val="16"/>
              </w:rPr>
              <w:t>Results</w:t>
            </w:r>
          </w:p>
        </w:tc>
      </w:tr>
      <w:tr>
        <w:tc>
          <w:tcPr>
            <w:tcW w:type="dxa" w:w="3360"/>
            <w:vAlign w:val="center"/>
          </w:tcPr>
          <w:p>
            <w:pPr>
              <w:spacing w:after="20"/>
            </w:pPr>
            <w:r/>
            <w:r>
              <w:rPr>
                <w:rFonts w:ascii="Aptos" w:hAnsi="Aptos"/>
                <w:b w:val="0"/>
                <w:sz w:val="16"/>
              </w:rPr>
              <w:t>Figure 1</w:t>
            </w:r>
          </w:p>
        </w:tc>
        <w:tc>
          <w:tcPr>
            <w:tcW w:type="dxa" w:w="3360"/>
            <w:vAlign w:val="center"/>
          </w:tcPr>
          <w:p>
            <w:pPr>
              <w:spacing w:after="20"/>
            </w:pPr>
            <w:r/>
            <w:r>
              <w:rPr>
                <w:rFonts w:ascii="Aptos" w:hAnsi="Aptos"/>
                <w:b w:val="0"/>
                <w:sz w:val="16"/>
              </w:rPr>
              <w:t>ROC curves or fold-level performance distribution, with plotting protocol stated.</w:t>
            </w:r>
          </w:p>
        </w:tc>
        <w:tc>
          <w:tcPr>
            <w:tcW w:type="dxa" w:w="3360"/>
            <w:vAlign w:val="center"/>
          </w:tcPr>
          <w:p>
            <w:pPr>
              <w:spacing w:after="20"/>
            </w:pPr>
            <w:r/>
            <w:r>
              <w:rPr>
                <w:rFonts w:ascii="Aptos" w:hAnsi="Aptos"/>
                <w:b w:val="0"/>
                <w:sz w:val="16"/>
              </w:rPr>
              <w:t>Results</w:t>
            </w:r>
          </w:p>
        </w:tc>
      </w:tr>
      <w:tr>
        <w:tc>
          <w:tcPr>
            <w:tcW w:type="dxa" w:w="3360"/>
            <w:vAlign w:val="center"/>
          </w:tcPr>
          <w:p>
            <w:pPr>
              <w:spacing w:after="20"/>
            </w:pPr>
            <w:r/>
            <w:r>
              <w:rPr>
                <w:rFonts w:ascii="Aptos" w:hAnsi="Aptos"/>
                <w:b w:val="0"/>
                <w:sz w:val="16"/>
              </w:rPr>
              <w:t>Figure 2</w:t>
            </w:r>
          </w:p>
        </w:tc>
        <w:tc>
          <w:tcPr>
            <w:tcW w:type="dxa" w:w="3360"/>
            <w:vAlign w:val="center"/>
          </w:tcPr>
          <w:p>
            <w:pPr>
              <w:spacing w:after="20"/>
            </w:pPr>
            <w:r/>
            <w:r>
              <w:rPr>
                <w:rFonts w:ascii="Aptos" w:hAnsi="Aptos"/>
                <w:b w:val="0"/>
                <w:sz w:val="16"/>
              </w:rPr>
              <w:t>Confusion-matrix summary with explicit aggregation method.</w:t>
            </w:r>
          </w:p>
        </w:tc>
        <w:tc>
          <w:tcPr>
            <w:tcW w:type="dxa" w:w="3360"/>
            <w:vAlign w:val="center"/>
          </w:tcPr>
          <w:p>
            <w:pPr>
              <w:spacing w:after="20"/>
            </w:pPr>
            <w:r/>
            <w:r>
              <w:rPr>
                <w:rFonts w:ascii="Aptos" w:hAnsi="Aptos"/>
                <w:b w:val="0"/>
                <w:sz w:val="16"/>
              </w:rPr>
              <w:t>Results</w:t>
            </w:r>
          </w:p>
        </w:tc>
      </w:tr>
      <w:tr>
        <w:tc>
          <w:tcPr>
            <w:tcW w:type="dxa" w:w="3360"/>
            <w:vAlign w:val="center"/>
          </w:tcPr>
          <w:p>
            <w:pPr>
              <w:spacing w:after="20"/>
            </w:pPr>
            <w:r/>
            <w:r>
              <w:rPr>
                <w:rFonts w:ascii="Aptos" w:hAnsi="Aptos"/>
                <w:b w:val="0"/>
                <w:sz w:val="16"/>
              </w:rPr>
              <w:t>Figure 3</w:t>
            </w:r>
          </w:p>
        </w:tc>
        <w:tc>
          <w:tcPr>
            <w:tcW w:type="dxa" w:w="3360"/>
            <w:vAlign w:val="center"/>
          </w:tcPr>
          <w:p>
            <w:pPr>
              <w:spacing w:after="20"/>
            </w:pPr>
            <w:r/>
            <w:r>
              <w:rPr>
                <w:rFonts w:ascii="Aptos" w:hAnsi="Aptos"/>
                <w:b w:val="0"/>
                <w:sz w:val="16"/>
              </w:rPr>
              <w:t>SHAP global summary plot(s) for held-out fold predictions.</w:t>
            </w:r>
          </w:p>
        </w:tc>
        <w:tc>
          <w:tcPr>
            <w:tcW w:type="dxa" w:w="3360"/>
            <w:vAlign w:val="center"/>
          </w:tcPr>
          <w:p>
            <w:pPr>
              <w:spacing w:after="20"/>
            </w:pPr>
            <w:r/>
            <w:r>
              <w:rPr>
                <w:rFonts w:ascii="Aptos" w:hAnsi="Aptos"/>
                <w:b w:val="0"/>
                <w:sz w:val="16"/>
              </w:rPr>
              <w:t>Results</w:t>
            </w:r>
          </w:p>
        </w:tc>
      </w:tr>
      <w:tr>
        <w:tc>
          <w:tcPr>
            <w:tcW w:type="dxa" w:w="3360"/>
            <w:vAlign w:val="center"/>
          </w:tcPr>
          <w:p>
            <w:pPr>
              <w:spacing w:after="20"/>
            </w:pPr>
            <w:r/>
            <w:r>
              <w:rPr>
                <w:rFonts w:ascii="Aptos" w:hAnsi="Aptos"/>
                <w:b w:val="0"/>
                <w:sz w:val="16"/>
              </w:rPr>
              <w:t>Figure 4</w:t>
            </w:r>
          </w:p>
        </w:tc>
        <w:tc>
          <w:tcPr>
            <w:tcW w:type="dxa" w:w="3360"/>
            <w:vAlign w:val="center"/>
          </w:tcPr>
          <w:p>
            <w:pPr>
              <w:spacing w:after="20"/>
            </w:pPr>
            <w:r/>
            <w:r>
              <w:rPr>
                <w:rFonts w:ascii="Aptos" w:hAnsi="Aptos"/>
                <w:b w:val="0"/>
                <w:sz w:val="16"/>
              </w:rPr>
              <w:t>Heatmap/distribution of Spearman and top-k Jaccard explanation stability.</w:t>
            </w:r>
          </w:p>
        </w:tc>
        <w:tc>
          <w:tcPr>
            <w:tcW w:type="dxa" w:w="3360"/>
            <w:vAlign w:val="center"/>
          </w:tcPr>
          <w:p>
            <w:pPr>
              <w:spacing w:after="20"/>
            </w:pPr>
            <w:r/>
            <w:r>
              <w:rPr>
                <w:rFonts w:ascii="Aptos" w:hAnsi="Aptos"/>
                <w:b w:val="0"/>
                <w:sz w:val="16"/>
              </w:rPr>
              <w:t>Results</w:t>
            </w:r>
          </w:p>
        </w:tc>
      </w:tr>
      <w:tr>
        <w:tc>
          <w:tcPr>
            <w:tcW w:type="dxa" w:w="3360"/>
            <w:vAlign w:val="center"/>
          </w:tcPr>
          <w:p>
            <w:pPr>
              <w:spacing w:after="20"/>
            </w:pPr>
            <w:r/>
            <w:r>
              <w:rPr>
                <w:rFonts w:ascii="Aptos" w:hAnsi="Aptos"/>
                <w:b w:val="0"/>
                <w:sz w:val="16"/>
              </w:rPr>
              <w:t>Table 3</w:t>
            </w:r>
          </w:p>
        </w:tc>
        <w:tc>
          <w:tcPr>
            <w:tcW w:type="dxa" w:w="3360"/>
            <w:vAlign w:val="center"/>
          </w:tcPr>
          <w:p>
            <w:pPr>
              <w:spacing w:after="20"/>
            </w:pPr>
            <w:r/>
            <w:r>
              <w:rPr>
                <w:rFonts w:ascii="Aptos" w:hAnsi="Aptos"/>
                <w:b w:val="0"/>
                <w:sz w:val="16"/>
              </w:rPr>
              <w:t>Top-k feature overlap and ranking stability by model.</w:t>
            </w:r>
          </w:p>
        </w:tc>
        <w:tc>
          <w:tcPr>
            <w:tcW w:type="dxa" w:w="3360"/>
            <w:vAlign w:val="center"/>
          </w:tcPr>
          <w:p>
            <w:pPr>
              <w:spacing w:after="20"/>
            </w:pPr>
            <w:r/>
            <w:r>
              <w:rPr>
                <w:rFonts w:ascii="Aptos" w:hAnsi="Aptos"/>
                <w:b w:val="0"/>
                <w:sz w:val="16"/>
              </w:rPr>
              <w:t>Results</w:t>
            </w:r>
          </w:p>
        </w:tc>
      </w:tr>
      <w:tr>
        <w:tc>
          <w:tcPr>
            <w:tcW w:type="dxa" w:w="3360"/>
            <w:vAlign w:val="center"/>
          </w:tcPr>
          <w:p>
            <w:pPr>
              <w:spacing w:after="20"/>
            </w:pPr>
            <w:r/>
            <w:r>
              <w:rPr>
                <w:rFonts w:ascii="Aptos" w:hAnsi="Aptos"/>
                <w:b w:val="0"/>
                <w:sz w:val="16"/>
              </w:rPr>
              <w:t>Figure/Table 5</w:t>
            </w:r>
          </w:p>
        </w:tc>
        <w:tc>
          <w:tcPr>
            <w:tcW w:type="dxa" w:w="3360"/>
            <w:vAlign w:val="center"/>
          </w:tcPr>
          <w:p>
            <w:pPr>
              <w:spacing w:after="20"/>
            </w:pPr>
            <w:r/>
            <w:r>
              <w:rPr>
                <w:rFonts w:ascii="Aptos" w:hAnsi="Aptos"/>
                <w:b w:val="0"/>
                <w:sz w:val="16"/>
              </w:rPr>
              <w:t>Metric and explanation changes under 10%/20% missingness stress tests.</w:t>
            </w:r>
          </w:p>
        </w:tc>
        <w:tc>
          <w:tcPr>
            <w:tcW w:type="dxa" w:w="3360"/>
            <w:vAlign w:val="center"/>
          </w:tcPr>
          <w:p>
            <w:pPr>
              <w:spacing w:after="20"/>
            </w:pPr>
            <w:r/>
            <w:r>
              <w:rPr>
                <w:rFonts w:ascii="Aptos" w:hAnsi="Aptos"/>
                <w:b w:val="0"/>
                <w:sz w:val="16"/>
              </w:rPr>
              <w:t>Results</w:t>
            </w:r>
          </w:p>
        </w:tc>
      </w:tr>
      <w:tr>
        <w:tc>
          <w:tcPr>
            <w:tcW w:type="dxa" w:w="3360"/>
            <w:vAlign w:val="center"/>
          </w:tcPr>
          <w:p>
            <w:pPr>
              <w:spacing w:after="20"/>
            </w:pPr>
            <w:r/>
            <w:r>
              <w:rPr>
                <w:rFonts w:ascii="Aptos" w:hAnsi="Aptos"/>
                <w:b w:val="0"/>
                <w:sz w:val="16"/>
              </w:rPr>
              <w:t>Figure 6</w:t>
            </w:r>
          </w:p>
        </w:tc>
        <w:tc>
          <w:tcPr>
            <w:tcW w:type="dxa" w:w="3360"/>
            <w:vAlign w:val="center"/>
          </w:tcPr>
          <w:p>
            <w:pPr>
              <w:spacing w:after="20"/>
            </w:pPr>
            <w:r/>
            <w:r>
              <w:rPr>
                <w:rFonts w:ascii="Aptos" w:hAnsi="Aptos"/>
                <w:b w:val="0"/>
                <w:sz w:val="16"/>
              </w:rPr>
              <w:t>Reproducibly selected local SHAP waterfall examples.</w:t>
            </w:r>
          </w:p>
        </w:tc>
        <w:tc>
          <w:tcPr>
            <w:tcW w:type="dxa" w:w="3360"/>
            <w:vAlign w:val="center"/>
          </w:tcPr>
          <w:p>
            <w:pPr>
              <w:spacing w:after="20"/>
            </w:pPr>
            <w:r/>
            <w:r>
              <w:rPr>
                <w:rFonts w:ascii="Aptos" w:hAnsi="Aptos"/>
                <w:b w:val="0"/>
                <w:sz w:val="16"/>
              </w:rPr>
              <w:t>Results / Discussion</w:t>
            </w:r>
          </w:p>
        </w:tc>
      </w:tr>
      <w:tr>
        <w:tc>
          <w:tcPr>
            <w:tcW w:type="dxa" w:w="3360"/>
            <w:vAlign w:val="center"/>
          </w:tcPr>
          <w:p>
            <w:pPr>
              <w:spacing w:after="20"/>
            </w:pPr>
            <w:r/>
            <w:r>
              <w:rPr>
                <w:rFonts w:ascii="Aptos" w:hAnsi="Aptos"/>
                <w:b w:val="0"/>
                <w:sz w:val="16"/>
              </w:rPr>
              <w:t>Supplement</w:t>
            </w:r>
          </w:p>
        </w:tc>
        <w:tc>
          <w:tcPr>
            <w:tcW w:type="dxa" w:w="3360"/>
            <w:vAlign w:val="center"/>
          </w:tcPr>
          <w:p>
            <w:pPr>
              <w:spacing w:after="20"/>
            </w:pPr>
            <w:r/>
            <w:r>
              <w:rPr>
                <w:rFonts w:ascii="Aptos" w:hAnsi="Aptos"/>
                <w:b w:val="0"/>
                <w:sz w:val="16"/>
              </w:rPr>
              <w:t>Code, package versions, seeds, preprocessing details, fold-level results, and data-source citation.</w:t>
            </w:r>
          </w:p>
        </w:tc>
        <w:tc>
          <w:tcPr>
            <w:tcW w:type="dxa" w:w="3360"/>
            <w:vAlign w:val="center"/>
          </w:tcPr>
          <w:p>
            <w:pPr>
              <w:spacing w:after="20"/>
            </w:pPr>
            <w:r/>
            <w:r>
              <w:rPr>
                <w:rFonts w:ascii="Aptos" w:hAnsi="Aptos"/>
                <w:b w:val="0"/>
                <w:sz w:val="16"/>
              </w:rPr>
              <w:t>Reproducibility</w:t>
            </w:r>
          </w:p>
        </w:tc>
      </w:tr>
    </w:tbl>
    <w:p/>
    <w:p>
      <w:r>
        <w:t>These are deliverables to generate, not results that can be written in advance. Do not insert assumed accuracy values or assumed top features.</w:t>
      </w:r>
    </w:p>
    <w:p>
      <w:pPr>
        <w:pStyle w:val="Heading1"/>
      </w:pPr>
      <w:r>
        <w:t>8. Manuscript sections and what to write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20"/>
            </w:pPr>
            <w:r/>
            <w:r>
              <w:rPr>
                <w:rFonts w:ascii="Aptos" w:hAnsi="Aptos"/>
                <w:b/>
                <w:sz w:val="17"/>
              </w:rPr>
              <w:t>Section</w:t>
            </w:r>
          </w:p>
        </w:tc>
        <w:tc>
          <w:tcPr>
            <w:tcW w:type="dxa" w:w="5040"/>
            <w:vAlign w:val="center"/>
            <w:shd w:fill="D9EAF7"/>
          </w:tcPr>
          <w:p>
            <w:pPr>
              <w:spacing w:after="20"/>
            </w:pPr>
            <w:r/>
            <w:r>
              <w:rPr>
                <w:rFonts w:ascii="Aptos" w:hAnsi="Aptos"/>
                <w:b/>
                <w:sz w:val="17"/>
              </w:rPr>
              <w:t>Content to include</w:t>
            </w:r>
          </w:p>
        </w:tc>
      </w:tr>
      <w:tr>
        <w:tc>
          <w:tcPr>
            <w:tcW w:type="dxa" w:w="5040"/>
            <w:vAlign w:val="center"/>
          </w:tcPr>
          <w:p>
            <w:pPr>
              <w:spacing w:after="20"/>
            </w:pPr>
            <w:r/>
            <w:r>
              <w:rPr>
                <w:rFonts w:ascii="Aptos" w:hAnsi="Aptos"/>
                <w:b w:val="0"/>
                <w:sz w:val="16"/>
              </w:rPr>
              <w:t>Title</w:t>
            </w:r>
          </w:p>
        </w:tc>
        <w:tc>
          <w:tcPr>
            <w:tcW w:type="dxa" w:w="5040"/>
            <w:vAlign w:val="center"/>
          </w:tcPr>
          <w:p>
            <w:pPr>
              <w:spacing w:after="20"/>
            </w:pPr>
            <w:r/>
            <w:r>
              <w:rPr>
                <w:rFonts w:ascii="Aptos" w:hAnsi="Aptos"/>
                <w:b w:val="0"/>
                <w:sz w:val="16"/>
              </w:rPr>
              <w:t>Explainable ML for CKD classification; explicitly mention attribution stability and missing-data sensitivity if these analyses are completed.</w:t>
            </w:r>
          </w:p>
        </w:tc>
      </w:tr>
      <w:tr>
        <w:tc>
          <w:tcPr>
            <w:tcW w:type="dxa" w:w="5040"/>
            <w:vAlign w:val="center"/>
          </w:tcPr>
          <w:p>
            <w:pPr>
              <w:spacing w:after="20"/>
            </w:pPr>
            <w:r/>
            <w:r>
              <w:rPr>
                <w:rFonts w:ascii="Aptos" w:hAnsi="Aptos"/>
                <w:b w:val="0"/>
                <w:sz w:val="16"/>
              </w:rPr>
              <w:t>Abstract</w:t>
            </w:r>
          </w:p>
        </w:tc>
        <w:tc>
          <w:tcPr>
            <w:tcW w:type="dxa" w:w="5040"/>
            <w:vAlign w:val="center"/>
          </w:tcPr>
          <w:p>
            <w:pPr>
              <w:spacing w:after="20"/>
            </w:pPr>
            <w:r/>
            <w:r>
              <w:rPr>
                <w:rFonts w:ascii="Aptos" w:hAnsi="Aptos"/>
                <w:b w:val="0"/>
                <w:sz w:val="16"/>
              </w:rPr>
              <w:t>Background, objective, dataset, models, validation, SHAP stability analysis, actual key results, limitations. Write the final version last.</w:t>
            </w:r>
          </w:p>
        </w:tc>
      </w:tr>
      <w:tr>
        <w:tc>
          <w:tcPr>
            <w:tcW w:type="dxa" w:w="5040"/>
            <w:vAlign w:val="center"/>
          </w:tcPr>
          <w:p>
            <w:pPr>
              <w:spacing w:after="20"/>
            </w:pPr>
            <w:r/>
            <w:r>
              <w:rPr>
                <w:rFonts w:ascii="Aptos" w:hAnsi="Aptos"/>
                <w:b w:val="0"/>
                <w:sz w:val="16"/>
              </w:rPr>
              <w:t>1. Introduction</w:t>
            </w:r>
          </w:p>
        </w:tc>
        <w:tc>
          <w:tcPr>
            <w:tcW w:type="dxa" w:w="5040"/>
            <w:vAlign w:val="center"/>
          </w:tcPr>
          <w:p>
            <w:pPr>
              <w:spacing w:after="20"/>
            </w:pPr>
            <w:r/>
            <w:r>
              <w:rPr>
                <w:rFonts w:ascii="Aptos" w:hAnsi="Aptos"/>
                <w:b w:val="0"/>
                <w:sz w:val="16"/>
              </w:rPr>
              <w:t>CKD context; ML for classification; explainability motivation; why stability and missingness matter; precise research questions and contributions.</w:t>
            </w:r>
          </w:p>
        </w:tc>
      </w:tr>
      <w:tr>
        <w:tc>
          <w:tcPr>
            <w:tcW w:type="dxa" w:w="5040"/>
            <w:vAlign w:val="center"/>
          </w:tcPr>
          <w:p>
            <w:pPr>
              <w:spacing w:after="20"/>
            </w:pPr>
            <w:r/>
            <w:r>
              <w:rPr>
                <w:rFonts w:ascii="Aptos" w:hAnsi="Aptos"/>
                <w:b w:val="0"/>
                <w:sz w:val="16"/>
              </w:rPr>
              <w:t>2. Related Work</w:t>
            </w:r>
          </w:p>
        </w:tc>
        <w:tc>
          <w:tcPr>
            <w:tcW w:type="dxa" w:w="5040"/>
            <w:vAlign w:val="center"/>
          </w:tcPr>
          <w:p>
            <w:pPr>
              <w:spacing w:after="20"/>
            </w:pPr>
            <w:r/>
            <w:r>
              <w:rPr>
                <w:rFonts w:ascii="Aptos" w:hAnsi="Aptos"/>
                <w:b w:val="0"/>
                <w:sz w:val="16"/>
              </w:rPr>
              <w:t>CKD ML studies; explainable CKD studies; SHAP; explanation robustness/stability; clinical prediction reporting and validation.</w:t>
            </w:r>
          </w:p>
        </w:tc>
      </w:tr>
      <w:tr>
        <w:tc>
          <w:tcPr>
            <w:tcW w:type="dxa" w:w="5040"/>
            <w:vAlign w:val="center"/>
          </w:tcPr>
          <w:p>
            <w:pPr>
              <w:spacing w:after="20"/>
            </w:pPr>
            <w:r/>
            <w:r>
              <w:rPr>
                <w:rFonts w:ascii="Aptos" w:hAnsi="Aptos"/>
                <w:b w:val="0"/>
                <w:sz w:val="16"/>
              </w:rPr>
              <w:t>3. Materials and Methods</w:t>
            </w:r>
          </w:p>
        </w:tc>
        <w:tc>
          <w:tcPr>
            <w:tcW w:type="dxa" w:w="5040"/>
            <w:vAlign w:val="center"/>
          </w:tcPr>
          <w:p>
            <w:pPr>
              <w:spacing w:after="20"/>
            </w:pPr>
            <w:r/>
            <w:r>
              <w:rPr>
                <w:rFonts w:ascii="Aptos" w:hAnsi="Aptos"/>
                <w:b w:val="0"/>
                <w:sz w:val="16"/>
              </w:rPr>
              <w:t>Dataset source and labels; inclusion/exclusion; preprocessing; models; CV design; metrics; SHAP extraction; ranking stability; missingness experiment.</w:t>
            </w:r>
          </w:p>
        </w:tc>
      </w:tr>
      <w:tr>
        <w:tc>
          <w:tcPr>
            <w:tcW w:type="dxa" w:w="5040"/>
            <w:vAlign w:val="center"/>
          </w:tcPr>
          <w:p>
            <w:pPr>
              <w:spacing w:after="20"/>
            </w:pPr>
            <w:r/>
            <w:r>
              <w:rPr>
                <w:rFonts w:ascii="Aptos" w:hAnsi="Aptos"/>
                <w:b w:val="0"/>
                <w:sz w:val="16"/>
              </w:rPr>
              <w:t>4. Experimental Setup</w:t>
            </w:r>
          </w:p>
        </w:tc>
        <w:tc>
          <w:tcPr>
            <w:tcW w:type="dxa" w:w="5040"/>
            <w:vAlign w:val="center"/>
          </w:tcPr>
          <w:p>
            <w:pPr>
              <w:spacing w:after="20"/>
            </w:pPr>
            <w:r/>
            <w:r>
              <w:rPr>
                <w:rFonts w:ascii="Aptos" w:hAnsi="Aptos"/>
                <w:b w:val="0"/>
                <w:sz w:val="16"/>
              </w:rPr>
              <w:t>Environment, package versions, random seeds, model parameters, computational details, reproducibility.</w:t>
            </w:r>
          </w:p>
        </w:tc>
      </w:tr>
      <w:tr>
        <w:tc>
          <w:tcPr>
            <w:tcW w:type="dxa" w:w="5040"/>
            <w:vAlign w:val="center"/>
          </w:tcPr>
          <w:p>
            <w:pPr>
              <w:spacing w:after="20"/>
            </w:pPr>
            <w:r/>
            <w:r>
              <w:rPr>
                <w:rFonts w:ascii="Aptos" w:hAnsi="Aptos"/>
                <w:b w:val="0"/>
                <w:sz w:val="16"/>
              </w:rPr>
              <w:t>5. Results</w:t>
            </w:r>
          </w:p>
        </w:tc>
        <w:tc>
          <w:tcPr>
            <w:tcW w:type="dxa" w:w="5040"/>
            <w:vAlign w:val="center"/>
          </w:tcPr>
          <w:p>
            <w:pPr>
              <w:spacing w:after="20"/>
            </w:pPr>
            <w:r/>
            <w:r>
              <w:rPr>
                <w:rFonts w:ascii="Aptos" w:hAnsi="Aptos"/>
                <w:b w:val="0"/>
                <w:sz w:val="16"/>
              </w:rPr>
              <w:t>Dataset audit, cross-validated metrics, SHAP results, explanation stability, missingness sensitivity. No interpretation beyond observed results.</w:t>
            </w:r>
          </w:p>
        </w:tc>
      </w:tr>
      <w:tr>
        <w:tc>
          <w:tcPr>
            <w:tcW w:type="dxa" w:w="5040"/>
            <w:vAlign w:val="center"/>
          </w:tcPr>
          <w:p>
            <w:pPr>
              <w:spacing w:after="20"/>
            </w:pPr>
            <w:r/>
            <w:r>
              <w:rPr>
                <w:rFonts w:ascii="Aptos" w:hAnsi="Aptos"/>
                <w:b w:val="0"/>
                <w:sz w:val="16"/>
              </w:rPr>
              <w:t>6. Discussion</w:t>
            </w:r>
          </w:p>
        </w:tc>
        <w:tc>
          <w:tcPr>
            <w:tcW w:type="dxa" w:w="5040"/>
            <w:vAlign w:val="center"/>
          </w:tcPr>
          <w:p>
            <w:pPr>
              <w:spacing w:after="20"/>
            </w:pPr>
            <w:r/>
            <w:r>
              <w:rPr>
                <w:rFonts w:ascii="Aptos" w:hAnsi="Aptos"/>
                <w:b w:val="0"/>
                <w:sz w:val="16"/>
              </w:rPr>
              <w:t>Answer each RQ; compare with previous studies; discuss model/explanation disagreement; clinical plausibility without causal claims.</w:t>
            </w:r>
          </w:p>
        </w:tc>
      </w:tr>
      <w:tr>
        <w:tc>
          <w:tcPr>
            <w:tcW w:type="dxa" w:w="5040"/>
            <w:vAlign w:val="center"/>
          </w:tcPr>
          <w:p>
            <w:pPr>
              <w:spacing w:after="20"/>
            </w:pPr>
            <w:r/>
            <w:r>
              <w:rPr>
                <w:rFonts w:ascii="Aptos" w:hAnsi="Aptos"/>
                <w:b w:val="0"/>
                <w:sz w:val="16"/>
              </w:rPr>
              <w:t>7. Limitations</w:t>
            </w:r>
          </w:p>
        </w:tc>
        <w:tc>
          <w:tcPr>
            <w:tcW w:type="dxa" w:w="5040"/>
            <w:vAlign w:val="center"/>
          </w:tcPr>
          <w:p>
            <w:pPr>
              <w:spacing w:after="20"/>
            </w:pPr>
            <w:r/>
            <w:r>
              <w:rPr>
                <w:rFonts w:ascii="Aptos" w:hAnsi="Aptos"/>
                <w:b w:val="0"/>
                <w:sz w:val="16"/>
              </w:rPr>
              <w:t>Small and frequently reused dataset; no external validation; possible label/selection bias; synthetic masking; uncertainty and limited clinical generalizability.</w:t>
            </w:r>
          </w:p>
        </w:tc>
      </w:tr>
      <w:tr>
        <w:tc>
          <w:tcPr>
            <w:tcW w:type="dxa" w:w="5040"/>
            <w:vAlign w:val="center"/>
          </w:tcPr>
          <w:p>
            <w:pPr>
              <w:spacing w:after="20"/>
            </w:pPr>
            <w:r/>
            <w:r>
              <w:rPr>
                <w:rFonts w:ascii="Aptos" w:hAnsi="Aptos"/>
                <w:b w:val="0"/>
                <w:sz w:val="16"/>
              </w:rPr>
              <w:t>8. Conclusion</w:t>
            </w:r>
          </w:p>
        </w:tc>
        <w:tc>
          <w:tcPr>
            <w:tcW w:type="dxa" w:w="5040"/>
            <w:vAlign w:val="center"/>
          </w:tcPr>
          <w:p>
            <w:pPr>
              <w:spacing w:after="20"/>
            </w:pPr>
            <w:r/>
            <w:r>
              <w:rPr>
                <w:rFonts w:ascii="Aptos" w:hAnsi="Aptos"/>
                <w:b w:val="0"/>
                <w:sz w:val="16"/>
              </w:rPr>
              <w:t>Summarize only demonstrated findings and propose external validation on a representative independent cohort.</w:t>
            </w:r>
          </w:p>
        </w:tc>
      </w:tr>
      <w:tr>
        <w:tc>
          <w:tcPr>
            <w:tcW w:type="dxa" w:w="5040"/>
            <w:vAlign w:val="center"/>
          </w:tcPr>
          <w:p>
            <w:pPr>
              <w:spacing w:after="20"/>
            </w:pPr>
            <w:r/>
            <w:r>
              <w:rPr>
                <w:rFonts w:ascii="Aptos" w:hAnsi="Aptos"/>
                <w:b w:val="0"/>
                <w:sz w:val="16"/>
              </w:rPr>
              <w:t>References</w:t>
            </w:r>
          </w:p>
        </w:tc>
        <w:tc>
          <w:tcPr>
            <w:tcW w:type="dxa" w:w="5040"/>
            <w:vAlign w:val="center"/>
          </w:tcPr>
          <w:p>
            <w:pPr>
              <w:spacing w:after="20"/>
            </w:pPr>
            <w:r/>
            <w:r>
              <w:rPr>
                <w:rFonts w:ascii="Aptos" w:hAnsi="Aptos"/>
                <w:b w:val="0"/>
                <w:sz w:val="16"/>
              </w:rPr>
              <w:t>Approximately 20 carefully verified references grouped by disease, dataset, ML methods, XAI, and evaluation/reporting.</w:t>
            </w:r>
          </w:p>
        </w:tc>
      </w:tr>
    </w:tbl>
    <w:p/>
    <w:p>
      <w:pPr>
        <w:pStyle w:val="Heading1"/>
      </w:pPr>
      <w:r>
        <w:t>9. Novelty audit before claiming originality</w:t>
      </w:r>
    </w:p>
    <w:p>
      <w:r>
        <w:t>No search can guarantee that a study idea has never appeared anywhere. Before stating a novelty claim, search Google Scholar, PubMed, Scopus (if available), Crossref, and the reference lists of the closest papers. Record the date, exact queries, and the closest matching studies.</w:t>
      </w:r>
    </w:p>
    <w:p>
      <w:r>
        <w:t>Recommended exact search queries:</w:t>
      </w:r>
    </w:p>
    <w:p>
      <w:pPr>
        <w:pStyle w:val="ListBullet"/>
        <w:spacing w:after="40"/>
      </w:pPr>
      <w:r>
        <w:t>"chronic kidney disease" SHAP explanation stability</w:t>
      </w:r>
    </w:p>
    <w:p>
      <w:pPr>
        <w:pStyle w:val="ListBullet"/>
        <w:spacing w:after="40"/>
      </w:pPr>
      <w:r>
        <w:t>"CKD prediction" "feature attribution stability"</w:t>
      </w:r>
    </w:p>
    <w:p>
      <w:pPr>
        <w:pStyle w:val="ListBullet"/>
        <w:spacing w:after="40"/>
      </w:pPr>
      <w:r>
        <w:t>"chronic kidney disease" SHAP robustness missing data</w:t>
      </w:r>
    </w:p>
    <w:p>
      <w:pPr>
        <w:pStyle w:val="ListBullet"/>
        <w:spacing w:after="40"/>
      </w:pPr>
      <w:r>
        <w:t>"CKD-NHANES 2021-2023" SHAP explanation stability</w:t>
      </w:r>
    </w:p>
    <w:p>
      <w:pPr>
        <w:pStyle w:val="ListBullet"/>
        <w:spacing w:after="40"/>
      </w:pPr>
      <w:r>
        <w:t>"feature ranking stability" clinical machine learning SHAP</w:t>
      </w:r>
    </w:p>
    <w:p>
      <w:pPr>
        <w:pStyle w:val="ListBullet"/>
        <w:spacing w:after="40"/>
      </w:pPr>
      <w:r>
        <w:t>"explanation stability" tabular healthcare machine learning</w:t>
      </w:r>
    </w:p>
    <w:p>
      <w:r>
        <w:t>If a paper already performs the same combination of resampled SHAP-ranking stability and missingness sensitivity on CKD data, do not claim the combination is new. Reframe as a replication/robustness study or choose a more distinctive question or dataset.</w:t>
      </w:r>
    </w:p>
    <w:p>
      <w:pPr>
        <w:pStyle w:val="Heading1"/>
      </w:pPr>
      <w:r>
        <w:t>10. End-to-end implementation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20"/>
            </w:pPr>
            <w:r/>
            <w:r>
              <w:rPr>
                <w:rFonts w:ascii="Aptos" w:hAnsi="Aptos"/>
                <w:b/>
                <w:sz w:val="17"/>
              </w:rPr>
              <w:t>Step</w:t>
            </w:r>
          </w:p>
        </w:tc>
        <w:tc>
          <w:tcPr>
            <w:tcW w:type="dxa" w:w="2520"/>
            <w:vAlign w:val="center"/>
            <w:shd w:fill="D9EAF7"/>
          </w:tcPr>
          <w:p>
            <w:pPr>
              <w:spacing w:after="20"/>
            </w:pPr>
            <w:r/>
            <w:r>
              <w:rPr>
                <w:rFonts w:ascii="Aptos" w:hAnsi="Aptos"/>
                <w:b/>
                <w:sz w:val="17"/>
              </w:rPr>
              <w:t>Action</w:t>
            </w:r>
          </w:p>
        </w:tc>
        <w:tc>
          <w:tcPr>
            <w:tcW w:type="dxa" w:w="2520"/>
            <w:vAlign w:val="center"/>
            <w:shd w:fill="D9EAF7"/>
          </w:tcPr>
          <w:p>
            <w:pPr>
              <w:spacing w:after="20"/>
            </w:pPr>
            <w:r/>
            <w:r>
              <w:rPr>
                <w:rFonts w:ascii="Aptos" w:hAnsi="Aptos"/>
                <w:b/>
                <w:sz w:val="17"/>
              </w:rPr>
              <w:t>Files/results to save</w:t>
            </w:r>
          </w:p>
        </w:tc>
        <w:tc>
          <w:tcPr>
            <w:tcW w:type="dxa" w:w="2520"/>
            <w:vAlign w:val="center"/>
            <w:shd w:fill="D9EAF7"/>
          </w:tcPr>
          <w:p>
            <w:pPr>
              <w:spacing w:after="20"/>
            </w:pPr>
            <w:r/>
            <w:r>
              <w:rPr>
                <w:rFonts w:ascii="Aptos" w:hAnsi="Aptos"/>
                <w:b/>
                <w:sz w:val="17"/>
              </w:rPr>
              <w:t>Completion check</w:t>
            </w:r>
          </w:p>
        </w:tc>
      </w:tr>
      <w:tr>
        <w:tc>
          <w:tcPr>
            <w:tcW w:type="dxa" w:w="2520"/>
            <w:vAlign w:val="center"/>
          </w:tcPr>
          <w:p>
            <w:pPr>
              <w:spacing w:after="20"/>
            </w:pPr>
            <w:r/>
            <w:r>
              <w:rPr>
                <w:rFonts w:ascii="Aptos" w:hAnsi="Aptos"/>
                <w:b w:val="0"/>
                <w:sz w:val="16"/>
              </w:rPr>
              <w:t>1</w:t>
            </w:r>
          </w:p>
        </w:tc>
        <w:tc>
          <w:tcPr>
            <w:tcW w:type="dxa" w:w="2520"/>
            <w:vAlign w:val="center"/>
          </w:tcPr>
          <w:p>
            <w:pPr>
              <w:spacing w:after="20"/>
            </w:pPr>
            <w:r/>
            <w:r>
              <w:rPr>
                <w:rFonts w:ascii="Aptos" w:hAnsi="Aptos"/>
                <w:b w:val="0"/>
                <w:sz w:val="16"/>
              </w:rPr>
              <w:t>Fetch the actual UCI dataset and inspect metadata.</w:t>
            </w:r>
          </w:p>
        </w:tc>
        <w:tc>
          <w:tcPr>
            <w:tcW w:type="dxa" w:w="2520"/>
            <w:vAlign w:val="center"/>
          </w:tcPr>
          <w:p>
            <w:pPr>
              <w:spacing w:after="20"/>
            </w:pPr>
            <w:r/>
            <w:r>
              <w:rPr>
                <w:rFonts w:ascii="Aptos" w:hAnsi="Aptos"/>
                <w:b w:val="0"/>
                <w:sz w:val="16"/>
              </w:rPr>
              <w:t>raw data reference; dataset_audit.csv</w:t>
            </w:r>
          </w:p>
        </w:tc>
        <w:tc>
          <w:tcPr>
            <w:tcW w:type="dxa" w:w="2520"/>
            <w:vAlign w:val="center"/>
          </w:tcPr>
          <w:p>
            <w:pPr>
              <w:spacing w:after="20"/>
            </w:pPr>
            <w:r/>
            <w:r>
              <w:rPr>
                <w:rFonts w:ascii="Aptos" w:hAnsi="Aptos"/>
                <w:b w:val="0"/>
                <w:sz w:val="16"/>
              </w:rPr>
              <w:t>400 records / expected columns verified against source; no mock data.</w:t>
            </w:r>
          </w:p>
        </w:tc>
      </w:tr>
      <w:tr>
        <w:tc>
          <w:tcPr>
            <w:tcW w:type="dxa" w:w="2520"/>
            <w:vAlign w:val="center"/>
          </w:tcPr>
          <w:p>
            <w:pPr>
              <w:spacing w:after="20"/>
            </w:pPr>
            <w:r/>
            <w:r>
              <w:rPr>
                <w:rFonts w:ascii="Aptos" w:hAnsi="Aptos"/>
                <w:b w:val="0"/>
                <w:sz w:val="16"/>
              </w:rPr>
              <w:t>2</w:t>
            </w:r>
          </w:p>
        </w:tc>
        <w:tc>
          <w:tcPr>
            <w:tcW w:type="dxa" w:w="2520"/>
            <w:vAlign w:val="center"/>
          </w:tcPr>
          <w:p>
            <w:pPr>
              <w:spacing w:after="20"/>
            </w:pPr>
            <w:r/>
            <w:r>
              <w:rPr>
                <w:rFonts w:ascii="Aptos" w:hAnsi="Aptos"/>
                <w:b w:val="0"/>
                <w:sz w:val="16"/>
              </w:rPr>
              <w:t>Clean whitespace/missing markers; define target; audit duplicates and types.</w:t>
            </w:r>
          </w:p>
        </w:tc>
        <w:tc>
          <w:tcPr>
            <w:tcW w:type="dxa" w:w="2520"/>
            <w:vAlign w:val="center"/>
          </w:tcPr>
          <w:p>
            <w:pPr>
              <w:spacing w:after="20"/>
            </w:pPr>
            <w:r/>
            <w:r>
              <w:rPr>
                <w:rFonts w:ascii="Aptos" w:hAnsi="Aptos"/>
                <w:b w:val="0"/>
                <w:sz w:val="16"/>
              </w:rPr>
              <w:t>cleaned_data.csv; audit report</w:t>
            </w:r>
          </w:p>
        </w:tc>
        <w:tc>
          <w:tcPr>
            <w:tcW w:type="dxa" w:w="2520"/>
            <w:vAlign w:val="center"/>
          </w:tcPr>
          <w:p>
            <w:pPr>
              <w:spacing w:after="20"/>
            </w:pPr>
            <w:r/>
            <w:r>
              <w:rPr>
                <w:rFonts w:ascii="Aptos" w:hAnsi="Aptos"/>
                <w:b w:val="0"/>
                <w:sz w:val="16"/>
              </w:rPr>
              <w:t>Class counts and missingness documented.</w:t>
            </w:r>
          </w:p>
        </w:tc>
      </w:tr>
      <w:tr>
        <w:tc>
          <w:tcPr>
            <w:tcW w:type="dxa" w:w="2520"/>
            <w:vAlign w:val="center"/>
          </w:tcPr>
          <w:p>
            <w:pPr>
              <w:spacing w:after="20"/>
            </w:pPr>
            <w:r/>
            <w:r>
              <w:rPr>
                <w:rFonts w:ascii="Aptos" w:hAnsi="Aptos"/>
                <w:b w:val="0"/>
                <w:sz w:val="16"/>
              </w:rPr>
              <w:t>3</w:t>
            </w:r>
          </w:p>
        </w:tc>
        <w:tc>
          <w:tcPr>
            <w:tcW w:type="dxa" w:w="2520"/>
            <w:vAlign w:val="center"/>
          </w:tcPr>
          <w:p>
            <w:pPr>
              <w:spacing w:after="20"/>
            </w:pPr>
            <w:r/>
            <w:r>
              <w:rPr>
                <w:rFonts w:ascii="Aptos" w:hAnsi="Aptos"/>
                <w:b w:val="0"/>
                <w:sz w:val="16"/>
              </w:rPr>
              <w:t>Build numeric/categorical preprocessing pipelines.</w:t>
            </w:r>
          </w:p>
        </w:tc>
        <w:tc>
          <w:tcPr>
            <w:tcW w:type="dxa" w:w="2520"/>
            <w:vAlign w:val="center"/>
          </w:tcPr>
          <w:p>
            <w:pPr>
              <w:spacing w:after="20"/>
            </w:pPr>
            <w:r/>
            <w:r>
              <w:rPr>
                <w:rFonts w:ascii="Aptos" w:hAnsi="Aptos"/>
                <w:b w:val="0"/>
                <w:sz w:val="16"/>
              </w:rPr>
              <w:t>preprocessing_config.json or notebook cell</w:t>
            </w:r>
          </w:p>
        </w:tc>
        <w:tc>
          <w:tcPr>
            <w:tcW w:type="dxa" w:w="2520"/>
            <w:vAlign w:val="center"/>
          </w:tcPr>
          <w:p>
            <w:pPr>
              <w:spacing w:after="20"/>
            </w:pPr>
            <w:r/>
            <w:r>
              <w:rPr>
                <w:rFonts w:ascii="Aptos" w:hAnsi="Aptos"/>
                <w:b w:val="0"/>
                <w:sz w:val="16"/>
              </w:rPr>
              <w:t>All transformations fit within folds.</w:t>
            </w:r>
          </w:p>
        </w:tc>
      </w:tr>
      <w:tr>
        <w:tc>
          <w:tcPr>
            <w:tcW w:type="dxa" w:w="2520"/>
            <w:vAlign w:val="center"/>
          </w:tcPr>
          <w:p>
            <w:pPr>
              <w:spacing w:after="20"/>
            </w:pPr>
            <w:r/>
            <w:r>
              <w:rPr>
                <w:rFonts w:ascii="Aptos" w:hAnsi="Aptos"/>
                <w:b w:val="0"/>
                <w:sz w:val="16"/>
              </w:rPr>
              <w:t>4</w:t>
            </w:r>
          </w:p>
        </w:tc>
        <w:tc>
          <w:tcPr>
            <w:tcW w:type="dxa" w:w="2520"/>
            <w:vAlign w:val="center"/>
          </w:tcPr>
          <w:p>
            <w:pPr>
              <w:spacing w:after="20"/>
            </w:pPr>
            <w:r/>
            <w:r>
              <w:rPr>
                <w:rFonts w:ascii="Aptos" w:hAnsi="Aptos"/>
                <w:b w:val="0"/>
                <w:sz w:val="16"/>
              </w:rPr>
              <w:t>Define three models with prespecified settings.</w:t>
            </w:r>
          </w:p>
        </w:tc>
        <w:tc>
          <w:tcPr>
            <w:tcW w:type="dxa" w:w="2520"/>
            <w:vAlign w:val="center"/>
          </w:tcPr>
          <w:p>
            <w:pPr>
              <w:spacing w:after="20"/>
            </w:pPr>
            <w:r/>
            <w:r>
              <w:rPr>
                <w:rFonts w:ascii="Aptos" w:hAnsi="Aptos"/>
                <w:b w:val="0"/>
                <w:sz w:val="16"/>
              </w:rPr>
              <w:t>model_config.json</w:t>
            </w:r>
          </w:p>
        </w:tc>
        <w:tc>
          <w:tcPr>
            <w:tcW w:type="dxa" w:w="2520"/>
            <w:vAlign w:val="center"/>
          </w:tcPr>
          <w:p>
            <w:pPr>
              <w:spacing w:after="20"/>
            </w:pPr>
            <w:r/>
            <w:r>
              <w:rPr>
                <w:rFonts w:ascii="Aptos" w:hAnsi="Aptos"/>
                <w:b w:val="0"/>
                <w:sz w:val="16"/>
              </w:rPr>
              <w:t>Parameters and versions recorded.</w:t>
            </w:r>
          </w:p>
        </w:tc>
      </w:tr>
      <w:tr>
        <w:tc>
          <w:tcPr>
            <w:tcW w:type="dxa" w:w="2520"/>
            <w:vAlign w:val="center"/>
          </w:tcPr>
          <w:p>
            <w:pPr>
              <w:spacing w:after="20"/>
            </w:pPr>
            <w:r/>
            <w:r>
              <w:rPr>
                <w:rFonts w:ascii="Aptos" w:hAnsi="Aptos"/>
                <w:b w:val="0"/>
                <w:sz w:val="16"/>
              </w:rPr>
              <w:t>5</w:t>
            </w:r>
          </w:p>
        </w:tc>
        <w:tc>
          <w:tcPr>
            <w:tcW w:type="dxa" w:w="2520"/>
            <w:vAlign w:val="center"/>
          </w:tcPr>
          <w:p>
            <w:pPr>
              <w:spacing w:after="20"/>
            </w:pPr>
            <w:r/>
            <w:r>
              <w:rPr>
                <w:rFonts w:ascii="Aptos" w:hAnsi="Aptos"/>
                <w:b w:val="0"/>
                <w:sz w:val="16"/>
              </w:rPr>
              <w:t>Run repeated stratified 5-fold CV (5 repeats).</w:t>
            </w:r>
          </w:p>
        </w:tc>
        <w:tc>
          <w:tcPr>
            <w:tcW w:type="dxa" w:w="2520"/>
            <w:vAlign w:val="center"/>
          </w:tcPr>
          <w:p>
            <w:pPr>
              <w:spacing w:after="20"/>
            </w:pPr>
            <w:r/>
            <w:r>
              <w:rPr>
                <w:rFonts w:ascii="Aptos" w:hAnsi="Aptos"/>
                <w:b w:val="0"/>
                <w:sz w:val="16"/>
              </w:rPr>
              <w:t>fold_metrics.csv</w:t>
            </w:r>
          </w:p>
        </w:tc>
        <w:tc>
          <w:tcPr>
            <w:tcW w:type="dxa" w:w="2520"/>
            <w:vAlign w:val="center"/>
          </w:tcPr>
          <w:p>
            <w:pPr>
              <w:spacing w:after="20"/>
            </w:pPr>
            <w:r/>
            <w:r>
              <w:rPr>
                <w:rFonts w:ascii="Aptos" w:hAnsi="Aptos"/>
                <w:b w:val="0"/>
                <w:sz w:val="16"/>
              </w:rPr>
              <w:t>All models use identical splits.</w:t>
            </w:r>
          </w:p>
        </w:tc>
      </w:tr>
      <w:tr>
        <w:tc>
          <w:tcPr>
            <w:tcW w:type="dxa" w:w="2520"/>
            <w:vAlign w:val="center"/>
          </w:tcPr>
          <w:p>
            <w:pPr>
              <w:spacing w:after="20"/>
            </w:pPr>
            <w:r/>
            <w:r>
              <w:rPr>
                <w:rFonts w:ascii="Aptos" w:hAnsi="Aptos"/>
                <w:b w:val="0"/>
                <w:sz w:val="16"/>
              </w:rPr>
              <w:t>6</w:t>
            </w:r>
          </w:p>
        </w:tc>
        <w:tc>
          <w:tcPr>
            <w:tcW w:type="dxa" w:w="2520"/>
            <w:vAlign w:val="center"/>
          </w:tcPr>
          <w:p>
            <w:pPr>
              <w:spacing w:after="20"/>
            </w:pPr>
            <w:r/>
            <w:r>
              <w:rPr>
                <w:rFonts w:ascii="Aptos" w:hAnsi="Aptos"/>
                <w:b w:val="0"/>
                <w:sz w:val="16"/>
              </w:rPr>
              <w:t>Compute SHAP for each fold-trained model on held-out rows.</w:t>
            </w:r>
          </w:p>
        </w:tc>
        <w:tc>
          <w:tcPr>
            <w:tcW w:type="dxa" w:w="2520"/>
            <w:vAlign w:val="center"/>
          </w:tcPr>
          <w:p>
            <w:pPr>
              <w:spacing w:after="20"/>
            </w:pPr>
            <w:r/>
            <w:r>
              <w:rPr>
                <w:rFonts w:ascii="Aptos" w:hAnsi="Aptos"/>
                <w:b w:val="0"/>
                <w:sz w:val="16"/>
              </w:rPr>
              <w:t>fold_shap_values; fold_feature_importance.csv</w:t>
            </w:r>
          </w:p>
        </w:tc>
        <w:tc>
          <w:tcPr>
            <w:tcW w:type="dxa" w:w="2520"/>
            <w:vAlign w:val="center"/>
          </w:tcPr>
          <w:p>
            <w:pPr>
              <w:spacing w:after="20"/>
            </w:pPr>
            <w:r/>
            <w:r>
              <w:rPr>
                <w:rFonts w:ascii="Aptos" w:hAnsi="Aptos"/>
                <w:b w:val="0"/>
                <w:sz w:val="16"/>
              </w:rPr>
              <w:t>No SHAP ranking uses training predictions only.</w:t>
            </w:r>
          </w:p>
        </w:tc>
      </w:tr>
      <w:tr>
        <w:tc>
          <w:tcPr>
            <w:tcW w:type="dxa" w:w="2520"/>
            <w:vAlign w:val="center"/>
          </w:tcPr>
          <w:p>
            <w:pPr>
              <w:spacing w:after="20"/>
            </w:pPr>
            <w:r/>
            <w:r>
              <w:rPr>
                <w:rFonts w:ascii="Aptos" w:hAnsi="Aptos"/>
                <w:b w:val="0"/>
                <w:sz w:val="16"/>
              </w:rPr>
              <w:t>7</w:t>
            </w:r>
          </w:p>
        </w:tc>
        <w:tc>
          <w:tcPr>
            <w:tcW w:type="dxa" w:w="2520"/>
            <w:vAlign w:val="center"/>
          </w:tcPr>
          <w:p>
            <w:pPr>
              <w:spacing w:after="20"/>
            </w:pPr>
            <w:r/>
            <w:r>
              <w:rPr>
                <w:rFonts w:ascii="Aptos" w:hAnsi="Aptos"/>
                <w:b w:val="0"/>
                <w:sz w:val="16"/>
              </w:rPr>
              <w:t>Aggregate one-hot features to original variables and calculate stability.</w:t>
            </w:r>
          </w:p>
        </w:tc>
        <w:tc>
          <w:tcPr>
            <w:tcW w:type="dxa" w:w="2520"/>
            <w:vAlign w:val="center"/>
          </w:tcPr>
          <w:p>
            <w:pPr>
              <w:spacing w:after="20"/>
            </w:pPr>
            <w:r/>
            <w:r>
              <w:rPr>
                <w:rFonts w:ascii="Aptos" w:hAnsi="Aptos"/>
                <w:b w:val="0"/>
                <w:sz w:val="16"/>
              </w:rPr>
              <w:t>stability_pairwise.csv; stability_summary.csv</w:t>
            </w:r>
          </w:p>
        </w:tc>
        <w:tc>
          <w:tcPr>
            <w:tcW w:type="dxa" w:w="2520"/>
            <w:vAlign w:val="center"/>
          </w:tcPr>
          <w:p>
            <w:pPr>
              <w:spacing w:after="20"/>
            </w:pPr>
            <w:r/>
            <w:r>
              <w:rPr>
                <w:rFonts w:ascii="Aptos" w:hAnsi="Aptos"/>
                <w:b w:val="0"/>
                <w:sz w:val="16"/>
              </w:rPr>
              <w:t>Same feature universe and aggregation rule across comparisons.</w:t>
            </w:r>
          </w:p>
        </w:tc>
      </w:tr>
      <w:tr>
        <w:tc>
          <w:tcPr>
            <w:tcW w:type="dxa" w:w="2520"/>
            <w:vAlign w:val="center"/>
          </w:tcPr>
          <w:p>
            <w:pPr>
              <w:spacing w:after="20"/>
            </w:pPr>
            <w:r/>
            <w:r>
              <w:rPr>
                <w:rFonts w:ascii="Aptos" w:hAnsi="Aptos"/>
                <w:b w:val="0"/>
                <w:sz w:val="16"/>
              </w:rPr>
              <w:t>8</w:t>
            </w:r>
          </w:p>
        </w:tc>
        <w:tc>
          <w:tcPr>
            <w:tcW w:type="dxa" w:w="2520"/>
            <w:vAlign w:val="center"/>
          </w:tcPr>
          <w:p>
            <w:pPr>
              <w:spacing w:after="20"/>
            </w:pPr>
            <w:r/>
            <w:r>
              <w:rPr>
                <w:rFonts w:ascii="Aptos" w:hAnsi="Aptos"/>
                <w:b w:val="0"/>
                <w:sz w:val="16"/>
              </w:rPr>
              <w:t>Run 10%/20% additional missingness stress tests.</w:t>
            </w:r>
          </w:p>
        </w:tc>
        <w:tc>
          <w:tcPr>
            <w:tcW w:type="dxa" w:w="2520"/>
            <w:vAlign w:val="center"/>
          </w:tcPr>
          <w:p>
            <w:pPr>
              <w:spacing w:after="20"/>
            </w:pPr>
            <w:r/>
            <w:r>
              <w:rPr>
                <w:rFonts w:ascii="Aptos" w:hAnsi="Aptos"/>
                <w:b w:val="0"/>
                <w:sz w:val="16"/>
              </w:rPr>
              <w:t>missingness_results.csv</w:t>
            </w:r>
          </w:p>
        </w:tc>
        <w:tc>
          <w:tcPr>
            <w:tcW w:type="dxa" w:w="2520"/>
            <w:vAlign w:val="center"/>
          </w:tcPr>
          <w:p>
            <w:pPr>
              <w:spacing w:after="20"/>
            </w:pPr>
            <w:r/>
            <w:r>
              <w:rPr>
                <w:rFonts w:ascii="Aptos" w:hAnsi="Aptos"/>
                <w:b w:val="0"/>
                <w:sz w:val="16"/>
              </w:rPr>
              <w:t>Masking seeds and evaluation protocol recorded.</w:t>
            </w:r>
          </w:p>
        </w:tc>
      </w:tr>
      <w:tr>
        <w:tc>
          <w:tcPr>
            <w:tcW w:type="dxa" w:w="2520"/>
            <w:vAlign w:val="center"/>
          </w:tcPr>
          <w:p>
            <w:pPr>
              <w:spacing w:after="20"/>
            </w:pPr>
            <w:r/>
            <w:r>
              <w:rPr>
                <w:rFonts w:ascii="Aptos" w:hAnsi="Aptos"/>
                <w:b w:val="0"/>
                <w:sz w:val="16"/>
              </w:rPr>
              <w:t>9</w:t>
            </w:r>
          </w:p>
        </w:tc>
        <w:tc>
          <w:tcPr>
            <w:tcW w:type="dxa" w:w="2520"/>
            <w:vAlign w:val="center"/>
          </w:tcPr>
          <w:p>
            <w:pPr>
              <w:spacing w:after="20"/>
            </w:pPr>
            <w:r/>
            <w:r>
              <w:rPr>
                <w:rFonts w:ascii="Aptos" w:hAnsi="Aptos"/>
                <w:b w:val="0"/>
                <w:sz w:val="16"/>
              </w:rPr>
              <w:t>Generate figures and tables.</w:t>
            </w:r>
          </w:p>
        </w:tc>
        <w:tc>
          <w:tcPr>
            <w:tcW w:type="dxa" w:w="2520"/>
            <w:vAlign w:val="center"/>
          </w:tcPr>
          <w:p>
            <w:pPr>
              <w:spacing w:after="20"/>
            </w:pPr>
            <w:r/>
            <w:r>
              <w:rPr>
                <w:rFonts w:ascii="Aptos" w:hAnsi="Aptos"/>
                <w:b w:val="0"/>
                <w:sz w:val="16"/>
              </w:rPr>
              <w:t>PNG/PDF/SVG and CSV outputs</w:t>
            </w:r>
          </w:p>
        </w:tc>
        <w:tc>
          <w:tcPr>
            <w:tcW w:type="dxa" w:w="2520"/>
            <w:vAlign w:val="center"/>
          </w:tcPr>
          <w:p>
            <w:pPr>
              <w:spacing w:after="20"/>
            </w:pPr>
            <w:r/>
            <w:r>
              <w:rPr>
                <w:rFonts w:ascii="Aptos" w:hAnsi="Aptos"/>
                <w:b w:val="0"/>
                <w:sz w:val="16"/>
              </w:rPr>
              <w:t>Captions, units, class positive definition, and aggregation rules documented.</w:t>
            </w:r>
          </w:p>
        </w:tc>
      </w:tr>
      <w:tr>
        <w:tc>
          <w:tcPr>
            <w:tcW w:type="dxa" w:w="2520"/>
            <w:vAlign w:val="center"/>
          </w:tcPr>
          <w:p>
            <w:pPr>
              <w:spacing w:after="20"/>
            </w:pPr>
            <w:r/>
            <w:r>
              <w:rPr>
                <w:rFonts w:ascii="Aptos" w:hAnsi="Aptos"/>
                <w:b w:val="0"/>
                <w:sz w:val="16"/>
              </w:rPr>
              <w:t>10</w:t>
            </w:r>
          </w:p>
        </w:tc>
        <w:tc>
          <w:tcPr>
            <w:tcW w:type="dxa" w:w="2520"/>
            <w:vAlign w:val="center"/>
          </w:tcPr>
          <w:p>
            <w:pPr>
              <w:spacing w:after="20"/>
            </w:pPr>
            <w:r/>
            <w:r>
              <w:rPr>
                <w:rFonts w:ascii="Aptos" w:hAnsi="Aptos"/>
                <w:b w:val="0"/>
                <w:sz w:val="16"/>
              </w:rPr>
              <w:t>Write the paper and verify citations.</w:t>
            </w:r>
          </w:p>
        </w:tc>
        <w:tc>
          <w:tcPr>
            <w:tcW w:type="dxa" w:w="2520"/>
            <w:vAlign w:val="center"/>
          </w:tcPr>
          <w:p>
            <w:pPr>
              <w:spacing w:after="20"/>
            </w:pPr>
            <w:r/>
            <w:r>
              <w:rPr>
                <w:rFonts w:ascii="Aptos" w:hAnsi="Aptos"/>
                <w:b w:val="0"/>
                <w:sz w:val="16"/>
              </w:rPr>
              <w:t>manuscript.docx or LaTeX</w:t>
            </w:r>
          </w:p>
        </w:tc>
        <w:tc>
          <w:tcPr>
            <w:tcW w:type="dxa" w:w="2520"/>
            <w:vAlign w:val="center"/>
          </w:tcPr>
          <w:p>
            <w:pPr>
              <w:spacing w:after="20"/>
            </w:pPr>
            <w:r/>
            <w:r>
              <w:rPr>
                <w:rFonts w:ascii="Aptos" w:hAnsi="Aptos"/>
                <w:b w:val="0"/>
                <w:sz w:val="16"/>
              </w:rPr>
              <w:t>All numerical claims trace to outputs; all references verified.</w:t>
            </w:r>
          </w:p>
        </w:tc>
      </w:tr>
      <w:tr>
        <w:tc>
          <w:tcPr>
            <w:tcW w:type="dxa" w:w="2520"/>
            <w:vAlign w:val="center"/>
          </w:tcPr>
          <w:p>
            <w:pPr>
              <w:spacing w:after="20"/>
            </w:pPr>
            <w:r/>
            <w:r>
              <w:rPr>
                <w:rFonts w:ascii="Aptos" w:hAnsi="Aptos"/>
                <w:b w:val="0"/>
                <w:sz w:val="16"/>
              </w:rPr>
              <w:t>11</w:t>
            </w:r>
          </w:p>
        </w:tc>
        <w:tc>
          <w:tcPr>
            <w:tcW w:type="dxa" w:w="2520"/>
            <w:vAlign w:val="center"/>
          </w:tcPr>
          <w:p>
            <w:pPr>
              <w:spacing w:after="20"/>
            </w:pPr>
            <w:r/>
            <w:r>
              <w:rPr>
                <w:rFonts w:ascii="Aptos" w:hAnsi="Aptos"/>
                <w:b w:val="0"/>
                <w:sz w:val="16"/>
              </w:rPr>
              <w:t>Run reporting and novelty audits.</w:t>
            </w:r>
          </w:p>
        </w:tc>
        <w:tc>
          <w:tcPr>
            <w:tcW w:type="dxa" w:w="2520"/>
            <w:vAlign w:val="center"/>
          </w:tcPr>
          <w:p>
            <w:pPr>
              <w:spacing w:after="20"/>
            </w:pPr>
            <w:r/>
            <w:r>
              <w:rPr>
                <w:rFonts w:ascii="Aptos" w:hAnsi="Aptos"/>
                <w:b w:val="0"/>
                <w:sz w:val="16"/>
              </w:rPr>
              <w:t>TRIPOD+AI checklist; novelty search log</w:t>
            </w:r>
          </w:p>
        </w:tc>
        <w:tc>
          <w:tcPr>
            <w:tcW w:type="dxa" w:w="2520"/>
            <w:vAlign w:val="center"/>
          </w:tcPr>
          <w:p>
            <w:pPr>
              <w:spacing w:after="20"/>
            </w:pPr>
            <w:r/>
            <w:r>
              <w:rPr>
                <w:rFonts w:ascii="Aptos" w:hAnsi="Aptos"/>
                <w:b w:val="0"/>
                <w:sz w:val="16"/>
              </w:rPr>
              <w:t>Limitations disclosed; no unsupported novelty or clinical claims.</w:t>
            </w:r>
          </w:p>
        </w:tc>
      </w:tr>
    </w:tbl>
    <w:p/>
    <w:p>
      <w:pPr>
        <w:pStyle w:val="Heading1"/>
      </w:pPr>
      <w:r>
        <w:t>11. Code architecture</w:t>
      </w:r>
    </w:p>
    <w:p>
      <w:r>
        <w:t>Use Google Colab or a local Python environment. Suggested notebook cells:</w:t>
      </w:r>
    </w:p>
    <w:p>
      <w:pPr>
        <w:pStyle w:val="ListNumber"/>
        <w:spacing w:after="40"/>
      </w:pPr>
      <w:r>
        <w:t>Imports, environment versions, random seeds.</w:t>
      </w:r>
    </w:p>
    <w:p>
      <w:pPr>
        <w:pStyle w:val="ListNumber"/>
        <w:spacing w:after="40"/>
      </w:pPr>
      <w:r>
        <w:t>Load the downloaded CKD_NHANES_2021_2023.csv file; inspect the schema and compare target and feature definitions with the official CDC/NCHS NHANES source documentation.</w:t>
      </w:r>
    </w:p>
    <w:p>
      <w:pPr>
        <w:pStyle w:val="ListNumber"/>
        <w:spacing w:after="40"/>
      </w:pPr>
      <w:r>
        <w:t>Clean labels and missing markers; create a data audit table.</w:t>
      </w:r>
    </w:p>
    <w:p>
      <w:pPr>
        <w:pStyle w:val="ListNumber"/>
        <w:spacing w:after="40"/>
      </w:pPr>
      <w:r>
        <w:t>Identify numeric and categorical columns from the verified schema.</w:t>
      </w:r>
    </w:p>
    <w:p>
      <w:pPr>
        <w:pStyle w:val="ListNumber"/>
        <w:spacing w:after="40"/>
      </w:pPr>
      <w:r>
        <w:t>Create scikit-learn ColumnTransformer pipelines: median imputation + scaling for numeric inputs; most-frequent imputation + one-hot encoding for categorical inputs.</w:t>
      </w:r>
    </w:p>
    <w:p>
      <w:pPr>
        <w:pStyle w:val="ListNumber"/>
        <w:spacing w:after="40"/>
      </w:pPr>
      <w:r>
        <w:t>Define Logistic Regression, Random Forest, and XGBoost pipelines.</w:t>
      </w:r>
    </w:p>
    <w:p>
      <w:pPr>
        <w:pStyle w:val="ListNumber"/>
        <w:spacing w:after="40"/>
      </w:pPr>
      <w:r>
        <w:t>Run RepeatedStratifiedKFold with 5 splits and 5 repeats; save fold metrics.</w:t>
      </w:r>
    </w:p>
    <w:p>
      <w:pPr>
        <w:pStyle w:val="ListNumber"/>
        <w:spacing w:after="40"/>
      </w:pPr>
      <w:r>
        <w:t>For each fitted fold model, transform held-out rows using that fold’s fitted preprocessor, compute SHAP values, and map transformed columns back to original variables.</w:t>
      </w:r>
    </w:p>
    <w:p>
      <w:pPr>
        <w:pStyle w:val="ListNumber"/>
        <w:spacing w:after="40"/>
      </w:pPr>
      <w:r>
        <w:t>Calculate pairwise Spearman correlations, top-5/top-10 Jaccard similarities, and fold-level SHAP magnitude variation.</w:t>
      </w:r>
    </w:p>
    <w:p>
      <w:pPr>
        <w:pStyle w:val="ListNumber"/>
        <w:spacing w:after="40"/>
      </w:pPr>
      <w:r>
        <w:t>Run held-out masking scenarios at 10% and 20%, with multiple seeds, without refitting the model or preprocessing.</w:t>
      </w:r>
    </w:p>
    <w:p>
      <w:pPr>
        <w:pStyle w:val="ListNumber"/>
        <w:spacing w:after="40"/>
      </w:pPr>
      <w:r>
        <w:t>Generate plots, export CSVs, and zip the results folder.</w:t>
      </w:r>
    </w:p>
    <w:p>
      <w:r>
        <w:t>Important implementation note: SHAP output formats differ by SHAP version and classifier. Test extraction on one fold first, confirm which output corresponds to class CKD, then implement the loop. Store the model version, SHAP version, class index, transformed feature names, and aggregation rule.</w:t>
      </w:r>
    </w:p>
    <w:p>
      <w:pPr>
        <w:pStyle w:val="Heading1"/>
      </w:pPr>
      <w:r>
        <w:t>12. Time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20"/>
            </w:pPr>
            <w:r/>
            <w:r>
              <w:rPr>
                <w:rFonts w:ascii="Aptos" w:hAnsi="Aptos"/>
                <w:b/>
                <w:sz w:val="17"/>
              </w:rPr>
              <w:t>Work block</w:t>
            </w:r>
          </w:p>
        </w:tc>
        <w:tc>
          <w:tcPr>
            <w:tcW w:type="dxa" w:w="3360"/>
            <w:vAlign w:val="center"/>
            <w:shd w:fill="D9EAF7"/>
          </w:tcPr>
          <w:p>
            <w:pPr>
              <w:spacing w:after="20"/>
            </w:pPr>
            <w:r/>
            <w:r>
              <w:rPr>
                <w:rFonts w:ascii="Aptos" w:hAnsi="Aptos"/>
                <w:b/>
                <w:sz w:val="17"/>
              </w:rPr>
              <w:t>Estimated effort</w:t>
            </w:r>
          </w:p>
        </w:tc>
        <w:tc>
          <w:tcPr>
            <w:tcW w:type="dxa" w:w="3360"/>
            <w:vAlign w:val="center"/>
            <w:shd w:fill="D9EAF7"/>
          </w:tcPr>
          <w:p>
            <w:pPr>
              <w:spacing w:after="20"/>
            </w:pPr>
            <w:r/>
            <w:r>
              <w:rPr>
                <w:rFonts w:ascii="Aptos" w:hAnsi="Aptos"/>
                <w:b/>
                <w:sz w:val="17"/>
              </w:rPr>
              <w:t>Deliverable</w:t>
            </w:r>
          </w:p>
        </w:tc>
      </w:tr>
      <w:tr>
        <w:tc>
          <w:tcPr>
            <w:tcW w:type="dxa" w:w="3360"/>
            <w:vAlign w:val="center"/>
          </w:tcPr>
          <w:p>
            <w:pPr>
              <w:spacing w:after="20"/>
            </w:pPr>
            <w:r/>
            <w:r>
              <w:rPr>
                <w:rFonts w:ascii="Aptos" w:hAnsi="Aptos"/>
                <w:b w:val="0"/>
                <w:sz w:val="16"/>
              </w:rPr>
              <w:t>Dataset audit and clean pipeline</w:t>
            </w:r>
          </w:p>
        </w:tc>
        <w:tc>
          <w:tcPr>
            <w:tcW w:type="dxa" w:w="3360"/>
            <w:vAlign w:val="center"/>
          </w:tcPr>
          <w:p>
            <w:pPr>
              <w:spacing w:after="20"/>
            </w:pPr>
            <w:r/>
            <w:r>
              <w:rPr>
                <w:rFonts w:ascii="Aptos" w:hAnsi="Aptos"/>
                <w:b w:val="0"/>
                <w:sz w:val="16"/>
              </w:rPr>
              <w:t>1–2 hours</w:t>
            </w:r>
          </w:p>
        </w:tc>
        <w:tc>
          <w:tcPr>
            <w:tcW w:type="dxa" w:w="3360"/>
            <w:vAlign w:val="center"/>
          </w:tcPr>
          <w:p>
            <w:pPr>
              <w:spacing w:after="20"/>
            </w:pPr>
            <w:r/>
            <w:r>
              <w:rPr>
                <w:rFonts w:ascii="Aptos" w:hAnsi="Aptos"/>
                <w:b w:val="0"/>
                <w:sz w:val="16"/>
              </w:rPr>
              <w:t>Verified dataset and preprocessing</w:t>
            </w:r>
          </w:p>
        </w:tc>
      </w:tr>
      <w:tr>
        <w:tc>
          <w:tcPr>
            <w:tcW w:type="dxa" w:w="3360"/>
            <w:vAlign w:val="center"/>
          </w:tcPr>
          <w:p>
            <w:pPr>
              <w:spacing w:after="20"/>
            </w:pPr>
            <w:r/>
            <w:r>
              <w:rPr>
                <w:rFonts w:ascii="Aptos" w:hAnsi="Aptos"/>
                <w:b w:val="0"/>
                <w:sz w:val="16"/>
              </w:rPr>
              <w:t>Models and repeated CV</w:t>
            </w:r>
          </w:p>
        </w:tc>
        <w:tc>
          <w:tcPr>
            <w:tcW w:type="dxa" w:w="3360"/>
            <w:vAlign w:val="center"/>
          </w:tcPr>
          <w:p>
            <w:pPr>
              <w:spacing w:after="20"/>
            </w:pPr>
            <w:r/>
            <w:r>
              <w:rPr>
                <w:rFonts w:ascii="Aptos" w:hAnsi="Aptos"/>
                <w:b w:val="0"/>
                <w:sz w:val="16"/>
              </w:rPr>
              <w:t>1–3 hours</w:t>
            </w:r>
          </w:p>
        </w:tc>
        <w:tc>
          <w:tcPr>
            <w:tcW w:type="dxa" w:w="3360"/>
            <w:vAlign w:val="center"/>
          </w:tcPr>
          <w:p>
            <w:pPr>
              <w:spacing w:after="20"/>
            </w:pPr>
            <w:r/>
            <w:r>
              <w:rPr>
                <w:rFonts w:ascii="Aptos" w:hAnsi="Aptos"/>
                <w:b w:val="0"/>
                <w:sz w:val="16"/>
              </w:rPr>
              <w:t>Fold-level metrics</w:t>
            </w:r>
          </w:p>
        </w:tc>
      </w:tr>
      <w:tr>
        <w:tc>
          <w:tcPr>
            <w:tcW w:type="dxa" w:w="3360"/>
            <w:vAlign w:val="center"/>
          </w:tcPr>
          <w:p>
            <w:pPr>
              <w:spacing w:after="20"/>
            </w:pPr>
            <w:r/>
            <w:r>
              <w:rPr>
                <w:rFonts w:ascii="Aptos" w:hAnsi="Aptos"/>
                <w:b w:val="0"/>
                <w:sz w:val="16"/>
              </w:rPr>
              <w:t>SHAP extraction and stability</w:t>
            </w:r>
          </w:p>
        </w:tc>
        <w:tc>
          <w:tcPr>
            <w:tcW w:type="dxa" w:w="3360"/>
            <w:vAlign w:val="center"/>
          </w:tcPr>
          <w:p>
            <w:pPr>
              <w:spacing w:after="20"/>
            </w:pPr>
            <w:r/>
            <w:r>
              <w:rPr>
                <w:rFonts w:ascii="Aptos" w:hAnsi="Aptos"/>
                <w:b w:val="0"/>
                <w:sz w:val="16"/>
              </w:rPr>
              <w:t>2–4 hours</w:t>
            </w:r>
          </w:p>
        </w:tc>
        <w:tc>
          <w:tcPr>
            <w:tcW w:type="dxa" w:w="3360"/>
            <w:vAlign w:val="center"/>
          </w:tcPr>
          <w:p>
            <w:pPr>
              <w:spacing w:after="20"/>
            </w:pPr>
            <w:r/>
            <w:r>
              <w:rPr>
                <w:rFonts w:ascii="Aptos" w:hAnsi="Aptos"/>
                <w:b w:val="0"/>
                <w:sz w:val="16"/>
              </w:rPr>
              <w:t>Attributions and ranking stability</w:t>
            </w:r>
          </w:p>
        </w:tc>
      </w:tr>
      <w:tr>
        <w:tc>
          <w:tcPr>
            <w:tcW w:type="dxa" w:w="3360"/>
            <w:vAlign w:val="center"/>
          </w:tcPr>
          <w:p>
            <w:pPr>
              <w:spacing w:after="20"/>
            </w:pPr>
            <w:r/>
            <w:r>
              <w:rPr>
                <w:rFonts w:ascii="Aptos" w:hAnsi="Aptos"/>
                <w:b w:val="0"/>
                <w:sz w:val="16"/>
              </w:rPr>
              <w:t>Missingness stress test and plots</w:t>
            </w:r>
          </w:p>
        </w:tc>
        <w:tc>
          <w:tcPr>
            <w:tcW w:type="dxa" w:w="3360"/>
            <w:vAlign w:val="center"/>
          </w:tcPr>
          <w:p>
            <w:pPr>
              <w:spacing w:after="20"/>
            </w:pPr>
            <w:r/>
            <w:r>
              <w:rPr>
                <w:rFonts w:ascii="Aptos" w:hAnsi="Aptos"/>
                <w:b w:val="0"/>
                <w:sz w:val="16"/>
              </w:rPr>
              <w:t>1–3 hours</w:t>
            </w:r>
          </w:p>
        </w:tc>
        <w:tc>
          <w:tcPr>
            <w:tcW w:type="dxa" w:w="3360"/>
            <w:vAlign w:val="center"/>
          </w:tcPr>
          <w:p>
            <w:pPr>
              <w:spacing w:after="20"/>
            </w:pPr>
            <w:r/>
            <w:r>
              <w:rPr>
                <w:rFonts w:ascii="Aptos" w:hAnsi="Aptos"/>
                <w:b w:val="0"/>
                <w:sz w:val="16"/>
              </w:rPr>
              <w:t>Robustness results</w:t>
            </w:r>
          </w:p>
        </w:tc>
      </w:tr>
      <w:tr>
        <w:tc>
          <w:tcPr>
            <w:tcW w:type="dxa" w:w="3360"/>
            <w:vAlign w:val="center"/>
          </w:tcPr>
          <w:p>
            <w:pPr>
              <w:spacing w:after="20"/>
            </w:pPr>
            <w:r/>
            <w:r>
              <w:rPr>
                <w:rFonts w:ascii="Aptos" w:hAnsi="Aptos"/>
                <w:b w:val="0"/>
                <w:sz w:val="16"/>
              </w:rPr>
              <w:t>Novelty audit and reference verification</w:t>
            </w:r>
          </w:p>
        </w:tc>
        <w:tc>
          <w:tcPr>
            <w:tcW w:type="dxa" w:w="3360"/>
            <w:vAlign w:val="center"/>
          </w:tcPr>
          <w:p>
            <w:pPr>
              <w:spacing w:after="20"/>
            </w:pPr>
            <w:r/>
            <w:r>
              <w:rPr>
                <w:rFonts w:ascii="Aptos" w:hAnsi="Aptos"/>
                <w:b w:val="0"/>
                <w:sz w:val="16"/>
              </w:rPr>
              <w:t>2–4 hours</w:t>
            </w:r>
          </w:p>
        </w:tc>
        <w:tc>
          <w:tcPr>
            <w:tcW w:type="dxa" w:w="3360"/>
            <w:vAlign w:val="center"/>
          </w:tcPr>
          <w:p>
            <w:pPr>
              <w:spacing w:after="20"/>
            </w:pPr>
            <w:r/>
            <w:r>
              <w:rPr>
                <w:rFonts w:ascii="Aptos" w:hAnsi="Aptos"/>
                <w:b w:val="0"/>
                <w:sz w:val="16"/>
              </w:rPr>
              <w:t>Closest-paper comparison and checked bibliography</w:t>
            </w:r>
          </w:p>
        </w:tc>
      </w:tr>
      <w:tr>
        <w:tc>
          <w:tcPr>
            <w:tcW w:type="dxa" w:w="3360"/>
            <w:vAlign w:val="center"/>
          </w:tcPr>
          <w:p>
            <w:pPr>
              <w:spacing w:after="20"/>
            </w:pPr>
            <w:r/>
            <w:r>
              <w:rPr>
                <w:rFonts w:ascii="Aptos" w:hAnsi="Aptos"/>
                <w:b w:val="0"/>
                <w:sz w:val="16"/>
              </w:rPr>
              <w:t>Manuscript drafting and compliance</w:t>
            </w:r>
          </w:p>
        </w:tc>
        <w:tc>
          <w:tcPr>
            <w:tcW w:type="dxa" w:w="3360"/>
            <w:vAlign w:val="center"/>
          </w:tcPr>
          <w:p>
            <w:pPr>
              <w:spacing w:after="20"/>
            </w:pPr>
            <w:r/>
            <w:r>
              <w:rPr>
                <w:rFonts w:ascii="Aptos" w:hAnsi="Aptos"/>
                <w:b w:val="0"/>
                <w:sz w:val="16"/>
              </w:rPr>
              <w:t>4–8+ hours</w:t>
            </w:r>
          </w:p>
        </w:tc>
        <w:tc>
          <w:tcPr>
            <w:tcW w:type="dxa" w:w="3360"/>
            <w:vAlign w:val="center"/>
          </w:tcPr>
          <w:p>
            <w:pPr>
              <w:spacing w:after="20"/>
            </w:pPr>
            <w:r/>
            <w:r>
              <w:rPr>
                <w:rFonts w:ascii="Aptos" w:hAnsi="Aptos"/>
                <w:b w:val="0"/>
                <w:sz w:val="16"/>
              </w:rPr>
              <w:t>Working manuscript with actual results</w:t>
            </w:r>
          </w:p>
        </w:tc>
      </w:tr>
    </w:tbl>
    <w:p/>
    <w:p>
      <w:r>
        <w:t>These are planning estimates, not guarantees. Package compatibility, dataset inconsistencies, and SHAP extraction can take longer. Do not write a final Results section until the experiment has run.</w:t>
      </w:r>
    </w:p>
    <w:p>
      <w:pPr>
        <w:pStyle w:val="Heading1"/>
      </w:pPr>
      <w:r>
        <w:t>13. Publication and integrity notes</w:t>
      </w:r>
    </w:p>
    <w:p>
      <w:pPr>
        <w:pStyle w:val="ListBullet"/>
        <w:spacing w:after="40"/>
      </w:pPr>
      <w:r>
        <w:t>This is an original experimental study, not a review paper.</w:t>
      </w:r>
    </w:p>
    <w:p>
      <w:pPr>
        <w:pStyle w:val="ListBullet"/>
        <w:spacing w:after="40"/>
      </w:pPr>
      <w:r>
        <w:t>Cite both the Kaggle processed dataset and the original CDC/NCHS NHANES data documentation. Verify and follow the Kaggle dataset license. Follow NHANES documentation for variable definitions, survey design, and appropriate limits on population-level interpretation.</w:t>
      </w:r>
    </w:p>
    <w:p>
      <w:pPr>
        <w:pStyle w:val="ListBullet"/>
        <w:spacing w:after="40"/>
      </w:pPr>
      <w:r>
        <w:t>Do not claim prospective early prediction, clinical readiness, causality, or external validity from this dataset.</w:t>
      </w:r>
    </w:p>
    <w:p>
      <w:pPr>
        <w:pStyle w:val="ListBullet"/>
        <w:spacing w:after="40"/>
      </w:pPr>
      <w:r>
        <w:t>Do not invent metrics, feature rankings, citations, sample sizes, or screening results.</w:t>
      </w:r>
    </w:p>
    <w:p>
      <w:pPr>
        <w:pStyle w:val="ListBullet"/>
        <w:spacing w:after="40"/>
      </w:pPr>
      <w:r>
        <w:t>Use the target conference/journal template only after the scientific manuscript is stable. Springer LNCS and IEEE formats are not interchangeable.</w:t>
      </w:r>
    </w:p>
    <w:p>
      <w:pPr>
        <w:pStyle w:val="ListBullet"/>
        <w:spacing w:after="40"/>
      </w:pPr>
      <w:r>
        <w:t>Use TRIPOD+AI as a reporting guide; it is not proof that a model is clinically valid or free of bias.</w:t>
      </w:r>
    </w:p>
    <w:p>
      <w:pPr>
        <w:pStyle w:val="Heading1"/>
      </w:pPr>
      <w:r>
        <w:t>References (20 maximum; grouped by role)</w:t>
      </w:r>
    </w:p>
    <w:p>
      <w:pPr>
        <w:pStyle w:val="Heading2"/>
      </w:pPr>
      <w:r>
        <w:t>A. Disease context, dataset provenance, and clinical definitions</w:t>
      </w:r>
    </w:p>
    <w:p>
      <w:pPr/>
      <w:r>
        <w:t>[1] Kidney Disease: Improving Global Outcomes (KDIGO) CKD Work Group. “KDIGO 2024 Clinical Practice Guideline for the Evaluation and Management of Chronic Kidney Disease.” Kidney International, 2024. https://kdigo.org/guidelines/ckd-evaluation-and-management/</w:t>
      </w:r>
    </w:p>
    <w:p>
      <w:pPr/>
      <w:r>
        <w:t>[2] L. A. Inker et al. “New Creatinine- and Cystatin C–Based Equations to Estimate GFR without Race.” New England Journal of Medicine, 385, 1737–1749, 2021. doi:10.1056/NEJMoa2102953.</w:t>
      </w:r>
    </w:p>
    <w:p>
      <w:pPr/>
      <w:r>
        <w:t>[3] alitaqishah [Kaggle username]. “CKD-NHANES 2021–2023: Staged Kidney Disease” [dataset]. Kaggle, 2026 (verify creator name, release/version, and license on the dataset page). https://www.kaggle.com/datasets/alitaqishah/ckd-nhanes-2021-2023-staged-kidney-disease</w:t>
      </w:r>
    </w:p>
    <w:p>
      <w:pPr/>
      <w:r>
        <w:t>[4] National Center for Health Statistics, Centers for Disease Control and Prevention. “August 2021–August 2023 Data: Continuous NHANES” [dataset documentation and source files]. https://wwwn.cdc.gov/nchs/nhanes/search/datapage.aspx?Cycle=2021-2023; laboratory files: https://wwwn.cdc.gov/nchs/nhanes/search/datapage.aspx?Component=Laboratory&amp;Cycle=2021-2023</w:t>
      </w:r>
    </w:p>
    <w:p>
      <w:pPr/>
      <w:r>
        <w:t>[5] Centers for Disease Control and Prevention. “Chronic Kidney Disease in the United States: Data and Research” (NHANES 2021–2023 estimates and methodological caveat regarding single measurements/persistence). https://cdc.gov/kidney-disease/php/data-research/index.html</w:t>
      </w:r>
    </w:p>
    <w:p>
      <w:pPr/>
      <w:r>
        <w:t>[6] L. Sanmarchi et al. “Predict, diagnose, and treat chronic kidney disease with machine learning: a systematic literature review.” Journal of Nephrology, 2023. https://pmc.ncbi.nlm.nih.gov/articles/PMC10227138/</w:t>
      </w:r>
    </w:p>
    <w:p>
      <w:pPr/>
      <w:r>
        <w:t>[7] E. Webster et al. “Chronic Kidney Disease.” The Lancet, 389, 1238–1252, 2017. doi:10.1016/S0140-6736(16)32064-5.</w:t>
      </w:r>
    </w:p>
    <w:p>
      <w:pPr>
        <w:pStyle w:val="Heading2"/>
      </w:pPr>
      <w:r>
        <w:t>B. Machine-learning methods and evaluation</w:t>
      </w:r>
    </w:p>
    <w:p>
      <w:pPr/>
      <w:r>
        <w:t>[8] L. Breiman. “Random Forests.” Machine Learning, 45, 5–32, 2001. doi:10.1023/A:1010933404324.</w:t>
      </w:r>
    </w:p>
    <w:p>
      <w:pPr/>
      <w:r>
        <w:t>[9] T. Chen and C. Guestrin. “XGBoost: A Scalable Tree Boosting System.” Proceedings of the 22nd ACM SIGKDD International Conference on Knowledge Discovery and Data Mining, 2016. doi:10.1145/2939672.2939785.</w:t>
      </w:r>
    </w:p>
    <w:p>
      <w:pPr/>
      <w:r>
        <w:t>[10] F. Pedregosa et al. “Scikit-learn: Machine Learning in Python.” Journal of Machine Learning Research, 12, 2825–2830, 2011. https://jmlr.org/papers/v12/pedregosa11a.html</w:t>
      </w:r>
    </w:p>
    <w:p>
      <w:pPr/>
      <w:r>
        <w:t>[11] R. Kohavi. “A Study of Cross-Validation and Bootstrap for Accuracy Estimation and Model Selection.” Proceedings of the 14th International Joint Conference on Artificial Intelligence, 1995, pp. 1137–1143.</w:t>
      </w:r>
    </w:p>
    <w:p>
      <w:pPr/>
      <w:r>
        <w:t>[12] T. Saito and M. Rehmsmeier. “The Precision-Recall Plot Is More Informative than the ROC Plot When Evaluating Binary Classifiers on Imbalanced Datasets.” PLOS ONE, 10(3), e0118432, 2015. doi:10.1371/journal.pone.0118432.</w:t>
      </w:r>
    </w:p>
    <w:p>
      <w:pPr>
        <w:pStyle w:val="Heading2"/>
      </w:pPr>
      <w:r>
        <w:t>C. Explainable AI, explanation robustness, and related CKD studies</w:t>
      </w:r>
    </w:p>
    <w:p>
      <w:pPr/>
      <w:r>
        <w:t>[13] S. M. Lundberg and S.-I. Lee. “A Unified Approach to Interpreting Model Predictions.” Advances in Neural Information Processing Systems, 30, 2017. https://papers.nips.cc/paper/2017/hash/8a20a8621978632d76c43dfd28b67767-Abstract.html</w:t>
      </w:r>
    </w:p>
    <w:p>
      <w:pPr/>
      <w:r>
        <w:t>[14] M. T. Ribeiro, S. Singh, and C. Guestrin. “‘Why Should I Trust You?’ Explaining the Predictions of Any Classifier.” Proceedings of ACM SIGKDD, 2016. doi:10.1145/2939672.2939778.</w:t>
      </w:r>
    </w:p>
    <w:p>
      <w:pPr/>
      <w:r>
        <w:t>[15] A. B. Arrieta et al. “Explainable Artificial Intelligence (XAI): Concepts, Taxonomies, Opportunities and Challenges toward Responsible AI.” Information Fusion, 58, 82–115, 2020. doi:10.1016/j.inffus.2019.12.012.</w:t>
      </w:r>
    </w:p>
    <w:p>
      <w:pPr/>
      <w:r>
        <w:t>[16] A. Ghorbani, A. Abid, and J. Zou. “Interpretation of Neural Networks Is Fragile.” Proceedings of the AAAI Conference on Artificial Intelligence, 33(1), 3681–3688, 2019. doi:10.1609/aaai.v33i01.33013681.</w:t>
      </w:r>
    </w:p>
    <w:p>
      <w:pPr/>
      <w:r>
        <w:t>[17] E. M. Chouit, M. Rachdi, M. Bellafkih, and B. Raouyane. “Interpretable machine learning for chronic kidney disease prediction: Insights from SHAP and LIME analyses.” PLOS ONE, 21(2), e0343205, 2026. doi:10.1371/journal.pone.0343205.</w:t>
      </w:r>
    </w:p>
    <w:p>
      <w:pPr/>
      <w:r>
        <w:t>[18] J. He et al. “Identification and validation of an explainable early-stage chronic kidney disease prediction model: a multicenter retrospective study.” EClinicalMedicine, 84, 103286, 2025. doi:10.1016/j.eclinm.2025.103286.</w:t>
      </w:r>
    </w:p>
    <w:p>
      <w:pPr>
        <w:pStyle w:val="Heading2"/>
      </w:pPr>
      <w:r>
        <w:t>D. Clinical prediction reporting and risk of bias</w:t>
      </w:r>
    </w:p>
    <w:p>
      <w:pPr/>
      <w:r>
        <w:t>[19] G. S. Collins et al. “TRIPOD+AI statement: updated guidance for reporting clinical prediction models that use regression or machine learning methods.” BMJ, 385, e078378, 2024. doi:10.1136/bmj-2023-078378.</w:t>
      </w:r>
    </w:p>
    <w:p>
      <w:pPr/>
      <w:r>
        <w:t>[20] K. G. M. Moons et al. “PROBAST+AI: an updated quality, risk of bias, and applicability assessment tool for prediction models using regression or artificial intelligence methods.” BMJ, 2025. https://www.bmj.com/content/388/bmj-2024-082505</w:t>
      </w:r>
    </w:p>
    <w:p>
      <w:pPr>
        <w:pStyle w:val="Heading2"/>
      </w:pPr>
      <w:r>
        <w:t>Reference verification note</w:t>
      </w:r>
    </w:p>
    <w:p>
      <w:r>
        <w:t>Before submission, verify the Kaggle creator name, release/version, exact license, dataset-processing details, and all bibliographic metadata on the primary source pages. The official NHANES documentation should be cited alongside the processed Kaggle file. References [17] and [18] are especially important for the novelty audit: the proposed study must differ meaningfully from existing SHAP/LIME CKD classification and multicentre explainable CKD modelling work.</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CKD Explainable ML Study Plan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CKD-NHANES Explainable Machine Learning Study Plan</dc:title>
  <dc:subject>Updated study plan and references for CKD-NHANES 2021–2023 dataset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