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28"/>
        </w:rPr>
        <w:t>Explainable Machine Learning for Chronic Kidney Disease Classification Using NHANES 2021–2023 Data: Feature Attribution Stability and Missing-Data Sensitivity</w:t>
      </w:r>
    </w:p>
    <w:p>
      <w:pPr>
        <w:spacing w:after="80"/>
        <w:jc w:val="center"/>
      </w:pPr>
      <w:r>
        <w:rPr>
          <w:rFonts w:ascii="Times New Roman" w:hAnsi="Times New Roman"/>
          <w:sz w:val="20"/>
        </w:rPr>
        <w:t>Author Name</w:t>
      </w:r>
      <w:r>
        <w:rPr>
          <w:sz w:val="16"/>
          <w:vertAlign w:val="superscript"/>
        </w:rPr>
        <w:t>1[0000-0000-0000-0000]</w:t>
      </w:r>
      <w:r>
        <w:t>, Co-Author Name</w:t>
      </w:r>
      <w:r>
        <w:rPr>
          <w:sz w:val="16"/>
          <w:vertAlign w:val="superscript"/>
        </w:rPr>
        <w:t>1</w:t>
      </w:r>
      <w:r>
        <w:t>, and Senior Author Name</w:t>
      </w:r>
      <w:r>
        <w:rPr>
          <w:sz w:val="16"/>
          <w:vertAlign w:val="superscript"/>
        </w:rPr>
        <w:t>2*[0000-0000-0000-0000]</w:t>
      </w:r>
    </w:p>
    <w:p>
      <w:pPr>
        <w:spacing w:after="280" w:line="240" w:lineRule="auto"/>
        <w:jc w:val="center"/>
      </w:pPr>
      <w:r>
        <w:rPr>
          <w:rFonts w:ascii="Times New Roman" w:hAnsi="Times New Roman"/>
          <w:color w:val="333333"/>
          <w:sz w:val="18"/>
        </w:rPr>
        <w:t>1 Department of Computer Science and Engineering, Institute / University, City, Country</w:t>
        <w:br/>
        <w:t>2 Department of Biomedical Informatics and Computational Health, Institute / University, City, Country</w:t>
        <w:br/>
        <w:t>* Corresponding author: author@university.edu</w:t>
      </w:r>
    </w:p>
    <w:p>
      <w:pPr>
        <w:spacing w:after="80"/>
        <w:jc w:val="both"/>
      </w:pPr>
      <w:r>
        <w:rPr>
          <w:b/>
          <w:sz w:val="18"/>
        </w:rPr>
        <w:t xml:space="preserve">Abstract. </w:t>
      </w:r>
      <w:r>
        <w:rPr>
          <w:sz w:val="18"/>
        </w:rPr>
        <w:t>Chronic kidney disease (CKD) is an escalating global public health priority affecting more than 850 million individuals worldwide. While supervised machine learning (ML) models demonstrate considerable discriminative capacity for risk stratification, clinical translation is severely hindered by the 'black-box' opacity of complex classifiers, documented instability of post-hoc explanation algorithms (e.g., SHAP) under sample resampling, and uncharacterized sensitivity to missing clinical data. Furthermore, retrospective biomedical ML studies frequently suffer from tautological target leakage by including direct diagnostic criteria (e.g., eGFR or albuminuria) as predictive features. In this study, we address these challenges using the Continuous National Health and Nutrition Examination Survey (NHANES) 2021–2023 cycle. We audit and verify a cohort of N = 6,326 participants (≥12 years) with complete KDIGO 2024 clinical staging (3,592 non-CKD [56.78%], 2,734 CKD [43.22%]), strictly excluding 5,607 untested pediatric/unmeasured records with unknown stage. Seven target-defining variables are eliminated to prevent target leakage, retaining 21 non-leaking predictors. Models are trained using Repeated Stratified 5-Fold Cross-Validation (25 folds). TreeSHAP and LinearSHAP attributions are computed on held-out test partitions, aggregated back to parent clinical variables, and evaluated across all 300 pairwise fold combinations via Spearman rank correlation (rho) and Top-k Jaccard similarity. Controlled Missing Completely at Random (MCAR) stress testing is conducted at 10% and 20% masking levels. Across 25 folds, XGBoost achieved an ROC-AUC of 0.8456 ± 0.0129 (PR-AUC 0.8246 ± 0.0149), closely matched by Logistic Regression (0.8441 ± 0.0123) and Random Forest (0.8406 ± 0.0123). Global SHAP analysis identified chronological age, blood urea nitrogen (BUN), systolic blood pressure, serum uric acid, and diagnosed diabetes as top consensus risk factors. Pairwise SHAP attribution stability across 300 fold resamples was exceptionally high for Random Forest (Spearman rho = 0.9652 ± 0.0148, Top-5 Jaccard 1.0000 ± 0.0000) and XGBoost (rho = 0.9414 ± 0.0214, Top-5 Jaccard 1.0000 ± 0.0000). Under 10% and 20% missingness, all models exhibited graceful degradation (ROC-AUC drop ≤ 0.026) while preserving high explanation ranking fidelity (rho ≥ 0.931–0.975). These results provide empirical best practices for leakage-safe algorithmic auditing and explainability verification in computational nephrology.</w:t>
      </w:r>
    </w:p>
    <w:p>
      <w:pPr>
        <w:spacing w:before="40" w:after="280"/>
      </w:pPr>
      <w:r>
        <w:rPr>
          <w:b/>
          <w:sz w:val="18"/>
        </w:rPr>
        <w:t xml:space="preserve">Keywords: </w:t>
      </w:r>
      <w:r>
        <w:rPr>
          <w:sz w:val="18"/>
        </w:rPr>
        <w:t>Chronic Kidney Disease · Explainable Artificial Intelligence · SHAP · Feature Attribution Stability · Missing Data Sensitivity · NHANES · Soft Computing · Computational Intelligence.</w:t>
      </w:r>
    </w:p>
    <w:p>
      <w:pPr>
        <w:keepNext/>
        <w:spacing w:before="240" w:after="80"/>
      </w:pPr>
      <w:r>
        <w:rPr>
          <w:rFonts w:ascii="Times New Roman" w:hAnsi="Times New Roman"/>
          <w:b/>
          <w:sz w:val="24"/>
        </w:rPr>
        <w:t>1 Introduction</w:t>
      </w:r>
    </w:p>
    <w:p>
      <w:r>
        <w:t>Chronic kidney disease (CKD) is an escalating global health emergency characterized by structural kidney damage and progressive decline in renal function, affecting over 10% to 15% of the adult population worldwide (&gt;850 million individuals) [1, 2]. According to international consensus guidelines established by Kidney Disease: Improving Global Outcomes (KDIGO 2024), CKD is clinically diagnosed by an estimated glomerular filtration rate (eGFR) below 60 mL/min/1.73 m² or sustained markers of renal damage, primarily albuminuria (urinary albumin-to-creatinine ratio [UACR] ≥ 30 mg/g), persisting for more than three months [1, 3].</w:t>
      </w:r>
    </w:p>
    <w:p>
      <w:r>
        <w:t>Because early-stage CKD is predominantly asymptomatic, patients frequently remain undiagnosed until advanced, irreversible nephron loss has occurred [4]. Consequently, there is intense clinical interest in leveraging machine learning (ML) and soft computing techniques to perform automated risk stratification, identify high-risk individuals from routine electronic health records (EHR), and uncover multi-organ risk factor interactions [5, 6].</w:t>
      </w:r>
    </w:p>
    <w:p>
      <w:pPr>
        <w:keepNext/>
        <w:spacing w:before="200" w:after="60"/>
      </w:pPr>
      <w:r>
        <w:rPr>
          <w:rFonts w:ascii="Times New Roman" w:hAnsi="Times New Roman"/>
          <w:b/>
          <w:sz w:val="20"/>
        </w:rPr>
        <w:t>1.1 Methodological Pitfalls in Medical Machine Learning</w:t>
      </w:r>
    </w:p>
    <w:p>
      <w:r>
        <w:t>Despite promising performance reported in the computational literature, clinical translation of machine learning models in nephrology is impeded by four critical vulnerabilities:</w:t>
        <w:br/>
        <w:t>1. Tautological Target Leakage: Numerous published predictive studies mistakenly include the very laboratory variables used to derive the clinical outcome—such as serum creatinine, eGFR, or spot urine albumin—directly in the predictor matrix [7]. When a model is supplied with serum creatinine or eGFR to predict CKD presence, it simply reconstructs the deterministic formula of the KDIGO definition (eGFR &lt; 60), yielding artificially inflated performance metrics (ROC-AUC &gt; 0.99) that convey zero clinical utility for pre-diagnostic screening.</w:t>
        <w:br/>
        <w:t>2. 'Black-Box' Opacity: Nonlinear ensemble models construct complex interaction manifolds that clinicians cannot intuitively trace without post-hoc explainability frameworks [8].</w:t>
        <w:br/>
        <w:t>3. Attribution Instability Across Resampled Cohorts: A critical vulnerability of explainable AI (XAI) is explanation instability: the phenomenon wherein small perturbations in the training data resample (e.g., across cross-validation folds) induce substantial fluctuations in feature importance rankings [9, 10].</w:t>
        <w:br/>
        <w:t>4. Missing-Data Sensitivity and Robustness: Routine clinical datasets and epidemiological surveys are characterized by pervasive missingness resulting from variable lab order patterns [11]. While models may achieve high validation accuracy on complete data, their degradation trajectory under realistic missing-data stress is rarely quantified systematically.</w:t>
      </w:r>
    </w:p>
    <w:p>
      <w:pPr>
        <w:keepNext/>
        <w:spacing w:before="240" w:after="80"/>
      </w:pPr>
      <w:r>
        <w:rPr>
          <w:rFonts w:ascii="Times New Roman" w:hAnsi="Times New Roman"/>
          <w:b/>
          <w:sz w:val="24"/>
        </w:rPr>
        <w:t>2 Materials and Methods</w:t>
      </w:r>
    </w:p>
    <w:p>
      <w:pPr>
        <w:keepNext/>
        <w:spacing w:before="200" w:after="60"/>
      </w:pPr>
      <w:r>
        <w:rPr>
          <w:rFonts w:ascii="Times New Roman" w:hAnsi="Times New Roman"/>
          <w:b/>
          <w:sz w:val="20"/>
        </w:rPr>
        <w:t>2.1 Study Cohort and KDIGO Staging Criteria</w:t>
      </w:r>
    </w:p>
    <w:p>
      <w:r>
        <w:t>This investigation analyzed tabular cross-sectional data from the 2021–2023 Continuous NHANES cycle administered by the National Center for Health Statistics (NCHS) at the Centers for Disease Control and Prevention (CDC) [12]. In the raw secondary dataset (N = 11,933 participants, 29 variables), kidney function evaluation is governed by KDIGO 2024 guidelines using race-free 2021 CKD-EPI creatinine equations and urinary albumin-to-creatinine ratio (UACR).</w:t>
        <w:br/>
        <w:t>During data auditing, we discovered that 5,607 participants who did not undergo kidney function laboratory testing (predominantly pediatric participants &lt;12 years old) had ckd_stage = 'Unknown' and were erroneously labeled as CKD-positive by the naive condition (ckd_stage != 'No CKD'). Excluding these untested records produced a verified study cohort of N = 6,326 participants (3,592 No CKD [56.78%], 2,734 CKD [43.22%]).</w:t>
      </w:r>
    </w:p>
    <w:p>
      <w:pPr>
        <w:keepNext/>
        <w:spacing w:before="160" w:after="60"/>
      </w:pPr>
      <w:r>
        <w:rPr>
          <w:b/>
          <w:sz w:val="18"/>
        </w:rPr>
        <w:t>Table 1. Baseline characteristics of the study cohort stratified by CKD status (N = 6,326).</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84"/>
        <w:gridCol w:w="1384"/>
        <w:gridCol w:w="1384"/>
        <w:gridCol w:w="1384"/>
        <w:gridCol w:w="1384"/>
      </w:tblGrid>
      <w:tr>
        <w:tc>
          <w:tcPr>
            <w:tcW w:type="dxa" w:w="1384"/>
            <w:shd w:fill="F2F2F2"/>
          </w:tcPr>
          <w:p>
            <w:r>
              <w:rPr>
                <w:b/>
                <w:sz w:val="17"/>
              </w:rPr>
              <w:t>Characteristic</w:t>
            </w:r>
          </w:p>
        </w:tc>
        <w:tc>
          <w:tcPr>
            <w:tcW w:type="dxa" w:w="1384"/>
            <w:shd w:fill="F2F2F2"/>
          </w:tcPr>
          <w:p>
            <w:r>
              <w:rPr>
                <w:b/>
                <w:sz w:val="17"/>
              </w:rPr>
              <w:t>Total Cohort</w:t>
            </w:r>
          </w:p>
        </w:tc>
        <w:tc>
          <w:tcPr>
            <w:tcW w:type="dxa" w:w="1384"/>
            <w:shd w:fill="F2F2F2"/>
          </w:tcPr>
          <w:p>
            <w:r>
              <w:rPr>
                <w:b/>
                <w:sz w:val="17"/>
              </w:rPr>
              <w:t>No CKD (y=0)</w:t>
            </w:r>
          </w:p>
        </w:tc>
        <w:tc>
          <w:tcPr>
            <w:tcW w:type="dxa" w:w="1384"/>
            <w:shd w:fill="F2F2F2"/>
          </w:tcPr>
          <w:p>
            <w:r>
              <w:rPr>
                <w:b/>
                <w:sz w:val="17"/>
              </w:rPr>
              <w:t>CKD (y=1)</w:t>
            </w:r>
          </w:p>
        </w:tc>
        <w:tc>
          <w:tcPr>
            <w:tcW w:type="dxa" w:w="1384"/>
            <w:shd w:fill="F2F2F2"/>
          </w:tcPr>
          <w:p>
            <w:r>
              <w:rPr>
                <w:b/>
                <w:sz w:val="17"/>
              </w:rPr>
              <w:t>Missing (%)</w:t>
            </w:r>
          </w:p>
        </w:tc>
      </w:tr>
      <w:tr>
        <w:tc>
          <w:tcPr>
            <w:tcW w:type="dxa" w:w="1384"/>
          </w:tcPr>
          <w:p>
            <w:r>
              <w:rPr>
                <w:sz w:val="16"/>
              </w:rPr>
              <w:t>Age (years), Mean ± SD</w:t>
            </w:r>
          </w:p>
        </w:tc>
        <w:tc>
          <w:tcPr>
            <w:tcW w:type="dxa" w:w="1384"/>
          </w:tcPr>
          <w:p>
            <w:r>
              <w:rPr>
                <w:sz w:val="16"/>
              </w:rPr>
              <w:t>48.62 ± 20.71</w:t>
            </w:r>
          </w:p>
        </w:tc>
        <w:tc>
          <w:tcPr>
            <w:tcW w:type="dxa" w:w="1384"/>
          </w:tcPr>
          <w:p>
            <w:r>
              <w:rPr>
                <w:sz w:val="16"/>
              </w:rPr>
              <w:t>39.64 ± 19.82</w:t>
            </w:r>
          </w:p>
        </w:tc>
        <w:tc>
          <w:tcPr>
            <w:tcW w:type="dxa" w:w="1384"/>
          </w:tcPr>
          <w:p>
            <w:r>
              <w:rPr>
                <w:sz w:val="16"/>
              </w:rPr>
              <w:t>60.42 ± 15.21</w:t>
            </w:r>
          </w:p>
        </w:tc>
        <w:tc>
          <w:tcPr>
            <w:tcW w:type="dxa" w:w="1384"/>
          </w:tcPr>
          <w:p>
            <w:r>
              <w:rPr>
                <w:sz w:val="16"/>
              </w:rPr>
              <w:t>0.0%</w:t>
            </w:r>
          </w:p>
        </w:tc>
      </w:tr>
      <w:tr>
        <w:tc>
          <w:tcPr>
            <w:tcW w:type="dxa" w:w="1384"/>
          </w:tcPr>
          <w:p>
            <w:r>
              <w:rPr>
                <w:sz w:val="16"/>
              </w:rPr>
              <w:t>Female Gender, n (%)</w:t>
            </w:r>
          </w:p>
        </w:tc>
        <w:tc>
          <w:tcPr>
            <w:tcW w:type="dxa" w:w="1384"/>
          </w:tcPr>
          <w:p>
            <w:r>
              <w:rPr>
                <w:sz w:val="16"/>
              </w:rPr>
              <w:t>3,428 (54.19%)</w:t>
            </w:r>
          </w:p>
        </w:tc>
        <w:tc>
          <w:tcPr>
            <w:tcW w:type="dxa" w:w="1384"/>
          </w:tcPr>
          <w:p>
            <w:r>
              <w:rPr>
                <w:sz w:val="16"/>
              </w:rPr>
              <w:t>1,942 (54.06%)</w:t>
            </w:r>
          </w:p>
        </w:tc>
        <w:tc>
          <w:tcPr>
            <w:tcW w:type="dxa" w:w="1384"/>
          </w:tcPr>
          <w:p>
            <w:r>
              <w:rPr>
                <w:sz w:val="16"/>
              </w:rPr>
              <w:t>1,486 (54.35%)</w:t>
            </w:r>
          </w:p>
        </w:tc>
        <w:tc>
          <w:tcPr>
            <w:tcW w:type="dxa" w:w="1384"/>
          </w:tcPr>
          <w:p>
            <w:r>
              <w:rPr>
                <w:sz w:val="16"/>
              </w:rPr>
              <w:t>0.0%</w:t>
            </w:r>
          </w:p>
        </w:tc>
      </w:tr>
      <w:tr>
        <w:tc>
          <w:tcPr>
            <w:tcW w:type="dxa" w:w="1384"/>
          </w:tcPr>
          <w:p>
            <w:r>
              <w:rPr>
                <w:sz w:val="16"/>
              </w:rPr>
              <w:t>BMI (kg/m²), Mean ± SD</w:t>
            </w:r>
          </w:p>
        </w:tc>
        <w:tc>
          <w:tcPr>
            <w:tcW w:type="dxa" w:w="1384"/>
          </w:tcPr>
          <w:p>
            <w:r>
              <w:rPr>
                <w:sz w:val="16"/>
              </w:rPr>
              <w:t>29.08 ± 7.36</w:t>
            </w:r>
          </w:p>
        </w:tc>
        <w:tc>
          <w:tcPr>
            <w:tcW w:type="dxa" w:w="1384"/>
          </w:tcPr>
          <w:p>
            <w:r>
              <w:rPr>
                <w:sz w:val="16"/>
              </w:rPr>
              <w:t>28.12 ± 7.14</w:t>
            </w:r>
          </w:p>
        </w:tc>
        <w:tc>
          <w:tcPr>
            <w:tcW w:type="dxa" w:w="1384"/>
          </w:tcPr>
          <w:p>
            <w:r>
              <w:rPr>
                <w:sz w:val="16"/>
              </w:rPr>
              <w:t>30.34 ± 7.46</w:t>
            </w:r>
          </w:p>
        </w:tc>
        <w:tc>
          <w:tcPr>
            <w:tcW w:type="dxa" w:w="1384"/>
          </w:tcPr>
          <w:p>
            <w:r>
              <w:rPr>
                <w:sz w:val="16"/>
              </w:rPr>
              <w:t>1.28%</w:t>
            </w:r>
          </w:p>
        </w:tc>
      </w:tr>
      <w:tr>
        <w:tc>
          <w:tcPr>
            <w:tcW w:type="dxa" w:w="1384"/>
          </w:tcPr>
          <w:p>
            <w:r>
              <w:rPr>
                <w:sz w:val="16"/>
              </w:rPr>
              <w:t>Systolic BP (mmHg)</w:t>
            </w:r>
          </w:p>
        </w:tc>
        <w:tc>
          <w:tcPr>
            <w:tcW w:type="dxa" w:w="1384"/>
          </w:tcPr>
          <w:p>
            <w:r>
              <w:rPr>
                <w:sz w:val="16"/>
              </w:rPr>
              <w:t>120.72 ± 18.17</w:t>
            </w:r>
          </w:p>
        </w:tc>
        <w:tc>
          <w:tcPr>
            <w:tcW w:type="dxa" w:w="1384"/>
          </w:tcPr>
          <w:p>
            <w:r>
              <w:rPr>
                <w:sz w:val="16"/>
              </w:rPr>
              <w:t>115.32 ± 15.44</w:t>
            </w:r>
          </w:p>
        </w:tc>
        <w:tc>
          <w:tcPr>
            <w:tcW w:type="dxa" w:w="1384"/>
          </w:tcPr>
          <w:p>
            <w:r>
              <w:rPr>
                <w:sz w:val="16"/>
              </w:rPr>
              <w:t>127.81 ± 18.92</w:t>
            </w:r>
          </w:p>
        </w:tc>
        <w:tc>
          <w:tcPr>
            <w:tcW w:type="dxa" w:w="1384"/>
          </w:tcPr>
          <w:p>
            <w:r>
              <w:rPr>
                <w:sz w:val="16"/>
              </w:rPr>
              <w:t>3.05%</w:t>
            </w:r>
          </w:p>
        </w:tc>
      </w:tr>
      <w:tr>
        <w:tc>
          <w:tcPr>
            <w:tcW w:type="dxa" w:w="1384"/>
          </w:tcPr>
          <w:p>
            <w:r>
              <w:rPr>
                <w:sz w:val="16"/>
              </w:rPr>
              <w:t>Diastolic BP (mmHg)</w:t>
            </w:r>
          </w:p>
        </w:tc>
        <w:tc>
          <w:tcPr>
            <w:tcW w:type="dxa" w:w="1384"/>
          </w:tcPr>
          <w:p>
            <w:r>
              <w:rPr>
                <w:sz w:val="16"/>
              </w:rPr>
              <w:t>73.75 ± 11.55</w:t>
            </w:r>
          </w:p>
        </w:tc>
        <w:tc>
          <w:tcPr>
            <w:tcW w:type="dxa" w:w="1384"/>
          </w:tcPr>
          <w:p>
            <w:r>
              <w:rPr>
                <w:sz w:val="16"/>
              </w:rPr>
              <w:t>71.94 ± 10.82</w:t>
            </w:r>
          </w:p>
        </w:tc>
        <w:tc>
          <w:tcPr>
            <w:tcW w:type="dxa" w:w="1384"/>
          </w:tcPr>
          <w:p>
            <w:r>
              <w:rPr>
                <w:sz w:val="16"/>
              </w:rPr>
              <w:t>76.13 ± 12.06</w:t>
            </w:r>
          </w:p>
        </w:tc>
        <w:tc>
          <w:tcPr>
            <w:tcW w:type="dxa" w:w="1384"/>
          </w:tcPr>
          <w:p>
            <w:r>
              <w:rPr>
                <w:sz w:val="16"/>
              </w:rPr>
              <w:t>3.05%</w:t>
            </w:r>
          </w:p>
        </w:tc>
      </w:tr>
      <w:tr>
        <w:tc>
          <w:tcPr>
            <w:tcW w:type="dxa" w:w="1384"/>
          </w:tcPr>
          <w:p>
            <w:r>
              <w:rPr>
                <w:sz w:val="16"/>
              </w:rPr>
              <w:t>Blood Urea Nitrogen (mg/dL)</w:t>
            </w:r>
          </w:p>
        </w:tc>
        <w:tc>
          <w:tcPr>
            <w:tcW w:type="dxa" w:w="1384"/>
          </w:tcPr>
          <w:p>
            <w:r>
              <w:rPr>
                <w:sz w:val="16"/>
              </w:rPr>
              <w:t>14.66 ± 5.75</w:t>
            </w:r>
          </w:p>
        </w:tc>
        <w:tc>
          <w:tcPr>
            <w:tcW w:type="dxa" w:w="1384"/>
          </w:tcPr>
          <w:p>
            <w:r>
              <w:rPr>
                <w:sz w:val="16"/>
              </w:rPr>
              <w:t>12.28 ± 3.62</w:t>
            </w:r>
          </w:p>
        </w:tc>
        <w:tc>
          <w:tcPr>
            <w:tcW w:type="dxa" w:w="1384"/>
          </w:tcPr>
          <w:p>
            <w:r>
              <w:rPr>
                <w:sz w:val="16"/>
              </w:rPr>
              <w:t>17.79 ± 6.78</w:t>
            </w:r>
          </w:p>
        </w:tc>
        <w:tc>
          <w:tcPr>
            <w:tcW w:type="dxa" w:w="1384"/>
          </w:tcPr>
          <w:p>
            <w:r>
              <w:rPr>
                <w:sz w:val="16"/>
              </w:rPr>
              <w:t>0.05%</w:t>
            </w:r>
          </w:p>
        </w:tc>
      </w:tr>
      <w:tr>
        <w:tc>
          <w:tcPr>
            <w:tcW w:type="dxa" w:w="1384"/>
          </w:tcPr>
          <w:p>
            <w:r>
              <w:rPr>
                <w:sz w:val="16"/>
              </w:rPr>
              <w:t>Serum Albumin (g/dL)</w:t>
            </w:r>
          </w:p>
        </w:tc>
        <w:tc>
          <w:tcPr>
            <w:tcW w:type="dxa" w:w="1384"/>
          </w:tcPr>
          <w:p>
            <w:r>
              <w:rPr>
                <w:sz w:val="16"/>
              </w:rPr>
              <w:t>4.10 ± 0.36</w:t>
            </w:r>
          </w:p>
        </w:tc>
        <w:tc>
          <w:tcPr>
            <w:tcW w:type="dxa" w:w="1384"/>
          </w:tcPr>
          <w:p>
            <w:r>
              <w:rPr>
                <w:sz w:val="16"/>
              </w:rPr>
              <w:t>4.18 ± 0.32</w:t>
            </w:r>
          </w:p>
        </w:tc>
        <w:tc>
          <w:tcPr>
            <w:tcW w:type="dxa" w:w="1384"/>
          </w:tcPr>
          <w:p>
            <w:r>
              <w:rPr>
                <w:sz w:val="16"/>
              </w:rPr>
              <w:t>3.99 ± 0.38</w:t>
            </w:r>
          </w:p>
        </w:tc>
        <w:tc>
          <w:tcPr>
            <w:tcW w:type="dxa" w:w="1384"/>
          </w:tcPr>
          <w:p>
            <w:r>
              <w:rPr>
                <w:sz w:val="16"/>
              </w:rPr>
              <w:t>0.0%</w:t>
            </w:r>
          </w:p>
        </w:tc>
      </w:tr>
      <w:tr>
        <w:tc>
          <w:tcPr>
            <w:tcW w:type="dxa" w:w="1384"/>
          </w:tcPr>
          <w:p>
            <w:r>
              <w:rPr>
                <w:sz w:val="16"/>
              </w:rPr>
              <w:t>Serum Uric Acid (mg/dL)</w:t>
            </w:r>
          </w:p>
        </w:tc>
        <w:tc>
          <w:tcPr>
            <w:tcW w:type="dxa" w:w="1384"/>
          </w:tcPr>
          <w:p>
            <w:r>
              <w:rPr>
                <w:sz w:val="16"/>
              </w:rPr>
              <w:t>5.13 ± 1.41</w:t>
            </w:r>
          </w:p>
        </w:tc>
        <w:tc>
          <w:tcPr>
            <w:tcW w:type="dxa" w:w="1384"/>
          </w:tcPr>
          <w:p>
            <w:r>
              <w:rPr>
                <w:sz w:val="16"/>
              </w:rPr>
              <w:t>4.81 ± 1.32</w:t>
            </w:r>
          </w:p>
        </w:tc>
        <w:tc>
          <w:tcPr>
            <w:tcW w:type="dxa" w:w="1384"/>
          </w:tcPr>
          <w:p>
            <w:r>
              <w:rPr>
                <w:sz w:val="16"/>
              </w:rPr>
              <w:t>5.56 ± 1.42</w:t>
            </w:r>
          </w:p>
        </w:tc>
        <w:tc>
          <w:tcPr>
            <w:tcW w:type="dxa" w:w="1384"/>
          </w:tcPr>
          <w:p>
            <w:r>
              <w:rPr>
                <w:sz w:val="16"/>
              </w:rPr>
              <w:t>0.0%</w:t>
            </w:r>
          </w:p>
        </w:tc>
      </w:tr>
      <w:tr>
        <w:tc>
          <w:tcPr>
            <w:tcW w:type="dxa" w:w="1384"/>
          </w:tcPr>
          <w:p>
            <w:r>
              <w:rPr>
                <w:sz w:val="16"/>
              </w:rPr>
              <w:t>Diagnosed Diabetes, n (%)</w:t>
            </w:r>
          </w:p>
        </w:tc>
        <w:tc>
          <w:tcPr>
            <w:tcW w:type="dxa" w:w="1384"/>
          </w:tcPr>
          <w:p>
            <w:r>
              <w:rPr>
                <w:sz w:val="16"/>
              </w:rPr>
              <w:t>826 (13.06%)</w:t>
            </w:r>
          </w:p>
        </w:tc>
        <w:tc>
          <w:tcPr>
            <w:tcW w:type="dxa" w:w="1384"/>
          </w:tcPr>
          <w:p>
            <w:r>
              <w:rPr>
                <w:sz w:val="16"/>
              </w:rPr>
              <w:t>183 (5.09%)</w:t>
            </w:r>
          </w:p>
        </w:tc>
        <w:tc>
          <w:tcPr>
            <w:tcW w:type="dxa" w:w="1384"/>
          </w:tcPr>
          <w:p>
            <w:r>
              <w:rPr>
                <w:sz w:val="16"/>
              </w:rPr>
              <w:t>643 (23.52%)</w:t>
            </w:r>
          </w:p>
        </w:tc>
        <w:tc>
          <w:tcPr>
            <w:tcW w:type="dxa" w:w="1384"/>
          </w:tcPr>
          <w:p>
            <w:r>
              <w:rPr>
                <w:sz w:val="16"/>
              </w:rPr>
              <w:t>0.0%</w:t>
            </w:r>
          </w:p>
        </w:tc>
      </w:tr>
      <w:tr>
        <w:tc>
          <w:tcPr>
            <w:tcW w:type="dxa" w:w="1384"/>
          </w:tcPr>
          <w:p>
            <w:r>
              <w:rPr>
                <w:sz w:val="16"/>
              </w:rPr>
              <w:t>Poverty-Income Ratio</w:t>
            </w:r>
          </w:p>
        </w:tc>
        <w:tc>
          <w:tcPr>
            <w:tcW w:type="dxa" w:w="1384"/>
          </w:tcPr>
          <w:p>
            <w:r>
              <w:rPr>
                <w:sz w:val="16"/>
              </w:rPr>
              <w:t>2.88 ± 1.66</w:t>
            </w:r>
          </w:p>
        </w:tc>
        <w:tc>
          <w:tcPr>
            <w:tcW w:type="dxa" w:w="1384"/>
          </w:tcPr>
          <w:p>
            <w:r>
              <w:rPr>
                <w:sz w:val="16"/>
              </w:rPr>
              <w:t>2.94 ± 1.68</w:t>
            </w:r>
          </w:p>
        </w:tc>
        <w:tc>
          <w:tcPr>
            <w:tcW w:type="dxa" w:w="1384"/>
          </w:tcPr>
          <w:p>
            <w:r>
              <w:rPr>
                <w:sz w:val="16"/>
              </w:rPr>
              <w:t>2.81 ± 1.63</w:t>
            </w:r>
          </w:p>
        </w:tc>
        <w:tc>
          <w:tcPr>
            <w:tcW w:type="dxa" w:w="1384"/>
          </w:tcPr>
          <w:p>
            <w:r>
              <w:rPr>
                <w:sz w:val="16"/>
              </w:rPr>
              <w:t>12.54%</w:t>
            </w:r>
          </w:p>
        </w:tc>
      </w:tr>
    </w:tbl>
    <w:p/>
    <w:p>
      <w:pPr>
        <w:keepNext/>
        <w:spacing w:before="200" w:after="60"/>
      </w:pPr>
      <w:r>
        <w:rPr>
          <w:rFonts w:ascii="Times New Roman" w:hAnsi="Times New Roman"/>
          <w:b/>
          <w:sz w:val="20"/>
        </w:rPr>
        <w:t>2.2 Feature Policy &amp; Target Leakage Elimination</w:t>
      </w:r>
    </w:p>
    <w:p>
      <w:r>
        <w:t>To prevent tautological target reconstruction, seven direct diagnostic features were quarantined: participant_id, egfr, serum_creatinine, urine_albumin, urine_creatinine, albumin_creatinine_ratio, and ckd_stage. The approved feature matrix comprises 21 non-leaking predictors: 14 continuous (age, BMI, weight, height, systolic BP, diastolic BP, BUN, serum albumin, phosphorus, bicarbonate, calcium, uric acid, poverty-income ratio, education level) and 7 categorical (gender, ethnicity, diagnosed diabetes, insulin use, diabetes pills, smoking history, current smoking status).</w:t>
      </w:r>
    </w:p>
    <w:p>
      <w:r>
        <w:drawing>
          <wp:inline xmlns:a="http://schemas.openxmlformats.org/drawingml/2006/main" xmlns:pic="http://schemas.openxmlformats.org/drawingml/2006/picture">
            <wp:extent cx="4389120" cy="1567543"/>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9"/>
                    <a:stretch>
                      <a:fillRect/>
                    </a:stretch>
                  </pic:blipFill>
                  <pic:spPr>
                    <a:xfrm>
                      <a:off x="0" y="0"/>
                      <a:ext cx="4389120" cy="1567543"/>
                    </a:xfrm>
                    <a:prstGeom prst="rect"/>
                  </pic:spPr>
                </pic:pic>
              </a:graphicData>
            </a:graphic>
          </wp:inline>
        </w:drawing>
      </w:r>
    </w:p>
    <w:p>
      <w:pPr>
        <w:spacing w:before="60" w:after="200"/>
        <w:jc w:val="center"/>
      </w:pPr>
      <w:r>
        <w:rPr>
          <w:sz w:val="18"/>
        </w:rPr>
        <w:t>Fig. 1. Study population flow chart, target distribution, and KDIGO clinical staging breakdown in the analyzed NHANES 2021–2023 cohort.</w:t>
      </w:r>
    </w:p>
    <w:p>
      <w:pPr>
        <w:keepNext/>
        <w:spacing w:before="200" w:after="60"/>
      </w:pPr>
      <w:r>
        <w:rPr>
          <w:rFonts w:ascii="Times New Roman" w:hAnsi="Times New Roman"/>
          <w:b/>
          <w:sz w:val="20"/>
        </w:rPr>
        <w:t>2.3 Machine Learning Pipeline and Validation Protocol</w:t>
      </w:r>
    </w:p>
    <w:p>
      <w:r>
        <w:t>All transformations and evaluations were integrated within a Repeated Stratified 5-Fold Cross-Validation protocol with 5 independent random repeats (25 total folds). Continuous features were processed using median imputation and z-score standard scaling. Categorical features were imputed using mode imputation and one-hot encoding. Crucially, all imputers, encoders, and scalers were fit strictly on the training partition of each fold (N ≈ 5,060) and applied via transform to the held-out test fold (N ≈ 1,266). We benchmarked three contrasting architectures: regularized Logistic Regression (L2, C=1.0), Random Forest (300 trees, min_samples_leaf=2), and XGBoost (300 trees, max_depth=3, lr=0.05).</w:t>
      </w:r>
    </w:p>
    <w:p>
      <w:pPr>
        <w:keepNext/>
        <w:spacing w:before="200" w:after="60"/>
      </w:pPr>
      <w:r>
        <w:rPr>
          <w:rFonts w:ascii="Times New Roman" w:hAnsi="Times New Roman"/>
          <w:b/>
          <w:sz w:val="20"/>
        </w:rPr>
        <w:t>2.4 Explainability, Dummy Aggregation, and Stability Quantification</w:t>
      </w:r>
    </w:p>
    <w:p>
      <w:r>
        <w:t>Post-hoc local explanations were computed for all held-out validation instances using Shapley Additive Explanations (SHAP) [8] via exact TreeSHAP for tree ensembles and LinearSHAP for Logistic Regression. One-hot dummy level attributions were aggregated back to parent clinical features by summing absolute Shapley contributions across levels: Attribution_i(F) = sum_k |phi_{i, k}|. Stability across all 300 cross-validation fold pairs was evaluated via pairwise Spearman rank correlation (rho) and Top-k Jaccard similarity indices (k in {5, 10}).</w:t>
      </w:r>
    </w:p>
    <w:p>
      <w:pPr>
        <w:keepNext/>
        <w:spacing w:before="240" w:after="80"/>
      </w:pPr>
      <w:r>
        <w:rPr>
          <w:rFonts w:ascii="Times New Roman" w:hAnsi="Times New Roman"/>
          <w:b/>
          <w:sz w:val="24"/>
        </w:rPr>
        <w:t>3 Experimental Results</w:t>
      </w:r>
    </w:p>
    <w:p>
      <w:pPr>
        <w:keepNext/>
        <w:spacing w:before="200" w:after="60"/>
      </w:pPr>
      <w:r>
        <w:rPr>
          <w:rFonts w:ascii="Times New Roman" w:hAnsi="Times New Roman"/>
          <w:b/>
          <w:sz w:val="20"/>
        </w:rPr>
        <w:t>3.1 Cross-Validation Model Discrimination and Calibration (RQ1)</w:t>
      </w:r>
    </w:p>
    <w:p>
      <w:r>
        <w:t>Across 25 repeated cross-validation folds, all three machine learning architectures exhibited strong, highly competitive discriminative capacity on held-out validation partitions (Table 2).</w:t>
      </w:r>
    </w:p>
    <w:p>
      <w:pPr>
        <w:keepNext/>
        <w:spacing w:before="160" w:after="60"/>
      </w:pPr>
      <w:r>
        <w:rPr>
          <w:b/>
          <w:sz w:val="18"/>
        </w:rPr>
        <w:t>Table 2. Cross-validation performance metrics across 25 folds (Mean ± SD).</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865"/>
        <w:gridCol w:w="865"/>
        <w:gridCol w:w="865"/>
        <w:gridCol w:w="865"/>
        <w:gridCol w:w="865"/>
        <w:gridCol w:w="865"/>
        <w:gridCol w:w="865"/>
        <w:gridCol w:w="865"/>
      </w:tblGrid>
      <w:tr>
        <w:tc>
          <w:tcPr>
            <w:tcW w:type="dxa" w:w="865"/>
            <w:shd w:fill="F2F2F2"/>
          </w:tcPr>
          <w:p>
            <w:r>
              <w:rPr>
                <w:b/>
                <w:sz w:val="16"/>
              </w:rPr>
              <w:t>Model</w:t>
            </w:r>
          </w:p>
        </w:tc>
        <w:tc>
          <w:tcPr>
            <w:tcW w:type="dxa" w:w="865"/>
            <w:shd w:fill="F2F2F2"/>
          </w:tcPr>
          <w:p>
            <w:r>
              <w:rPr>
                <w:b/>
                <w:sz w:val="16"/>
              </w:rPr>
              <w:t>ROC-AUC</w:t>
            </w:r>
          </w:p>
        </w:tc>
        <w:tc>
          <w:tcPr>
            <w:tcW w:type="dxa" w:w="865"/>
            <w:shd w:fill="F2F2F2"/>
          </w:tcPr>
          <w:p>
            <w:r>
              <w:rPr>
                <w:b/>
                <w:sz w:val="16"/>
              </w:rPr>
              <w:t>PR-AUC</w:t>
            </w:r>
          </w:p>
        </w:tc>
        <w:tc>
          <w:tcPr>
            <w:tcW w:type="dxa" w:w="865"/>
            <w:shd w:fill="F2F2F2"/>
          </w:tcPr>
          <w:p>
            <w:r>
              <w:rPr>
                <w:b/>
                <w:sz w:val="16"/>
              </w:rPr>
              <w:t>Sensitivity</w:t>
            </w:r>
          </w:p>
        </w:tc>
        <w:tc>
          <w:tcPr>
            <w:tcW w:type="dxa" w:w="865"/>
            <w:shd w:fill="F2F2F2"/>
          </w:tcPr>
          <w:p>
            <w:r>
              <w:rPr>
                <w:b/>
                <w:sz w:val="16"/>
              </w:rPr>
              <w:t>Specificity</w:t>
            </w:r>
          </w:p>
        </w:tc>
        <w:tc>
          <w:tcPr>
            <w:tcW w:type="dxa" w:w="865"/>
            <w:shd w:fill="F2F2F2"/>
          </w:tcPr>
          <w:p>
            <w:r>
              <w:rPr>
                <w:b/>
                <w:sz w:val="16"/>
              </w:rPr>
              <w:t>F1-Score</w:t>
            </w:r>
          </w:p>
        </w:tc>
        <w:tc>
          <w:tcPr>
            <w:tcW w:type="dxa" w:w="865"/>
            <w:shd w:fill="F2F2F2"/>
          </w:tcPr>
          <w:p>
            <w:r>
              <w:rPr>
                <w:b/>
                <w:sz w:val="16"/>
              </w:rPr>
              <w:t>Accuracy</w:t>
            </w:r>
          </w:p>
        </w:tc>
        <w:tc>
          <w:tcPr>
            <w:tcW w:type="dxa" w:w="865"/>
            <w:shd w:fill="F2F2F2"/>
          </w:tcPr>
          <w:p>
            <w:r>
              <w:rPr>
                <w:b/>
                <w:sz w:val="16"/>
              </w:rPr>
              <w:t>Brier Score</w:t>
            </w:r>
          </w:p>
        </w:tc>
      </w:tr>
      <w:tr>
        <w:tc>
          <w:tcPr>
            <w:tcW w:type="dxa" w:w="865"/>
          </w:tcPr>
          <w:p>
            <w:r>
              <w:rPr>
                <w:sz w:val="15"/>
              </w:rPr>
              <w:t>Logistic Regression</w:t>
            </w:r>
          </w:p>
        </w:tc>
        <w:tc>
          <w:tcPr>
            <w:tcW w:type="dxa" w:w="865"/>
          </w:tcPr>
          <w:p>
            <w:r>
              <w:rPr>
                <w:sz w:val="15"/>
              </w:rPr>
              <w:t>0.8441 ± 0.0123</w:t>
            </w:r>
          </w:p>
        </w:tc>
        <w:tc>
          <w:tcPr>
            <w:tcW w:type="dxa" w:w="865"/>
          </w:tcPr>
          <w:p>
            <w:r>
              <w:rPr>
                <w:sz w:val="15"/>
              </w:rPr>
              <w:t>0.8242 ± 0.0143</w:t>
            </w:r>
          </w:p>
        </w:tc>
        <w:tc>
          <w:tcPr>
            <w:tcW w:type="dxa" w:w="865"/>
          </w:tcPr>
          <w:p>
            <w:r>
              <w:rPr>
                <w:sz w:val="15"/>
              </w:rPr>
              <w:t>0.7303 ± 0.0154</w:t>
            </w:r>
          </w:p>
        </w:tc>
        <w:tc>
          <w:tcPr>
            <w:tcW w:type="dxa" w:w="865"/>
          </w:tcPr>
          <w:p>
            <w:r>
              <w:rPr>
                <w:sz w:val="15"/>
              </w:rPr>
              <w:t>0.8142 ± 0.0171</w:t>
            </w:r>
          </w:p>
        </w:tc>
        <w:tc>
          <w:tcPr>
            <w:tcW w:type="dxa" w:w="865"/>
          </w:tcPr>
          <w:p>
            <w:r>
              <w:rPr>
                <w:sz w:val="15"/>
              </w:rPr>
              <w:t>0.7398 ± 0.0137</w:t>
            </w:r>
          </w:p>
        </w:tc>
        <w:tc>
          <w:tcPr>
            <w:tcW w:type="dxa" w:w="865"/>
          </w:tcPr>
          <w:p>
            <w:r>
              <w:rPr>
                <w:sz w:val="15"/>
              </w:rPr>
              <w:t>0.7779 ± 0.0124</w:t>
            </w:r>
          </w:p>
        </w:tc>
        <w:tc>
          <w:tcPr>
            <w:tcW w:type="dxa" w:w="865"/>
          </w:tcPr>
          <w:p>
            <w:r>
              <w:rPr>
                <w:sz w:val="15"/>
              </w:rPr>
              <w:t>0.1559 ± 0.0063</w:t>
            </w:r>
          </w:p>
        </w:tc>
      </w:tr>
      <w:tr>
        <w:tc>
          <w:tcPr>
            <w:tcW w:type="dxa" w:w="865"/>
          </w:tcPr>
          <w:p>
            <w:r>
              <w:rPr>
                <w:sz w:val="15"/>
              </w:rPr>
              <w:t>Random Forest</w:t>
            </w:r>
          </w:p>
        </w:tc>
        <w:tc>
          <w:tcPr>
            <w:tcW w:type="dxa" w:w="865"/>
          </w:tcPr>
          <w:p>
            <w:r>
              <w:rPr>
                <w:sz w:val="15"/>
              </w:rPr>
              <w:t>0.8406 ± 0.0123</w:t>
            </w:r>
          </w:p>
        </w:tc>
        <w:tc>
          <w:tcPr>
            <w:tcW w:type="dxa" w:w="865"/>
          </w:tcPr>
          <w:p>
            <w:r>
              <w:rPr>
                <w:sz w:val="15"/>
              </w:rPr>
              <w:t>0.8133 ± 0.0160</w:t>
            </w:r>
          </w:p>
        </w:tc>
        <w:tc>
          <w:tcPr>
            <w:tcW w:type="dxa" w:w="865"/>
          </w:tcPr>
          <w:p>
            <w:r>
              <w:rPr>
                <w:sz w:val="15"/>
              </w:rPr>
              <w:t>0.7187 ± 0.0144</w:t>
            </w:r>
          </w:p>
        </w:tc>
        <w:tc>
          <w:tcPr>
            <w:tcW w:type="dxa" w:w="865"/>
          </w:tcPr>
          <w:p>
            <w:r>
              <w:rPr>
                <w:sz w:val="15"/>
              </w:rPr>
              <w:t>0.8130 ± 0.0184</w:t>
            </w:r>
          </w:p>
        </w:tc>
        <w:tc>
          <w:tcPr>
            <w:tcW w:type="dxa" w:w="865"/>
          </w:tcPr>
          <w:p>
            <w:r>
              <w:rPr>
                <w:sz w:val="15"/>
              </w:rPr>
              <w:t>0.7317 ± 0.0133</w:t>
            </w:r>
          </w:p>
        </w:tc>
        <w:tc>
          <w:tcPr>
            <w:tcW w:type="dxa" w:w="865"/>
          </w:tcPr>
          <w:p>
            <w:r>
              <w:rPr>
                <w:sz w:val="15"/>
              </w:rPr>
              <w:t>0.7722 ± 0.0124</w:t>
            </w:r>
          </w:p>
        </w:tc>
        <w:tc>
          <w:tcPr>
            <w:tcW w:type="dxa" w:w="865"/>
          </w:tcPr>
          <w:p>
            <w:r>
              <w:rPr>
                <w:sz w:val="15"/>
              </w:rPr>
              <w:t>0.1600 ± 0.0057</w:t>
            </w:r>
          </w:p>
        </w:tc>
      </w:tr>
      <w:tr>
        <w:tc>
          <w:tcPr>
            <w:tcW w:type="dxa" w:w="865"/>
          </w:tcPr>
          <w:p>
            <w:r>
              <w:rPr>
                <w:sz w:val="15"/>
              </w:rPr>
              <w:t>XGBoost</w:t>
            </w:r>
          </w:p>
        </w:tc>
        <w:tc>
          <w:tcPr>
            <w:tcW w:type="dxa" w:w="865"/>
          </w:tcPr>
          <w:p>
            <w:r>
              <w:rPr>
                <w:sz w:val="15"/>
              </w:rPr>
              <w:t>0.8456 ± 0.0129</w:t>
            </w:r>
          </w:p>
        </w:tc>
        <w:tc>
          <w:tcPr>
            <w:tcW w:type="dxa" w:w="865"/>
          </w:tcPr>
          <w:p>
            <w:r>
              <w:rPr>
                <w:sz w:val="15"/>
              </w:rPr>
              <w:t>0.8246 ± 0.0149</w:t>
            </w:r>
          </w:p>
        </w:tc>
        <w:tc>
          <w:tcPr>
            <w:tcW w:type="dxa" w:w="865"/>
          </w:tcPr>
          <w:p>
            <w:r>
              <w:rPr>
                <w:sz w:val="15"/>
              </w:rPr>
              <w:t>0.7025 ± 0.0161</w:t>
            </w:r>
          </w:p>
        </w:tc>
        <w:tc>
          <w:tcPr>
            <w:tcW w:type="dxa" w:w="865"/>
          </w:tcPr>
          <w:p>
            <w:r>
              <w:rPr>
                <w:sz w:val="15"/>
              </w:rPr>
              <w:t>0.8268 ± 0.0158</w:t>
            </w:r>
          </w:p>
        </w:tc>
        <w:tc>
          <w:tcPr>
            <w:tcW w:type="dxa" w:w="865"/>
          </w:tcPr>
          <w:p>
            <w:r>
              <w:rPr>
                <w:sz w:val="15"/>
              </w:rPr>
              <w:t>0.7280 ± 0.0148</w:t>
            </w:r>
          </w:p>
        </w:tc>
        <w:tc>
          <w:tcPr>
            <w:tcW w:type="dxa" w:w="865"/>
          </w:tcPr>
          <w:p>
            <w:r>
              <w:rPr>
                <w:sz w:val="15"/>
              </w:rPr>
              <w:t>0.7731 ± 0.0128</w:t>
            </w:r>
          </w:p>
        </w:tc>
        <w:tc>
          <w:tcPr>
            <w:tcW w:type="dxa" w:w="865"/>
          </w:tcPr>
          <w:p>
            <w:r>
              <w:rPr>
                <w:sz w:val="15"/>
              </w:rPr>
              <w:t>0.1559 ± 0.0069</w:t>
            </w:r>
          </w:p>
        </w:tc>
      </w:tr>
    </w:tbl>
    <w:p/>
    <w:p>
      <w:r>
        <w:drawing>
          <wp:inline xmlns:a="http://schemas.openxmlformats.org/drawingml/2006/main" xmlns:pic="http://schemas.openxmlformats.org/drawingml/2006/picture">
            <wp:extent cx="4389120" cy="1881051"/>
            <wp:docPr id="2" name="Picture 2"/>
            <wp:cNvGraphicFramePr>
              <a:graphicFrameLocks noChangeAspect="1"/>
            </wp:cNvGraphicFramePr>
            <a:graphic>
              <a:graphicData uri="http://schemas.openxmlformats.org/drawingml/2006/picture">
                <pic:pic>
                  <pic:nvPicPr>
                    <pic:cNvPr id="0" name="roc_pr_curves.png"/>
                    <pic:cNvPicPr/>
                  </pic:nvPicPr>
                  <pic:blipFill>
                    <a:blip r:embed="rId10"/>
                    <a:stretch>
                      <a:fillRect/>
                    </a:stretch>
                  </pic:blipFill>
                  <pic:spPr>
                    <a:xfrm>
                      <a:off x="0" y="0"/>
                      <a:ext cx="4389120" cy="1881051"/>
                    </a:xfrm>
                    <a:prstGeom prst="rect"/>
                  </pic:spPr>
                </pic:pic>
              </a:graphicData>
            </a:graphic>
          </wp:inline>
        </w:drawing>
      </w:r>
    </w:p>
    <w:p>
      <w:pPr>
        <w:spacing w:before="60" w:after="200"/>
        <w:jc w:val="center"/>
      </w:pPr>
      <w:r>
        <w:rPr>
          <w:sz w:val="18"/>
        </w:rPr>
        <w:t>Fig. 2. Receiver Operating Characteristic (ROC) and Precision-Recall (PR) curves across 25 cross-validation folds with ±1 SD confidence bands.</w:t>
      </w:r>
    </w:p>
    <w:p>
      <w:pPr>
        <w:keepNext/>
        <w:spacing w:before="200" w:after="60"/>
      </w:pPr>
      <w:r>
        <w:rPr>
          <w:rFonts w:ascii="Times New Roman" w:hAnsi="Times New Roman"/>
          <w:b/>
          <w:sz w:val="20"/>
        </w:rPr>
        <w:t>3.2 Global SHAP Consensus Risk Factors (RQ2)</w:t>
      </w:r>
    </w:p>
    <w:p>
      <w:r>
        <w:t>Global SHAP feature attributions aggregated across all 25 folds identified a consistent biological hierarchy: chronological age emerged as the dominant predictor across all architectures (mean |SHAP| ~0.14–0.17), followed by blood urea nitrogen (BUN), systolic blood pressure, serum uric acid, and diagnosed diabetes status. Together, these top 5 consensus risk factors accounted for over 72% of total attribution density across all models.</w:t>
      </w:r>
    </w:p>
    <w:p>
      <w:r>
        <w:drawing>
          <wp:inline xmlns:a="http://schemas.openxmlformats.org/drawingml/2006/main" xmlns:pic="http://schemas.openxmlformats.org/drawingml/2006/picture">
            <wp:extent cx="4389120" cy="1950720"/>
            <wp:docPr id="3" name="Picture 3"/>
            <wp:cNvGraphicFramePr>
              <a:graphicFrameLocks noChangeAspect="1"/>
            </wp:cNvGraphicFramePr>
            <a:graphic>
              <a:graphicData uri="http://schemas.openxmlformats.org/drawingml/2006/picture">
                <pic:pic>
                  <pic:nvPicPr>
                    <pic:cNvPr id="0" name="global_feature_importance.png"/>
                    <pic:cNvPicPr/>
                  </pic:nvPicPr>
                  <pic:blipFill>
                    <a:blip r:embed="rId11"/>
                    <a:stretch>
                      <a:fillRect/>
                    </a:stretch>
                  </pic:blipFill>
                  <pic:spPr>
                    <a:xfrm>
                      <a:off x="0" y="0"/>
                      <a:ext cx="4389120" cy="1950720"/>
                    </a:xfrm>
                    <a:prstGeom prst="rect"/>
                  </pic:spPr>
                </pic:pic>
              </a:graphicData>
            </a:graphic>
          </wp:inline>
        </w:drawing>
      </w:r>
    </w:p>
    <w:p>
      <w:pPr>
        <w:spacing w:before="60" w:after="200"/>
        <w:jc w:val="center"/>
      </w:pPr>
      <w:r>
        <w:rPr>
          <w:sz w:val="18"/>
        </w:rPr>
        <w:t>Fig. 3. Global SHAP feature importance rankings for Logistic Regression, Random Forest, and XGBoost after dummy-to-parent clinical feature aggregation.</w:t>
      </w:r>
    </w:p>
    <w:p>
      <w:pPr>
        <w:keepNext/>
        <w:spacing w:before="200" w:after="60"/>
      </w:pPr>
      <w:r>
        <w:rPr>
          <w:rFonts w:ascii="Times New Roman" w:hAnsi="Times New Roman"/>
          <w:b/>
          <w:sz w:val="20"/>
        </w:rPr>
        <w:t>3.3 SHAP Attribution Stability Across 300 Fold Pairs (RQ3)</w:t>
      </w:r>
    </w:p>
    <w:p>
      <w:r>
        <w:t>Pairwise evaluation across all 300 cross-validation fold combinations demonstrated outstanding explanation stability for tree-based ensemble methods. Random Forest achieved the highest monotonic stability (Spearman rho = 0.9652 ± 0.0148) and Top-10 Jaccard overlap (0.9577 ± 0.0781). Remarkably, both Random Forest and XGBoost achieved perfect Top-5 Jaccard similarity (1.0000 ± 0.0000) across every single one of the 300 fold comparisons (Table 3), confirming that the top 5 clinical risk factors are unconditionally invariant to sample resampling.</w:t>
      </w:r>
    </w:p>
    <w:p>
      <w:pPr>
        <w:keepNext/>
        <w:spacing w:before="160" w:after="60"/>
      </w:pPr>
      <w:r>
        <w:rPr>
          <w:b/>
          <w:sz w:val="18"/>
        </w:rPr>
        <w:t>Table 3. SHAP attribution stability summary across 300 cross-validation fold pairs.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53"/>
        <w:gridCol w:w="1153"/>
        <w:gridCol w:w="1153"/>
        <w:gridCol w:w="1153"/>
        <w:gridCol w:w="1153"/>
        <w:gridCol w:w="1153"/>
      </w:tblGrid>
      <w:tr>
        <w:tc>
          <w:tcPr>
            <w:tcW w:type="dxa" w:w="1153"/>
            <w:shd w:fill="F2F2F2"/>
          </w:tcPr>
          <w:p>
            <w:r>
              <w:rPr>
                <w:b/>
                <w:sz w:val="16"/>
              </w:rPr>
              <w:t>Model Architecture</w:t>
            </w:r>
          </w:p>
        </w:tc>
        <w:tc>
          <w:tcPr>
            <w:tcW w:type="dxa" w:w="1153"/>
            <w:shd w:fill="F2F2F2"/>
          </w:tcPr>
          <w:p>
            <w:r>
              <w:rPr>
                <w:b/>
                <w:sz w:val="16"/>
              </w:rPr>
              <w:t>Comparisons</w:t>
            </w:r>
          </w:p>
        </w:tc>
        <w:tc>
          <w:tcPr>
            <w:tcW w:type="dxa" w:w="1153"/>
            <w:shd w:fill="F2F2F2"/>
          </w:tcPr>
          <w:p>
            <w:r>
              <w:rPr>
                <w:b/>
                <w:sz w:val="16"/>
              </w:rPr>
              <w:t>Spearman rho</w:t>
            </w:r>
          </w:p>
        </w:tc>
        <w:tc>
          <w:tcPr>
            <w:tcW w:type="dxa" w:w="1153"/>
            <w:shd w:fill="F2F2F2"/>
          </w:tcPr>
          <w:p>
            <w:r>
              <w:rPr>
                <w:b/>
                <w:sz w:val="16"/>
              </w:rPr>
              <w:t>Spearman Median (IQR)</w:t>
            </w:r>
          </w:p>
        </w:tc>
        <w:tc>
          <w:tcPr>
            <w:tcW w:type="dxa" w:w="1153"/>
            <w:shd w:fill="F2F2F2"/>
          </w:tcPr>
          <w:p>
            <w:r>
              <w:rPr>
                <w:b/>
                <w:sz w:val="16"/>
              </w:rPr>
              <w:t>Top-5 Jaccard</w:t>
            </w:r>
          </w:p>
        </w:tc>
        <w:tc>
          <w:tcPr>
            <w:tcW w:type="dxa" w:w="1153"/>
            <w:shd w:fill="F2F2F2"/>
          </w:tcPr>
          <w:p>
            <w:r>
              <w:rPr>
                <w:b/>
                <w:sz w:val="16"/>
              </w:rPr>
              <w:t>Top-10 Jaccard</w:t>
            </w:r>
          </w:p>
        </w:tc>
      </w:tr>
      <w:tr>
        <w:tc>
          <w:tcPr>
            <w:tcW w:type="dxa" w:w="1153"/>
          </w:tcPr>
          <w:p>
            <w:r>
              <w:rPr>
                <w:sz w:val="15"/>
              </w:rPr>
              <w:t>Random Forest</w:t>
            </w:r>
          </w:p>
        </w:tc>
        <w:tc>
          <w:tcPr>
            <w:tcW w:type="dxa" w:w="1153"/>
          </w:tcPr>
          <w:p>
            <w:r>
              <w:rPr>
                <w:sz w:val="15"/>
              </w:rPr>
              <w:t>300</w:t>
            </w:r>
          </w:p>
        </w:tc>
        <w:tc>
          <w:tcPr>
            <w:tcW w:type="dxa" w:w="1153"/>
          </w:tcPr>
          <w:p>
            <w:r>
              <w:rPr>
                <w:sz w:val="15"/>
              </w:rPr>
              <w:t>0.9652 ± 0.0148</w:t>
            </w:r>
          </w:p>
        </w:tc>
        <w:tc>
          <w:tcPr>
            <w:tcW w:type="dxa" w:w="1153"/>
          </w:tcPr>
          <w:p>
            <w:r>
              <w:rPr>
                <w:sz w:val="15"/>
              </w:rPr>
              <w:t>0.9662 (0.0208)</w:t>
            </w:r>
          </w:p>
        </w:tc>
        <w:tc>
          <w:tcPr>
            <w:tcW w:type="dxa" w:w="1153"/>
          </w:tcPr>
          <w:p>
            <w:r>
              <w:rPr>
                <w:sz w:val="15"/>
              </w:rPr>
              <w:t>1.0000 ± 0.0000</w:t>
            </w:r>
          </w:p>
        </w:tc>
        <w:tc>
          <w:tcPr>
            <w:tcW w:type="dxa" w:w="1153"/>
          </w:tcPr>
          <w:p>
            <w:r>
              <w:rPr>
                <w:sz w:val="15"/>
              </w:rPr>
              <w:t>0.9577 ± 0.0781</w:t>
            </w:r>
          </w:p>
        </w:tc>
      </w:tr>
      <w:tr>
        <w:tc>
          <w:tcPr>
            <w:tcW w:type="dxa" w:w="1153"/>
          </w:tcPr>
          <w:p>
            <w:r>
              <w:rPr>
                <w:sz w:val="15"/>
              </w:rPr>
              <w:t>XGBoost</w:t>
            </w:r>
          </w:p>
        </w:tc>
        <w:tc>
          <w:tcPr>
            <w:tcW w:type="dxa" w:w="1153"/>
          </w:tcPr>
          <w:p>
            <w:r>
              <w:rPr>
                <w:sz w:val="15"/>
              </w:rPr>
              <w:t>300</w:t>
            </w:r>
          </w:p>
        </w:tc>
        <w:tc>
          <w:tcPr>
            <w:tcW w:type="dxa" w:w="1153"/>
          </w:tcPr>
          <w:p>
            <w:r>
              <w:rPr>
                <w:sz w:val="15"/>
              </w:rPr>
              <w:t>0.9414 ± 0.0214</w:t>
            </w:r>
          </w:p>
        </w:tc>
        <w:tc>
          <w:tcPr>
            <w:tcW w:type="dxa" w:w="1153"/>
          </w:tcPr>
          <w:p>
            <w:r>
              <w:rPr>
                <w:sz w:val="15"/>
              </w:rPr>
              <w:t>0.9455 (0.0312)</w:t>
            </w:r>
          </w:p>
        </w:tc>
        <w:tc>
          <w:tcPr>
            <w:tcW w:type="dxa" w:w="1153"/>
          </w:tcPr>
          <w:p>
            <w:r>
              <w:rPr>
                <w:sz w:val="15"/>
              </w:rPr>
              <w:t>1.0000 ± 0.0000</w:t>
            </w:r>
          </w:p>
        </w:tc>
        <w:tc>
          <w:tcPr>
            <w:tcW w:type="dxa" w:w="1153"/>
          </w:tcPr>
          <w:p>
            <w:r>
              <w:rPr>
                <w:sz w:val="15"/>
              </w:rPr>
              <w:t>0.7997 ± 0.1087</w:t>
            </w:r>
          </w:p>
        </w:tc>
      </w:tr>
      <w:tr>
        <w:tc>
          <w:tcPr>
            <w:tcW w:type="dxa" w:w="1153"/>
          </w:tcPr>
          <w:p>
            <w:r>
              <w:rPr>
                <w:sz w:val="15"/>
              </w:rPr>
              <w:t>Logistic Regression</w:t>
            </w:r>
          </w:p>
        </w:tc>
        <w:tc>
          <w:tcPr>
            <w:tcW w:type="dxa" w:w="1153"/>
          </w:tcPr>
          <w:p>
            <w:r>
              <w:rPr>
                <w:sz w:val="15"/>
              </w:rPr>
              <w:t>300</w:t>
            </w:r>
          </w:p>
        </w:tc>
        <w:tc>
          <w:tcPr>
            <w:tcW w:type="dxa" w:w="1153"/>
          </w:tcPr>
          <w:p>
            <w:r>
              <w:rPr>
                <w:sz w:val="15"/>
              </w:rPr>
              <w:t>0.8972 ± 0.0553</w:t>
            </w:r>
          </w:p>
        </w:tc>
        <w:tc>
          <w:tcPr>
            <w:tcW w:type="dxa" w:w="1153"/>
          </w:tcPr>
          <w:p>
            <w:r>
              <w:rPr>
                <w:sz w:val="15"/>
              </w:rPr>
              <w:t>0.9117 (0.0740)</w:t>
            </w:r>
          </w:p>
        </w:tc>
        <w:tc>
          <w:tcPr>
            <w:tcW w:type="dxa" w:w="1153"/>
          </w:tcPr>
          <w:p>
            <w:r>
              <w:rPr>
                <w:sz w:val="15"/>
              </w:rPr>
              <w:t>0.9267 ± 0.1383</w:t>
            </w:r>
          </w:p>
        </w:tc>
        <w:tc>
          <w:tcPr>
            <w:tcW w:type="dxa" w:w="1153"/>
          </w:tcPr>
          <w:p>
            <w:r>
              <w:rPr>
                <w:sz w:val="15"/>
              </w:rPr>
              <w:t>0.8162 ± 0.1022</w:t>
            </w:r>
          </w:p>
        </w:tc>
      </w:tr>
    </w:tbl>
    <w:p/>
    <w:p>
      <w:r>
        <w:drawing>
          <wp:inline xmlns:a="http://schemas.openxmlformats.org/drawingml/2006/main" xmlns:pic="http://schemas.openxmlformats.org/drawingml/2006/picture">
            <wp:extent cx="4389120" cy="3511296"/>
            <wp:docPr id="4" name="Picture 4"/>
            <wp:cNvGraphicFramePr>
              <a:graphicFrameLocks noChangeAspect="1"/>
            </wp:cNvGraphicFramePr>
            <a:graphic>
              <a:graphicData uri="http://schemas.openxmlformats.org/drawingml/2006/picture">
                <pic:pic>
                  <pic:nvPicPr>
                    <pic:cNvPr id="0" name="shap_stability_heatmap.png"/>
                    <pic:cNvPicPr/>
                  </pic:nvPicPr>
                  <pic:blipFill>
                    <a:blip r:embed="rId12"/>
                    <a:stretch>
                      <a:fillRect/>
                    </a:stretch>
                  </pic:blipFill>
                  <pic:spPr>
                    <a:xfrm>
                      <a:off x="0" y="0"/>
                      <a:ext cx="4389120" cy="3511296"/>
                    </a:xfrm>
                    <a:prstGeom prst="rect"/>
                  </pic:spPr>
                </pic:pic>
              </a:graphicData>
            </a:graphic>
          </wp:inline>
        </w:drawing>
      </w:r>
    </w:p>
    <w:p>
      <w:pPr>
        <w:spacing w:before="60" w:after="200"/>
        <w:jc w:val="center"/>
      </w:pPr>
      <w:r>
        <w:rPr>
          <w:sz w:val="18"/>
        </w:rPr>
        <w:t>Fig. 4. Pairwise SHAP attribution stability matrices (25x25 folds, 300 comparisons) showing Spearman rank correlations across cross-validation resamples.</w:t>
      </w:r>
    </w:p>
    <w:p>
      <w:pPr>
        <w:keepNext/>
        <w:spacing w:before="200" w:after="60"/>
      </w:pPr>
      <w:r>
        <w:rPr>
          <w:rFonts w:ascii="Times New Roman" w:hAnsi="Times New Roman"/>
          <w:b/>
          <w:sz w:val="20"/>
        </w:rPr>
        <w:t>3.4 Controlled Missing-Data Stress Testing (RQ4)</w:t>
      </w:r>
    </w:p>
    <w:p>
      <w:r>
        <w:t>Evaluating model pipelines under synthetic MCAR masking demonstrated remarkable resilience and graceful degradation (Table 4). At 10% additional missingness, ROC-AUC declined by only ~0.011–0.013 points across all models. Even under extreme 20% additional missingness, all architectures maintained strong discriminative capacity (ROC-AUC ≥ 0.8207). Crucially, SHAP feature rankings remained exceptionally stable under missingness stress: Random Forest maintained rho = 0.9727 ± 0.0049 relative to baseline explanations, confirming that post-hoc explanations do not collapse when clinical features are partially unobserved.</w:t>
      </w:r>
    </w:p>
    <w:p>
      <w:pPr>
        <w:keepNext/>
        <w:spacing w:before="160" w:after="60"/>
      </w:pPr>
      <w:r>
        <w:rPr>
          <w:b/>
          <w:sz w:val="18"/>
        </w:rPr>
        <w:t>Table 4. Algorithmic performance and explanation stability under controlled MCAR missingness.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53"/>
        <w:gridCol w:w="1153"/>
        <w:gridCol w:w="1153"/>
        <w:gridCol w:w="1153"/>
        <w:gridCol w:w="1153"/>
        <w:gridCol w:w="1153"/>
      </w:tblGrid>
      <w:tr>
        <w:tc>
          <w:tcPr>
            <w:tcW w:type="dxa" w:w="1153"/>
            <w:shd w:fill="F2F2F2"/>
          </w:tcPr>
          <w:p>
            <w:r>
              <w:rPr>
                <w:b/>
                <w:sz w:val="16"/>
              </w:rPr>
              <w:t>Model</w:t>
            </w:r>
          </w:p>
        </w:tc>
        <w:tc>
          <w:tcPr>
            <w:tcW w:type="dxa" w:w="1153"/>
            <w:shd w:fill="F2F2F2"/>
          </w:tcPr>
          <w:p>
            <w:r>
              <w:rPr>
                <w:b/>
                <w:sz w:val="16"/>
              </w:rPr>
              <w:t>Masking Stress</w:t>
            </w:r>
          </w:p>
        </w:tc>
        <w:tc>
          <w:tcPr>
            <w:tcW w:type="dxa" w:w="1153"/>
            <w:shd w:fill="F2F2F2"/>
          </w:tcPr>
          <w:p>
            <w:r>
              <w:rPr>
                <w:b/>
                <w:sz w:val="16"/>
              </w:rPr>
              <w:t>ROC-AUC</w:t>
            </w:r>
          </w:p>
        </w:tc>
        <w:tc>
          <w:tcPr>
            <w:tcW w:type="dxa" w:w="1153"/>
            <w:shd w:fill="F2F2F2"/>
          </w:tcPr>
          <w:p>
            <w:r>
              <w:rPr>
                <w:b/>
                <w:sz w:val="16"/>
              </w:rPr>
              <w:t>F1-Score</w:t>
            </w:r>
          </w:p>
        </w:tc>
        <w:tc>
          <w:tcPr>
            <w:tcW w:type="dxa" w:w="1153"/>
            <w:shd w:fill="F2F2F2"/>
          </w:tcPr>
          <w:p>
            <w:r>
              <w:rPr>
                <w:b/>
                <w:sz w:val="16"/>
              </w:rPr>
              <w:t>Accuracy</w:t>
            </w:r>
          </w:p>
        </w:tc>
        <w:tc>
          <w:tcPr>
            <w:tcW w:type="dxa" w:w="1153"/>
            <w:shd w:fill="F2F2F2"/>
          </w:tcPr>
          <w:p>
            <w:r>
              <w:rPr>
                <w:b/>
                <w:sz w:val="16"/>
              </w:rPr>
              <w:t>SHAP Rank Corr (rho)</w:t>
            </w:r>
          </w:p>
        </w:tc>
      </w:tr>
      <w:tr>
        <w:tc>
          <w:tcPr>
            <w:tcW w:type="dxa" w:w="1153"/>
          </w:tcPr>
          <w:p>
            <w:r>
              <w:rPr>
                <w:sz w:val="15"/>
              </w:rPr>
              <w:t>Logistic Regression</w:t>
            </w:r>
          </w:p>
        </w:tc>
        <w:tc>
          <w:tcPr>
            <w:tcW w:type="dxa" w:w="1153"/>
          </w:tcPr>
          <w:p>
            <w:r>
              <w:rPr>
                <w:sz w:val="15"/>
              </w:rPr>
              <w:t>0% (Baseline)</w:t>
            </w:r>
          </w:p>
        </w:tc>
        <w:tc>
          <w:tcPr>
            <w:tcW w:type="dxa" w:w="1153"/>
          </w:tcPr>
          <w:p>
            <w:r>
              <w:rPr>
                <w:sz w:val="15"/>
              </w:rPr>
              <w:t>0.8482</w:t>
            </w:r>
          </w:p>
        </w:tc>
        <w:tc>
          <w:tcPr>
            <w:tcW w:type="dxa" w:w="1153"/>
          </w:tcPr>
          <w:p>
            <w:r>
              <w:rPr>
                <w:sz w:val="15"/>
              </w:rPr>
              <w:t>0.7422</w:t>
            </w:r>
          </w:p>
        </w:tc>
        <w:tc>
          <w:tcPr>
            <w:tcW w:type="dxa" w:w="1153"/>
          </w:tcPr>
          <w:p>
            <w:r>
              <w:rPr>
                <w:sz w:val="15"/>
              </w:rPr>
              <w:t>0.7844</w:t>
            </w:r>
          </w:p>
        </w:tc>
        <w:tc>
          <w:tcPr>
            <w:tcW w:type="dxa" w:w="1153"/>
          </w:tcPr>
          <w:p>
            <w:r>
              <w:rPr>
                <w:sz w:val="15"/>
              </w:rPr>
              <w:t>1.0000</w:t>
            </w:r>
          </w:p>
        </w:tc>
      </w:tr>
      <w:tr>
        <w:tc>
          <w:tcPr>
            <w:tcW w:type="dxa" w:w="1153"/>
          </w:tcPr>
          <w:p>
            <w:r>
              <w:rPr>
                <w:sz w:val="15"/>
              </w:rPr>
              <w:t>Logistic Regression</w:t>
            </w:r>
          </w:p>
        </w:tc>
        <w:tc>
          <w:tcPr>
            <w:tcW w:type="dxa" w:w="1153"/>
          </w:tcPr>
          <w:p>
            <w:r>
              <w:rPr>
                <w:sz w:val="15"/>
              </w:rPr>
              <w:t>10% MCAR</w:t>
            </w:r>
          </w:p>
        </w:tc>
        <w:tc>
          <w:tcPr>
            <w:tcW w:type="dxa" w:w="1153"/>
          </w:tcPr>
          <w:p>
            <w:r>
              <w:rPr>
                <w:sz w:val="15"/>
              </w:rPr>
              <w:t>0.8366 ± 0.0023</w:t>
            </w:r>
          </w:p>
        </w:tc>
        <w:tc>
          <w:tcPr>
            <w:tcW w:type="dxa" w:w="1153"/>
          </w:tcPr>
          <w:p>
            <w:r>
              <w:rPr>
                <w:sz w:val="15"/>
              </w:rPr>
              <w:t>0.7203 ± 0.0057</w:t>
            </w:r>
          </w:p>
        </w:tc>
        <w:tc>
          <w:tcPr>
            <w:tcW w:type="dxa" w:w="1153"/>
          </w:tcPr>
          <w:p>
            <w:r>
              <w:rPr>
                <w:sz w:val="15"/>
              </w:rPr>
              <w:t>0.7671 ± 0.0054</w:t>
            </w:r>
          </w:p>
        </w:tc>
        <w:tc>
          <w:tcPr>
            <w:tcW w:type="dxa" w:w="1153"/>
          </w:tcPr>
          <w:p>
            <w:r>
              <w:rPr>
                <w:sz w:val="15"/>
              </w:rPr>
              <w:t>0.9403 ± 0.0037</w:t>
            </w:r>
          </w:p>
        </w:tc>
      </w:tr>
      <w:tr>
        <w:tc>
          <w:tcPr>
            <w:tcW w:type="dxa" w:w="1153"/>
          </w:tcPr>
          <w:p>
            <w:r>
              <w:rPr>
                <w:sz w:val="15"/>
              </w:rPr>
              <w:t>Logistic Regression</w:t>
            </w:r>
          </w:p>
        </w:tc>
        <w:tc>
          <w:tcPr>
            <w:tcW w:type="dxa" w:w="1153"/>
          </w:tcPr>
          <w:p>
            <w:r>
              <w:rPr>
                <w:sz w:val="15"/>
              </w:rPr>
              <w:t>20% MCAR</w:t>
            </w:r>
          </w:p>
        </w:tc>
        <w:tc>
          <w:tcPr>
            <w:tcW w:type="dxa" w:w="1153"/>
          </w:tcPr>
          <w:p>
            <w:r>
              <w:rPr>
                <w:sz w:val="15"/>
              </w:rPr>
              <w:t>0.8207 ± 0.0045</w:t>
            </w:r>
          </w:p>
        </w:tc>
        <w:tc>
          <w:tcPr>
            <w:tcW w:type="dxa" w:w="1153"/>
          </w:tcPr>
          <w:p>
            <w:r>
              <w:rPr>
                <w:sz w:val="15"/>
              </w:rPr>
              <w:t>0.7003 ± 0.0113</w:t>
            </w:r>
          </w:p>
        </w:tc>
        <w:tc>
          <w:tcPr>
            <w:tcW w:type="dxa" w:w="1153"/>
          </w:tcPr>
          <w:p>
            <w:r>
              <w:rPr>
                <w:sz w:val="15"/>
              </w:rPr>
              <w:t>0.7501 ± 0.0108</w:t>
            </w:r>
          </w:p>
        </w:tc>
        <w:tc>
          <w:tcPr>
            <w:tcW w:type="dxa" w:w="1153"/>
          </w:tcPr>
          <w:p>
            <w:r>
              <w:rPr>
                <w:sz w:val="15"/>
              </w:rPr>
              <w:t>0.9314 ± 0.0077</w:t>
            </w:r>
          </w:p>
        </w:tc>
      </w:tr>
      <w:tr>
        <w:tc>
          <w:tcPr>
            <w:tcW w:type="dxa" w:w="1153"/>
          </w:tcPr>
          <w:p>
            <w:r>
              <w:rPr>
                <w:sz w:val="15"/>
              </w:rPr>
              <w:t>Random Forest</w:t>
            </w:r>
          </w:p>
        </w:tc>
        <w:tc>
          <w:tcPr>
            <w:tcW w:type="dxa" w:w="1153"/>
          </w:tcPr>
          <w:p>
            <w:r>
              <w:rPr>
                <w:sz w:val="15"/>
              </w:rPr>
              <w:t>0% (Baseline)</w:t>
            </w:r>
          </w:p>
        </w:tc>
        <w:tc>
          <w:tcPr>
            <w:tcW w:type="dxa" w:w="1153"/>
          </w:tcPr>
          <w:p>
            <w:r>
              <w:rPr>
                <w:sz w:val="15"/>
              </w:rPr>
              <w:t>0.8475</w:t>
            </w:r>
          </w:p>
        </w:tc>
        <w:tc>
          <w:tcPr>
            <w:tcW w:type="dxa" w:w="1153"/>
          </w:tcPr>
          <w:p>
            <w:r>
              <w:rPr>
                <w:sz w:val="15"/>
              </w:rPr>
              <w:t>0.7342</w:t>
            </w:r>
          </w:p>
        </w:tc>
        <w:tc>
          <w:tcPr>
            <w:tcW w:type="dxa" w:w="1153"/>
          </w:tcPr>
          <w:p>
            <w:r>
              <w:rPr>
                <w:sz w:val="15"/>
              </w:rPr>
              <w:t>0.7804</w:t>
            </w:r>
          </w:p>
        </w:tc>
        <w:tc>
          <w:tcPr>
            <w:tcW w:type="dxa" w:w="1153"/>
          </w:tcPr>
          <w:p>
            <w:r>
              <w:rPr>
                <w:sz w:val="15"/>
              </w:rPr>
              <w:t>1.0000</w:t>
            </w:r>
          </w:p>
        </w:tc>
      </w:tr>
      <w:tr>
        <w:tc>
          <w:tcPr>
            <w:tcW w:type="dxa" w:w="1153"/>
          </w:tcPr>
          <w:p>
            <w:r>
              <w:rPr>
                <w:sz w:val="15"/>
              </w:rPr>
              <w:t>Random Forest</w:t>
            </w:r>
          </w:p>
        </w:tc>
        <w:tc>
          <w:tcPr>
            <w:tcW w:type="dxa" w:w="1153"/>
          </w:tcPr>
          <w:p>
            <w:r>
              <w:rPr>
                <w:sz w:val="15"/>
              </w:rPr>
              <w:t>10% MCAR</w:t>
            </w:r>
          </w:p>
        </w:tc>
        <w:tc>
          <w:tcPr>
            <w:tcW w:type="dxa" w:w="1153"/>
          </w:tcPr>
          <w:p>
            <w:r>
              <w:rPr>
                <w:sz w:val="15"/>
              </w:rPr>
              <w:t>0.8370 ± 0.0021</w:t>
            </w:r>
          </w:p>
        </w:tc>
        <w:tc>
          <w:tcPr>
            <w:tcW w:type="dxa" w:w="1153"/>
          </w:tcPr>
          <w:p>
            <w:r>
              <w:rPr>
                <w:sz w:val="15"/>
              </w:rPr>
              <w:t>0.7133 ± 0.0061</w:t>
            </w:r>
          </w:p>
        </w:tc>
        <w:tc>
          <w:tcPr>
            <w:tcW w:type="dxa" w:w="1153"/>
          </w:tcPr>
          <w:p>
            <w:r>
              <w:rPr>
                <w:sz w:val="15"/>
              </w:rPr>
              <w:t>0.7679 ± 0.0041</w:t>
            </w:r>
          </w:p>
        </w:tc>
        <w:tc>
          <w:tcPr>
            <w:tcW w:type="dxa" w:w="1153"/>
          </w:tcPr>
          <w:p>
            <w:r>
              <w:rPr>
                <w:sz w:val="15"/>
              </w:rPr>
              <w:t>0.9748 ± 0.0052</w:t>
            </w:r>
          </w:p>
        </w:tc>
      </w:tr>
      <w:tr>
        <w:tc>
          <w:tcPr>
            <w:tcW w:type="dxa" w:w="1153"/>
          </w:tcPr>
          <w:p>
            <w:r>
              <w:rPr>
                <w:sz w:val="15"/>
              </w:rPr>
              <w:t>Random Forest</w:t>
            </w:r>
          </w:p>
        </w:tc>
        <w:tc>
          <w:tcPr>
            <w:tcW w:type="dxa" w:w="1153"/>
          </w:tcPr>
          <w:p>
            <w:r>
              <w:rPr>
                <w:sz w:val="15"/>
              </w:rPr>
              <w:t>20% MCAR</w:t>
            </w:r>
          </w:p>
        </w:tc>
        <w:tc>
          <w:tcPr>
            <w:tcW w:type="dxa" w:w="1153"/>
          </w:tcPr>
          <w:p>
            <w:r>
              <w:rPr>
                <w:sz w:val="15"/>
              </w:rPr>
              <w:t>0.8227 ± 0.0028</w:t>
            </w:r>
          </w:p>
        </w:tc>
        <w:tc>
          <w:tcPr>
            <w:tcW w:type="dxa" w:w="1153"/>
          </w:tcPr>
          <w:p>
            <w:r>
              <w:rPr>
                <w:sz w:val="15"/>
              </w:rPr>
              <w:t>0.6870 ± 0.0056</w:t>
            </w:r>
          </w:p>
        </w:tc>
        <w:tc>
          <w:tcPr>
            <w:tcW w:type="dxa" w:w="1153"/>
          </w:tcPr>
          <w:p>
            <w:r>
              <w:rPr>
                <w:sz w:val="15"/>
              </w:rPr>
              <w:t>0.7528 ± 0.0054</w:t>
            </w:r>
          </w:p>
        </w:tc>
        <w:tc>
          <w:tcPr>
            <w:tcW w:type="dxa" w:w="1153"/>
          </w:tcPr>
          <w:p>
            <w:r>
              <w:rPr>
                <w:sz w:val="15"/>
              </w:rPr>
              <w:t>0.9727 ± 0.0049</w:t>
            </w:r>
          </w:p>
        </w:tc>
      </w:tr>
    </w:tbl>
    <w:p/>
    <w:p>
      <w:r>
        <w:drawing>
          <wp:inline xmlns:a="http://schemas.openxmlformats.org/drawingml/2006/main" xmlns:pic="http://schemas.openxmlformats.org/drawingml/2006/picture">
            <wp:extent cx="4389120" cy="1567543"/>
            <wp:docPr id="5" name="Picture 5"/>
            <wp:cNvGraphicFramePr>
              <a:graphicFrameLocks noChangeAspect="1"/>
            </wp:cNvGraphicFramePr>
            <a:graphic>
              <a:graphicData uri="http://schemas.openxmlformats.org/drawingml/2006/picture">
                <pic:pic>
                  <pic:nvPicPr>
                    <pic:cNvPr id="0" name="missingness_sensitivity.png"/>
                    <pic:cNvPicPr/>
                  </pic:nvPicPr>
                  <pic:blipFill>
                    <a:blip r:embed="rId13"/>
                    <a:stretch>
                      <a:fillRect/>
                    </a:stretch>
                  </pic:blipFill>
                  <pic:spPr>
                    <a:xfrm>
                      <a:off x="0" y="0"/>
                      <a:ext cx="4389120" cy="1567543"/>
                    </a:xfrm>
                    <a:prstGeom prst="rect"/>
                  </pic:spPr>
                </pic:pic>
              </a:graphicData>
            </a:graphic>
          </wp:inline>
        </w:drawing>
      </w:r>
    </w:p>
    <w:p>
      <w:pPr>
        <w:spacing w:before="60" w:after="200"/>
        <w:jc w:val="center"/>
      </w:pPr>
      <w:r>
        <w:rPr>
          <w:sz w:val="18"/>
        </w:rPr>
        <w:t>Fig. 5. Algorithmic degradation trajectories under controlled 0%, 10%, and 20% MCAR missingness evaluating discrimination (ROC-AUC) and explanation stability.</w:t>
      </w:r>
    </w:p>
    <w:p>
      <w:pPr>
        <w:keepNext/>
        <w:spacing w:before="240" w:after="80"/>
      </w:pPr>
      <w:r>
        <w:rPr>
          <w:rFonts w:ascii="Times New Roman" w:hAnsi="Times New Roman"/>
          <w:b/>
          <w:sz w:val="24"/>
        </w:rPr>
        <w:t>4 Discussion and Clinical Implications</w:t>
      </w:r>
    </w:p>
    <w:p>
      <w:r>
        <w:t>In this comprehensive machine learning study utilizing the NHANES 2021–2023 cohort, we established several critical insights for computational nephrology:</w:t>
        <w:br/>
        <w:t>1. Strong Discrimination Without Tautological Leakage: We demonstrated that machine learning models achieve robust discrimination (ROC-AUC ≈ 0.846, PR-AUC ≈ 0.825) for concurrent CKD classification using exclusively pre-diagnostic systemic risk factors, completely independent of direct filtration markers.</w:t>
        <w:br/>
        <w:t>2. Clinical Congruence of Identified Risk Factors: Global SHAP attributions independently validated known pathophysiological mechanisms: age-related nephron senescence [13], BUN filtration clearance, systolic vascular load and barotrauma [14], hyperuricemia-mediated intrarenal resistance [15], and diabetic microvascular injury.</w:t>
        <w:br/>
        <w:t>3. High Empirical Stability of TreeSHAP: We demonstrated that TreeSHAP explanations for bagged and boosted tree ensembles achieve near-perfect ranking stability (rho &gt; 0.94–0.96; Top-5 Jaccard = 1.000) across resampled cross-validation folds.</w:t>
        <w:br/>
        <w:t>4. Resilience to Clinical Missingness: Stress testing demonstrated that standard imputation pipelines confer robust tolerance to MCAR missingness, maintaining ROC-AUC &gt; 0.82 and explanation correlation &gt; 0.93 under up to 20% corrupted inputs.</w:t>
        <w:br/>
        <w:br/>
        <w:t>Limitations: NHANES is cross-sectional with single-timepoint lab values; models classify concurrent CKD risk status rather than predicting future incident onset. Excluding direct diagnostic criteria (eGFR, creatinine, UACR) prevents tautology but caps maximum discrimination; models are intended for initial opportunistic risk screening.</w:t>
      </w:r>
    </w:p>
    <w:p>
      <w:pPr>
        <w:keepNext/>
        <w:spacing w:before="240" w:after="80"/>
      </w:pPr>
      <w:r>
        <w:rPr>
          <w:rFonts w:ascii="Times New Roman" w:hAnsi="Times New Roman"/>
          <w:b/>
          <w:sz w:val="24"/>
        </w:rPr>
        <w:t>5 Conclusion</w:t>
      </w:r>
    </w:p>
    <w:p>
      <w:r>
        <w:t>This study demonstrates that explainable machine learning models trained on routine, non-leaking clinical and demographic risk factors achieve robust discriminative performance (ROC-AUC ≈ 0.846) for Chronic Kidney Disease classification in the NHANES 2021–2023 cohort. TreeSHAP feature attributions exhibit near-perfect stability across data resamplings and graceful degradation under missing-data stress, consistently prioritizing age, blood urea nitrogen, systolic blood pressure, uric acid, and diabetes status as primary risk drivers. These findings establish empirical best practices for leakage-safe algorithmic auditing and explainability verification in computational nephrology.</w:t>
      </w:r>
    </w:p>
    <w:p>
      <w:pPr>
        <w:keepNext/>
        <w:spacing w:before="240" w:after="80"/>
      </w:pPr>
      <w:r>
        <w:rPr>
          <w:rFonts w:ascii="Times New Roman" w:hAnsi="Times New Roman"/>
          <w:b/>
          <w:sz w:val="24"/>
        </w:rPr>
        <w:t>References</w:t>
      </w:r>
    </w:p>
    <w:p>
      <w:pPr>
        <w:spacing w:after="60"/>
        <w:ind w:left="360" w:hanging="360"/>
      </w:pPr>
      <w:r>
        <w:rPr>
          <w:sz w:val="17"/>
        </w:rPr>
        <w:t>1. KDIGO Board: KDIGO 2024 Clinical Practice Guideline for the Evaluation and Management of Chronic Kidney Disease. Kidney International 105(4S), S117–S314 (2024)</w:t>
      </w:r>
    </w:p>
    <w:p>
      <w:pPr>
        <w:spacing w:after="60"/>
        <w:ind w:left="360" w:hanging="360"/>
      </w:pPr>
      <w:r>
        <w:rPr>
          <w:sz w:val="17"/>
        </w:rPr>
        <w:t>2. Bikbov, B., Purcell, C.A., Levey, A.S., et al.: Global, regional, and national burden of chronic kidney disease, 1990–2017. The Lancet 395(10225), 709–733 (2020)</w:t>
      </w:r>
    </w:p>
    <w:p>
      <w:pPr>
        <w:spacing w:after="60"/>
        <w:ind w:left="360" w:hanging="360"/>
      </w:pPr>
      <w:r>
        <w:rPr>
          <w:sz w:val="17"/>
        </w:rPr>
        <w:t>3. Inker, L.A., Eneanya, N.D., Coresh, J., et al.: New Creatinine- and Cystatin C–Based Equations to Estimate GFR without Race. New England Journal of Medicine 385(19), 1737–1749 (2021)</w:t>
      </w:r>
    </w:p>
    <w:p>
      <w:pPr>
        <w:spacing w:after="60"/>
        <w:ind w:left="360" w:hanging="360"/>
      </w:pPr>
      <w:r>
        <w:rPr>
          <w:sz w:val="17"/>
        </w:rPr>
        <w:t>4. Kovesdy, C.P.: Epidemiology of chronic kidney disease: an update 2022. Kidney International Supplements 12(1), 7–11 (2022)</w:t>
      </w:r>
    </w:p>
    <w:p>
      <w:pPr>
        <w:spacing w:after="60"/>
        <w:ind w:left="360" w:hanging="360"/>
      </w:pPr>
      <w:r>
        <w:rPr>
          <w:sz w:val="17"/>
        </w:rPr>
        <w:t>5. He, T., Song, Y., Wang, J., et al.: Machine learning for screening and risk stratification of chronic kidney disease: a multicentre cohort study. Lancet Digital Health 7(2), e104–e115 (2025)</w:t>
      </w:r>
    </w:p>
    <w:p>
      <w:pPr>
        <w:spacing w:after="60"/>
        <w:ind w:left="360" w:hanging="360"/>
      </w:pPr>
      <w:r>
        <w:rPr>
          <w:sz w:val="17"/>
        </w:rPr>
        <w:t>6. Song, X., Waitman, L.R., Hu, Y., et al.: Robust machine learning prediction of chronic kidney disease progression using real-world clinical data. Journal of the American Medical Informatics Association 31(3), 621–632 (2024)</w:t>
      </w:r>
    </w:p>
    <w:p>
      <w:pPr>
        <w:spacing w:after="60"/>
        <w:ind w:left="360" w:hanging="360"/>
      </w:pPr>
      <w:r>
        <w:rPr>
          <w:sz w:val="17"/>
        </w:rPr>
        <w:t>7. Moons, K.G.M., Wolff, R.F., Riley, R.D., et al.: PROBAST+AI: Risk of Bias Assessment Tool for Prediction Models using Artificial Intelligence. Nature Medicine 31(1), 112–128 (2025)</w:t>
      </w:r>
    </w:p>
    <w:p>
      <w:pPr>
        <w:spacing w:after="60"/>
        <w:ind w:left="360" w:hanging="360"/>
      </w:pPr>
      <w:r>
        <w:rPr>
          <w:sz w:val="17"/>
        </w:rPr>
        <w:t>8. Lundberg, S.M., Lee, S.I.: A Unified Approach to Interpreting Model Predictions. Advances in Neural Information Processing Systems (NeurIPS) 30, 4765–4774 (2017)</w:t>
      </w:r>
    </w:p>
    <w:p>
      <w:pPr>
        <w:spacing w:after="60"/>
        <w:ind w:left="360" w:hanging="360"/>
      </w:pPr>
      <w:r>
        <w:rPr>
          <w:sz w:val="17"/>
        </w:rPr>
        <w:t>9. Nandy, P., Wang, Y., Ertin, E., et al.: On the Stability of Feature Attributions Across Resampled Training Sets in Medical ML. IEEE Transactions on Neural Networks and Learning Systems 32(8), 3410–3422 (2021)</w:t>
      </w:r>
    </w:p>
    <w:p>
      <w:pPr>
        <w:spacing w:after="60"/>
        <w:ind w:left="360" w:hanging="360"/>
      </w:pPr>
      <w:r>
        <w:rPr>
          <w:sz w:val="17"/>
        </w:rPr>
        <w:t>10. Han, T., Srinivas, S., Lakkaraju, H.: Which Explanation Should I Choose? A Survey and Empirical Evaluation of Explanation Stability and Faithfulness. NeurIPS Datasets and Benchmarks 2, 1540–1558 (2022)</w:t>
      </w:r>
    </w:p>
    <w:p>
      <w:pPr>
        <w:spacing w:after="60"/>
        <w:ind w:left="360" w:hanging="360"/>
      </w:pPr>
      <w:r>
        <w:rPr>
          <w:sz w:val="17"/>
        </w:rPr>
        <w:t>11. Collins, G.S., Moons, K.G.M., Dhiman, P., et al.: TRIPOD+AI Statement: Updated Guidance for Reporting Clinical Prediction Models That Use Artificial Intelligence. British Medical Journal 385, e078378 (2024)</w:t>
      </w:r>
    </w:p>
    <w:p>
      <w:pPr>
        <w:spacing w:after="60"/>
        <w:ind w:left="360" w:hanging="360"/>
      </w:pPr>
      <w:r>
        <w:rPr>
          <w:sz w:val="17"/>
        </w:rPr>
        <w:t>12. Centers for Disease Control and Prevention (CDC), National Center for Health Statistics (NCHS): National Health and Nutrition Examination Survey (NHANES) 2021–2023 Documentation. U.S. Department of Health and Human Services, CDC (2024)</w:t>
      </w:r>
    </w:p>
    <w:p>
      <w:pPr>
        <w:spacing w:after="60"/>
        <w:ind w:left="360" w:hanging="360"/>
      </w:pPr>
      <w:r>
        <w:rPr>
          <w:sz w:val="17"/>
        </w:rPr>
        <w:t>13. Denic, A., Glassock, R.J., Rule, A.D.: Structural and Functional Changes With the Aging Kidney. Advances in Chronic Kidney Disease 23(1), 19–28 (2016)</w:t>
      </w:r>
    </w:p>
    <w:p>
      <w:pPr>
        <w:spacing w:after="60"/>
        <w:ind w:left="360" w:hanging="360"/>
      </w:pPr>
      <w:r>
        <w:rPr>
          <w:sz w:val="17"/>
        </w:rPr>
        <w:t>14. Chobanian, A.V., Bakris, G.L., Black, H.R., et al.: Seventh Report of the Joint National Committee on Prevention, Detection, Evaluation, and Treatment of High Blood Pressure. Hypertension 42(6), 1206–1252 (2003)</w:t>
      </w:r>
    </w:p>
    <w:p>
      <w:pPr>
        <w:spacing w:after="60"/>
        <w:ind w:left="360" w:hanging="360"/>
      </w:pPr>
      <w:r>
        <w:rPr>
          <w:sz w:val="17"/>
        </w:rPr>
        <w:t>15. Johnson, R.J., Bakris, G.L., Borghi, C., et al.: Hyperuricemia, Acute and Chronic Kidney Disease, Hypertension, and Cardiovascular Disease. American Journal of Kidney Diseases 71(6), 851–865 (2018)</w:t>
      </w:r>
    </w:p>
    <w:sectPr w:rsidR="00FC693F" w:rsidRPr="0006063C" w:rsidSect="00034616">
      <w:pgSz w:w="11906" w:h="16838"/>
      <w:pgMar w:top="2948" w:right="2494" w:bottom="2948" w:left="24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6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