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Calibri" w:hAnsi="Calibri"/>
          <w:color w:val="666666"/>
          <w:sz w:val="17"/>
        </w:rPr>
        <w:t>ABAC ENTERPRISE ENGINE | SYSTEM ARCHITECTURE DOCUMENT</w:t>
      </w:r>
    </w:p>
    <w:p>
      <w:pPr>
        <w:spacing w:before="600"/>
      </w:pPr>
    </w:p>
    <w:p>
      <w:pPr>
        <w:spacing w:after="300"/>
        <w:jc w:val="center"/>
      </w:pPr>
      <w:r>
        <w:drawing>
          <wp:inline xmlns:a="http://schemas.openxmlformats.org/drawingml/2006/main" xmlns:pic="http://schemas.openxmlformats.org/drawingml/2006/picture">
            <wp:extent cx="3291840" cy="922946"/>
            <wp:docPr id="1" name="Picture 1"/>
            <wp:cNvGraphicFramePr>
              <a:graphicFrameLocks noChangeAspect="1"/>
            </wp:cNvGraphicFramePr>
            <a:graphic>
              <a:graphicData uri="http://schemas.openxmlformats.org/drawingml/2006/picture">
                <pic:pic>
                  <pic:nvPicPr>
                    <pic:cNvPr id="0" name="sanjivani_logo.png"/>
                    <pic:cNvPicPr/>
                  </pic:nvPicPr>
                  <pic:blipFill>
                    <a:blip r:embed="rId11"/>
                    <a:stretch>
                      <a:fillRect/>
                    </a:stretch>
                  </pic:blipFill>
                  <pic:spPr>
                    <a:xfrm>
                      <a:off x="0" y="0"/>
                      <a:ext cx="3291840" cy="922946"/>
                    </a:xfrm>
                    <a:prstGeom prst="rect"/>
                  </pic:spPr>
                </pic:pic>
              </a:graphicData>
            </a:graphic>
          </wp:inline>
        </w:drawing>
      </w:r>
    </w:p>
    <w:p>
      <w:pPr>
        <w:spacing w:after="40"/>
        <w:jc w:val="center"/>
      </w:pPr>
      <w:r>
        <w:rPr>
          <w:rFonts w:ascii="Calibri" w:hAnsi="Calibri"/>
          <w:b/>
          <w:color w:val="282828"/>
          <w:sz w:val="30"/>
        </w:rPr>
        <w:t>SANJIVANI UNIVERSITY, KOPARGAON</w:t>
        <w:br/>
      </w:r>
      <w:r>
        <w:rPr>
          <w:rFonts w:ascii="Calibri" w:hAnsi="Calibri"/>
          <w:i/>
          <w:color w:val="282828"/>
          <w:sz w:val="26"/>
        </w:rPr>
        <w:t>(School of Engineering &amp; Technology)</w:t>
        <w:br/>
      </w:r>
      <w:r>
        <w:rPr>
          <w:rFonts w:ascii="Calibri" w:hAnsi="Calibri"/>
          <w:b/>
          <w:color w:val="282828"/>
          <w:sz w:val="27"/>
        </w:rPr>
        <w:t>B.Tech – Cyber Security</w:t>
      </w:r>
    </w:p>
    <w:p>
      <w:pPr>
        <w:spacing w:before="700"/>
      </w:pPr>
    </w:p>
    <w:p>
      <w:pPr>
        <w:jc w:val="center"/>
      </w:pPr>
      <w:r>
        <w:rPr>
          <w:rFonts w:ascii="Calibri" w:hAnsi="Calibri"/>
          <w:b/>
          <w:color w:val="282828"/>
          <w:sz w:val="26"/>
        </w:rPr>
        <w:t>Title of the Project</w:t>
      </w:r>
    </w:p>
    <w:p>
      <w:pPr>
        <w:spacing w:before="160" w:after="700"/>
        <w:jc w:val="center"/>
      </w:pPr>
      <w:r>
        <w:rPr>
          <w:rFonts w:ascii="Calibri" w:hAnsi="Calibri"/>
          <w:b/>
          <w:color w:val="282828"/>
          <w:sz w:val="28"/>
        </w:rPr>
        <w:t>“Attribute-Based Access Control (ABAC)</w:t>
        <w:br/>
        <w:t>Engine for Enterprise Applications”</w:t>
      </w:r>
    </w:p>
    <w:p>
      <w:pPr>
        <w:jc w:val="center"/>
      </w:pPr>
      <w:r>
        <w:rPr>
          <w:rFonts w:ascii="Calibri" w:hAnsi="Calibri"/>
          <w:b/>
          <w:color w:val="282828"/>
          <w:sz w:val="24"/>
        </w:rPr>
        <w:t>Submitted By</w:t>
        <w:br/>
      </w:r>
      <w:r>
        <w:rPr>
          <w:rFonts w:ascii="Calibri" w:hAnsi="Calibri"/>
          <w:color w:val="282828"/>
          <w:sz w:val="24"/>
        </w:rPr>
        <w:t>Prasad Gaikwad – 2124UCSM1024</w:t>
      </w:r>
    </w:p>
    <w:p>
      <w:pPr>
        <w:spacing w:before="500"/>
        <w:jc w:val="center"/>
      </w:pPr>
      <w:r>
        <w:rPr>
          <w:rFonts w:ascii="Calibri" w:hAnsi="Calibri"/>
          <w:b/>
          <w:color w:val="282828"/>
          <w:sz w:val="24"/>
        </w:rPr>
        <w:t>Under the Guidance of</w:t>
        <w:br/>
      </w:r>
      <w:r>
        <w:rPr>
          <w:rFonts w:ascii="Calibri" w:hAnsi="Calibri"/>
          <w:b/>
          <w:color w:val="282828"/>
          <w:sz w:val="24"/>
        </w:rPr>
        <w:t>Dr Chetan Bawankar</w:t>
      </w:r>
    </w:p>
    <w:p>
      <w:pPr>
        <w:spacing w:before="500"/>
        <w:jc w:val="center"/>
      </w:pPr>
      <w:r>
        <w:rPr>
          <w:rFonts w:ascii="Calibri" w:hAnsi="Calibri"/>
          <w:color w:val="282828"/>
          <w:sz w:val="22"/>
        </w:rPr>
        <w:t>Submitted To</w:t>
        <w:br/>
      </w:r>
      <w:r>
        <w:rPr>
          <w:rFonts w:ascii="Calibri" w:hAnsi="Calibri"/>
          <w:b/>
          <w:color w:val="282828"/>
          <w:sz w:val="24"/>
        </w:rPr>
        <w:t>Department of Cyber Security</w:t>
        <w:br/>
        <w:t>Sanjivani University, Kopargaon</w:t>
      </w:r>
    </w:p>
    <w:p>
      <w:pPr>
        <w:spacing w:before="1300"/>
        <w:jc w:val="center"/>
      </w:pPr>
      <w:r>
        <w:rPr>
          <w:rFonts w:ascii="Calibri" w:hAnsi="Calibri"/>
          <w:color w:val="666666"/>
          <w:sz w:val="17"/>
        </w:rPr>
        <w:t>ABAC Enterprise Engine • Architecture Specification | Page 1</w:t>
      </w:r>
    </w:p>
    <w:p>
      <w:r>
        <w:br w:type="page"/>
      </w:r>
    </w:p>
    <w:p>
      <w:pPr>
        <w:spacing w:before="400" w:after="400"/>
      </w:pPr>
    </w:p>
    <w:tbl>
      <w:tblPr>
        <w:tblW w:type="auto" w:w="0"/>
        <w:jc w:val="center"/>
        <w:tblLayout w:type="fixed"/>
        <w:tblLook w:firstColumn="1" w:firstRow="1" w:lastColumn="0" w:lastRow="0" w:noHBand="0" w:noVBand="1" w:val="04A0"/>
      </w:tblPr>
      <w:tblGrid>
        <w:gridCol w:w="3120"/>
        <w:gridCol w:w="3120"/>
        <w:gridCol w:w="3120"/>
      </w:tblGrid>
      <w:tr>
        <w:tc>
          <w:tcPr>
            <w:tcW w:type="dxa" w:w="1440"/>
            <w:tcMar>
              <w:top w:w="110" w:type="dxa"/>
              <w:bottom w:w="110" w:type="dxa"/>
              <w:left w:w="140" w:type="dxa"/>
              <w:right w:w="140" w:type="dxa"/>
            </w:tcMar>
            <w:shd w:fill="1B365D"/>
          </w:tcPr>
          <w:p>
            <w:pPr>
              <w:jc w:val="center"/>
            </w:pPr>
            <w:r>
              <w:rPr>
                <w:rFonts w:ascii="Calibri" w:hAnsi="Calibri"/>
                <w:b/>
                <w:color w:val="FFFFFF"/>
                <w:sz w:val="20"/>
              </w:rPr>
              <w:t>Sr. No.</w:t>
            </w:r>
          </w:p>
        </w:tc>
        <w:tc>
          <w:tcPr>
            <w:tcW w:type="dxa" w:w="6192"/>
            <w:tcMar>
              <w:top w:w="110" w:type="dxa"/>
              <w:bottom w:w="110" w:type="dxa"/>
              <w:left w:w="140" w:type="dxa"/>
              <w:right w:w="140" w:type="dxa"/>
            </w:tcMar>
            <w:shd w:fill="1B365D"/>
          </w:tcPr>
          <w:p>
            <w:pPr>
              <w:jc w:val="left"/>
            </w:pPr>
            <w:r>
              <w:rPr>
                <w:rFonts w:ascii="Calibri" w:hAnsi="Calibri"/>
                <w:b/>
                <w:color w:val="FFFFFF"/>
                <w:sz w:val="20"/>
              </w:rPr>
              <w:t>Content</w:t>
            </w:r>
          </w:p>
        </w:tc>
        <w:tc>
          <w:tcPr>
            <w:tcW w:type="dxa" w:w="1728"/>
            <w:tcMar>
              <w:top w:w="110" w:type="dxa"/>
              <w:bottom w:w="110" w:type="dxa"/>
              <w:left w:w="140" w:type="dxa"/>
              <w:right w:w="140" w:type="dxa"/>
            </w:tcMar>
            <w:shd w:fill="1B365D"/>
          </w:tcPr>
          <w:p>
            <w:pPr>
              <w:jc w:val="left"/>
            </w:pPr>
            <w:r>
              <w:rPr>
                <w:rFonts w:ascii="Calibri" w:hAnsi="Calibri"/>
                <w:b/>
                <w:color w:val="FFFFFF"/>
                <w:sz w:val="20"/>
              </w:rPr>
              <w:t>Page No.</w:t>
            </w:r>
          </w:p>
        </w:tc>
      </w:tr>
      <w:tr>
        <w:tc>
          <w:tcPr>
            <w:tcW w:type="dxa" w:w="1440"/>
            <w:tcMar>
              <w:top w:w="110" w:type="dxa"/>
              <w:bottom w:w="110" w:type="dxa"/>
              <w:left w:w="140" w:type="dxa"/>
              <w:right w:w="140" w:type="dxa"/>
            </w:tcMar>
            <w:shd w:fill="F4F6F9"/>
          </w:tcPr>
          <w:p>
            <w:pPr>
              <w:jc w:val="center"/>
            </w:pPr>
            <w:r>
              <w:rPr>
                <w:rFonts w:ascii="Calibri" w:hAnsi="Calibri"/>
                <w:color w:val="282828"/>
                <w:sz w:val="20"/>
              </w:rPr>
              <w:t>1</w:t>
            </w:r>
          </w:p>
        </w:tc>
        <w:tc>
          <w:tcPr>
            <w:tcW w:type="dxa" w:w="6192"/>
            <w:tcMar>
              <w:top w:w="110" w:type="dxa"/>
              <w:bottom w:w="110" w:type="dxa"/>
              <w:left w:w="140" w:type="dxa"/>
              <w:right w:w="140" w:type="dxa"/>
            </w:tcMar>
            <w:shd w:fill="F4F6F9"/>
          </w:tcPr>
          <w:p>
            <w:pPr>
              <w:jc w:val="left"/>
            </w:pPr>
            <w:r>
              <w:rPr>
                <w:rFonts w:ascii="Calibri" w:hAnsi="Calibri"/>
                <w:color w:val="282828"/>
                <w:sz w:val="20"/>
              </w:rPr>
              <w:t>Abstract</w:t>
            </w:r>
          </w:p>
        </w:tc>
        <w:tc>
          <w:tcPr>
            <w:tcW w:type="dxa" w:w="1728"/>
            <w:tcMar>
              <w:top w:w="110" w:type="dxa"/>
              <w:bottom w:w="110" w:type="dxa"/>
              <w:left w:w="140" w:type="dxa"/>
              <w:right w:w="140" w:type="dxa"/>
            </w:tcMar>
            <w:shd w:fill="F4F6F9"/>
          </w:tcPr>
          <w:p>
            <w:pPr>
              <w:jc w:val="left"/>
            </w:pPr>
            <w:r>
              <w:rPr>
                <w:rFonts w:ascii="Calibri" w:hAnsi="Calibri"/>
                <w:color w:val="282828"/>
                <w:sz w:val="20"/>
              </w:rPr>
              <w:t>3</w:t>
            </w:r>
          </w:p>
        </w:tc>
      </w:tr>
      <w:tr>
        <w:tc>
          <w:tcPr>
            <w:tcW w:type="dxa" w:w="1440"/>
            <w:tcMar>
              <w:top w:w="110" w:type="dxa"/>
              <w:bottom w:w="110" w:type="dxa"/>
              <w:left w:w="140" w:type="dxa"/>
              <w:right w:w="140" w:type="dxa"/>
            </w:tcMar>
          </w:tcPr>
          <w:p>
            <w:pPr>
              <w:jc w:val="center"/>
            </w:pPr>
            <w:r>
              <w:rPr>
                <w:rFonts w:ascii="Calibri" w:hAnsi="Calibri"/>
                <w:color w:val="282828"/>
                <w:sz w:val="20"/>
              </w:rPr>
              <w:t>2</w:t>
            </w:r>
          </w:p>
        </w:tc>
        <w:tc>
          <w:tcPr>
            <w:tcW w:type="dxa" w:w="6192"/>
            <w:tcMar>
              <w:top w:w="110" w:type="dxa"/>
              <w:bottom w:w="110" w:type="dxa"/>
              <w:left w:w="140" w:type="dxa"/>
              <w:right w:w="140" w:type="dxa"/>
            </w:tcMar>
          </w:tcPr>
          <w:p>
            <w:pPr>
              <w:jc w:val="left"/>
            </w:pPr>
            <w:r>
              <w:rPr>
                <w:rFonts w:ascii="Calibri" w:hAnsi="Calibri"/>
                <w:color w:val="282828"/>
                <w:sz w:val="20"/>
              </w:rPr>
              <w:t>Introduction</w:t>
            </w:r>
          </w:p>
        </w:tc>
        <w:tc>
          <w:tcPr>
            <w:tcW w:type="dxa" w:w="1728"/>
            <w:tcMar>
              <w:top w:w="110" w:type="dxa"/>
              <w:bottom w:w="110" w:type="dxa"/>
              <w:left w:w="140" w:type="dxa"/>
              <w:right w:w="140" w:type="dxa"/>
            </w:tcMar>
          </w:tcPr>
          <w:p>
            <w:pPr>
              <w:jc w:val="left"/>
            </w:pPr>
            <w:r>
              <w:rPr>
                <w:rFonts w:ascii="Calibri" w:hAnsi="Calibri"/>
                <w:color w:val="282828"/>
                <w:sz w:val="20"/>
              </w:rPr>
              <w:t>4</w:t>
            </w:r>
          </w:p>
        </w:tc>
      </w:tr>
      <w:tr>
        <w:tc>
          <w:tcPr>
            <w:tcW w:type="dxa" w:w="1440"/>
            <w:tcMar>
              <w:top w:w="110" w:type="dxa"/>
              <w:bottom w:w="110" w:type="dxa"/>
              <w:left w:w="140" w:type="dxa"/>
              <w:right w:w="140" w:type="dxa"/>
            </w:tcMar>
            <w:shd w:fill="F4F6F9"/>
          </w:tcPr>
          <w:p>
            <w:pPr>
              <w:jc w:val="center"/>
            </w:pPr>
            <w:r>
              <w:rPr>
                <w:rFonts w:ascii="Calibri" w:hAnsi="Calibri"/>
                <w:color w:val="282828"/>
                <w:sz w:val="20"/>
              </w:rPr>
              <w:t>3</w:t>
            </w:r>
          </w:p>
        </w:tc>
        <w:tc>
          <w:tcPr>
            <w:tcW w:type="dxa" w:w="6192"/>
            <w:tcMar>
              <w:top w:w="110" w:type="dxa"/>
              <w:bottom w:w="110" w:type="dxa"/>
              <w:left w:w="140" w:type="dxa"/>
              <w:right w:w="140" w:type="dxa"/>
            </w:tcMar>
            <w:shd w:fill="F4F6F9"/>
          </w:tcPr>
          <w:p>
            <w:pPr>
              <w:jc w:val="left"/>
            </w:pPr>
            <w:r>
              <w:rPr>
                <w:rFonts w:ascii="Calibri" w:hAnsi="Calibri"/>
                <w:color w:val="282828"/>
                <w:sz w:val="20"/>
              </w:rPr>
              <w:t>Objectives and Scope</w:t>
            </w:r>
          </w:p>
        </w:tc>
        <w:tc>
          <w:tcPr>
            <w:tcW w:type="dxa" w:w="1728"/>
            <w:tcMar>
              <w:top w:w="110" w:type="dxa"/>
              <w:bottom w:w="110" w:type="dxa"/>
              <w:left w:w="140" w:type="dxa"/>
              <w:right w:w="140" w:type="dxa"/>
            </w:tcMar>
            <w:shd w:fill="F4F6F9"/>
          </w:tcPr>
          <w:p>
            <w:pPr>
              <w:jc w:val="left"/>
            </w:pPr>
            <w:r>
              <w:rPr>
                <w:rFonts w:ascii="Calibri" w:hAnsi="Calibri"/>
                <w:color w:val="282828"/>
                <w:sz w:val="20"/>
              </w:rPr>
              <w:t>5</w:t>
            </w:r>
          </w:p>
        </w:tc>
      </w:tr>
      <w:tr>
        <w:tc>
          <w:tcPr>
            <w:tcW w:type="dxa" w:w="1440"/>
            <w:tcMar>
              <w:top w:w="110" w:type="dxa"/>
              <w:bottom w:w="110" w:type="dxa"/>
              <w:left w:w="140" w:type="dxa"/>
              <w:right w:w="140" w:type="dxa"/>
            </w:tcMar>
          </w:tcPr>
          <w:p>
            <w:pPr>
              <w:jc w:val="center"/>
            </w:pPr>
            <w:r>
              <w:rPr>
                <w:rFonts w:ascii="Calibri" w:hAnsi="Calibri"/>
                <w:color w:val="282828"/>
                <w:sz w:val="20"/>
              </w:rPr>
              <w:t>4</w:t>
            </w:r>
          </w:p>
        </w:tc>
        <w:tc>
          <w:tcPr>
            <w:tcW w:type="dxa" w:w="6192"/>
            <w:tcMar>
              <w:top w:w="110" w:type="dxa"/>
              <w:bottom w:w="110" w:type="dxa"/>
              <w:left w:w="140" w:type="dxa"/>
              <w:right w:w="140" w:type="dxa"/>
            </w:tcMar>
          </w:tcPr>
          <w:p>
            <w:pPr>
              <w:jc w:val="left"/>
            </w:pPr>
            <w:r>
              <w:rPr>
                <w:rFonts w:ascii="Calibri" w:hAnsi="Calibri"/>
                <w:color w:val="282828"/>
                <w:sz w:val="20"/>
              </w:rPr>
              <w:t>System Requirements</w:t>
            </w:r>
          </w:p>
        </w:tc>
        <w:tc>
          <w:tcPr>
            <w:tcW w:type="dxa" w:w="1728"/>
            <w:tcMar>
              <w:top w:w="110" w:type="dxa"/>
              <w:bottom w:w="110" w:type="dxa"/>
              <w:left w:w="140" w:type="dxa"/>
              <w:right w:w="140" w:type="dxa"/>
            </w:tcMar>
          </w:tcPr>
          <w:p>
            <w:pPr>
              <w:jc w:val="left"/>
            </w:pPr>
            <w:r>
              <w:rPr>
                <w:rFonts w:ascii="Calibri" w:hAnsi="Calibri"/>
                <w:color w:val="282828"/>
                <w:sz w:val="20"/>
              </w:rPr>
              <w:t>6</w:t>
            </w:r>
          </w:p>
        </w:tc>
      </w:tr>
      <w:tr>
        <w:tc>
          <w:tcPr>
            <w:tcW w:type="dxa" w:w="1440"/>
            <w:tcMar>
              <w:top w:w="110" w:type="dxa"/>
              <w:bottom w:w="110" w:type="dxa"/>
              <w:left w:w="140" w:type="dxa"/>
              <w:right w:w="140" w:type="dxa"/>
            </w:tcMar>
            <w:shd w:fill="F4F6F9"/>
          </w:tcPr>
          <w:p>
            <w:pPr>
              <w:jc w:val="center"/>
            </w:pPr>
            <w:r>
              <w:rPr>
                <w:rFonts w:ascii="Calibri" w:hAnsi="Calibri"/>
                <w:color w:val="282828"/>
                <w:sz w:val="20"/>
              </w:rPr>
              <w:t>5</w:t>
            </w:r>
          </w:p>
        </w:tc>
        <w:tc>
          <w:tcPr>
            <w:tcW w:type="dxa" w:w="6192"/>
            <w:tcMar>
              <w:top w:w="110" w:type="dxa"/>
              <w:bottom w:w="110" w:type="dxa"/>
              <w:left w:w="140" w:type="dxa"/>
              <w:right w:w="140" w:type="dxa"/>
            </w:tcMar>
            <w:shd w:fill="F4F6F9"/>
          </w:tcPr>
          <w:p>
            <w:pPr>
              <w:jc w:val="left"/>
            </w:pPr>
            <w:r>
              <w:rPr>
                <w:rFonts w:ascii="Calibri" w:hAnsi="Calibri"/>
                <w:color w:val="282828"/>
                <w:sz w:val="20"/>
              </w:rPr>
              <w:t>System Architecture</w:t>
            </w:r>
          </w:p>
        </w:tc>
        <w:tc>
          <w:tcPr>
            <w:tcW w:type="dxa" w:w="1728"/>
            <w:tcMar>
              <w:top w:w="110" w:type="dxa"/>
              <w:bottom w:w="110" w:type="dxa"/>
              <w:left w:w="140" w:type="dxa"/>
              <w:right w:w="140" w:type="dxa"/>
            </w:tcMar>
            <w:shd w:fill="F4F6F9"/>
          </w:tcPr>
          <w:p>
            <w:pPr>
              <w:jc w:val="left"/>
            </w:pPr>
            <w:r>
              <w:rPr>
                <w:rFonts w:ascii="Calibri" w:hAnsi="Calibri"/>
                <w:color w:val="282828"/>
                <w:sz w:val="20"/>
              </w:rPr>
              <w:t>7</w:t>
            </w:r>
          </w:p>
        </w:tc>
      </w:tr>
      <w:tr>
        <w:tc>
          <w:tcPr>
            <w:tcW w:type="dxa" w:w="1440"/>
            <w:tcMar>
              <w:top w:w="110" w:type="dxa"/>
              <w:bottom w:w="110" w:type="dxa"/>
              <w:left w:w="140" w:type="dxa"/>
              <w:right w:w="140" w:type="dxa"/>
            </w:tcMar>
          </w:tcPr>
          <w:p>
            <w:pPr>
              <w:jc w:val="center"/>
            </w:pPr>
            <w:r>
              <w:rPr>
                <w:rFonts w:ascii="Calibri" w:hAnsi="Calibri"/>
                <w:color w:val="282828"/>
                <w:sz w:val="20"/>
              </w:rPr>
              <w:t>6</w:t>
            </w:r>
          </w:p>
        </w:tc>
        <w:tc>
          <w:tcPr>
            <w:tcW w:type="dxa" w:w="6192"/>
            <w:tcMar>
              <w:top w:w="110" w:type="dxa"/>
              <w:bottom w:w="110" w:type="dxa"/>
              <w:left w:w="140" w:type="dxa"/>
              <w:right w:w="140" w:type="dxa"/>
            </w:tcMar>
          </w:tcPr>
          <w:p>
            <w:pPr>
              <w:jc w:val="left"/>
            </w:pPr>
            <w:r>
              <w:rPr>
                <w:rFonts w:ascii="Calibri" w:hAnsi="Calibri"/>
                <w:color w:val="282828"/>
                <w:sz w:val="20"/>
              </w:rPr>
              <w:t>Data Flow and Module Design</w:t>
            </w:r>
          </w:p>
        </w:tc>
        <w:tc>
          <w:tcPr>
            <w:tcW w:type="dxa" w:w="1728"/>
            <w:tcMar>
              <w:top w:w="110" w:type="dxa"/>
              <w:bottom w:w="110" w:type="dxa"/>
              <w:left w:w="140" w:type="dxa"/>
              <w:right w:w="140" w:type="dxa"/>
            </w:tcMar>
          </w:tcPr>
          <w:p>
            <w:pPr>
              <w:jc w:val="left"/>
            </w:pPr>
            <w:r>
              <w:rPr>
                <w:rFonts w:ascii="Calibri" w:hAnsi="Calibri"/>
                <w:color w:val="282828"/>
                <w:sz w:val="20"/>
              </w:rPr>
              <w:t>9</w:t>
            </w:r>
          </w:p>
        </w:tc>
      </w:tr>
      <w:tr>
        <w:tc>
          <w:tcPr>
            <w:tcW w:type="dxa" w:w="1440"/>
            <w:tcMar>
              <w:top w:w="110" w:type="dxa"/>
              <w:bottom w:w="110" w:type="dxa"/>
              <w:left w:w="140" w:type="dxa"/>
              <w:right w:w="140" w:type="dxa"/>
            </w:tcMar>
            <w:shd w:fill="F4F6F9"/>
          </w:tcPr>
          <w:p>
            <w:pPr>
              <w:jc w:val="center"/>
            </w:pPr>
            <w:r>
              <w:rPr>
                <w:rFonts w:ascii="Calibri" w:hAnsi="Calibri"/>
                <w:color w:val="282828"/>
                <w:sz w:val="20"/>
              </w:rPr>
              <w:t>7</w:t>
            </w:r>
          </w:p>
        </w:tc>
        <w:tc>
          <w:tcPr>
            <w:tcW w:type="dxa" w:w="6192"/>
            <w:tcMar>
              <w:top w:w="110" w:type="dxa"/>
              <w:bottom w:w="110" w:type="dxa"/>
              <w:left w:w="140" w:type="dxa"/>
              <w:right w:w="140" w:type="dxa"/>
            </w:tcMar>
            <w:shd w:fill="F4F6F9"/>
          </w:tcPr>
          <w:p>
            <w:pPr>
              <w:jc w:val="left"/>
            </w:pPr>
            <w:r>
              <w:rPr>
                <w:rFonts w:ascii="Calibri" w:hAnsi="Calibri"/>
                <w:color w:val="282828"/>
                <w:sz w:val="20"/>
              </w:rPr>
              <w:t>Algorithms and Policy Evaluation Techniques</w:t>
            </w:r>
          </w:p>
        </w:tc>
        <w:tc>
          <w:tcPr>
            <w:tcW w:type="dxa" w:w="1728"/>
            <w:tcMar>
              <w:top w:w="110" w:type="dxa"/>
              <w:bottom w:w="110" w:type="dxa"/>
              <w:left w:w="140" w:type="dxa"/>
              <w:right w:w="140" w:type="dxa"/>
            </w:tcMar>
            <w:shd w:fill="F4F6F9"/>
          </w:tcPr>
          <w:p>
            <w:pPr>
              <w:jc w:val="left"/>
            </w:pPr>
            <w:r>
              <w:rPr>
                <w:rFonts w:ascii="Calibri" w:hAnsi="Calibri"/>
                <w:color w:val="282828"/>
                <w:sz w:val="20"/>
              </w:rPr>
              <w:t>10</w:t>
            </w:r>
          </w:p>
        </w:tc>
      </w:tr>
      <w:tr>
        <w:tc>
          <w:tcPr>
            <w:tcW w:type="dxa" w:w="1440"/>
            <w:tcMar>
              <w:top w:w="110" w:type="dxa"/>
              <w:bottom w:w="110" w:type="dxa"/>
              <w:left w:w="140" w:type="dxa"/>
              <w:right w:w="140" w:type="dxa"/>
            </w:tcMar>
          </w:tcPr>
          <w:p>
            <w:pPr>
              <w:jc w:val="center"/>
            </w:pPr>
            <w:r>
              <w:rPr>
                <w:rFonts w:ascii="Calibri" w:hAnsi="Calibri"/>
                <w:color w:val="282828"/>
                <w:sz w:val="20"/>
              </w:rPr>
              <w:t>8</w:t>
            </w:r>
          </w:p>
        </w:tc>
        <w:tc>
          <w:tcPr>
            <w:tcW w:type="dxa" w:w="6192"/>
            <w:tcMar>
              <w:top w:w="110" w:type="dxa"/>
              <w:bottom w:w="110" w:type="dxa"/>
              <w:left w:w="140" w:type="dxa"/>
              <w:right w:w="140" w:type="dxa"/>
            </w:tcMar>
          </w:tcPr>
          <w:p>
            <w:pPr>
              <w:jc w:val="left"/>
            </w:pPr>
            <w:r>
              <w:rPr>
                <w:rFonts w:ascii="Calibri" w:hAnsi="Calibri"/>
                <w:color w:val="282828"/>
                <w:sz w:val="20"/>
              </w:rPr>
              <w:t>Technology Stack</w:t>
            </w:r>
          </w:p>
        </w:tc>
        <w:tc>
          <w:tcPr>
            <w:tcW w:type="dxa" w:w="1728"/>
            <w:tcMar>
              <w:top w:w="110" w:type="dxa"/>
              <w:bottom w:w="110" w:type="dxa"/>
              <w:left w:w="140" w:type="dxa"/>
              <w:right w:w="140" w:type="dxa"/>
            </w:tcMar>
          </w:tcPr>
          <w:p>
            <w:pPr>
              <w:jc w:val="left"/>
            </w:pPr>
            <w:r>
              <w:rPr>
                <w:rFonts w:ascii="Calibri" w:hAnsi="Calibri"/>
                <w:color w:val="282828"/>
                <w:sz w:val="20"/>
              </w:rPr>
              <w:t>11</w:t>
            </w:r>
          </w:p>
        </w:tc>
      </w:tr>
      <w:tr>
        <w:tc>
          <w:tcPr>
            <w:tcW w:type="dxa" w:w="1440"/>
            <w:tcMar>
              <w:top w:w="110" w:type="dxa"/>
              <w:bottom w:w="110" w:type="dxa"/>
              <w:left w:w="140" w:type="dxa"/>
              <w:right w:w="140" w:type="dxa"/>
            </w:tcMar>
            <w:shd w:fill="F4F6F9"/>
          </w:tcPr>
          <w:p>
            <w:pPr>
              <w:jc w:val="center"/>
            </w:pPr>
            <w:r>
              <w:rPr>
                <w:rFonts w:ascii="Calibri" w:hAnsi="Calibri"/>
                <w:color w:val="282828"/>
                <w:sz w:val="20"/>
              </w:rPr>
              <w:t>9</w:t>
            </w:r>
          </w:p>
        </w:tc>
        <w:tc>
          <w:tcPr>
            <w:tcW w:type="dxa" w:w="6192"/>
            <w:tcMar>
              <w:top w:w="110" w:type="dxa"/>
              <w:bottom w:w="110" w:type="dxa"/>
              <w:left w:w="140" w:type="dxa"/>
              <w:right w:w="140" w:type="dxa"/>
            </w:tcMar>
            <w:shd w:fill="F4F6F9"/>
          </w:tcPr>
          <w:p>
            <w:pPr>
              <w:jc w:val="left"/>
            </w:pPr>
            <w:r>
              <w:rPr>
                <w:rFonts w:ascii="Calibri" w:hAnsi="Calibri"/>
                <w:color w:val="282828"/>
                <w:sz w:val="20"/>
              </w:rPr>
              <w:t>Security and Access Control Considerations</w:t>
            </w:r>
          </w:p>
        </w:tc>
        <w:tc>
          <w:tcPr>
            <w:tcW w:type="dxa" w:w="1728"/>
            <w:tcMar>
              <w:top w:w="110" w:type="dxa"/>
              <w:bottom w:w="110" w:type="dxa"/>
              <w:left w:w="140" w:type="dxa"/>
              <w:right w:w="140" w:type="dxa"/>
            </w:tcMar>
            <w:shd w:fill="F4F6F9"/>
          </w:tcPr>
          <w:p>
            <w:pPr>
              <w:jc w:val="left"/>
            </w:pPr>
            <w:r>
              <w:rPr>
                <w:rFonts w:ascii="Calibri" w:hAnsi="Calibri"/>
                <w:color w:val="282828"/>
                <w:sz w:val="20"/>
              </w:rPr>
              <w:t>12</w:t>
            </w:r>
          </w:p>
        </w:tc>
      </w:tr>
      <w:tr>
        <w:tc>
          <w:tcPr>
            <w:tcW w:type="dxa" w:w="1440"/>
            <w:tcMar>
              <w:top w:w="110" w:type="dxa"/>
              <w:bottom w:w="110" w:type="dxa"/>
              <w:left w:w="140" w:type="dxa"/>
              <w:right w:w="140" w:type="dxa"/>
            </w:tcMar>
          </w:tcPr>
          <w:p>
            <w:pPr>
              <w:jc w:val="center"/>
            </w:pPr>
            <w:r>
              <w:rPr>
                <w:rFonts w:ascii="Calibri" w:hAnsi="Calibri"/>
                <w:color w:val="282828"/>
                <w:sz w:val="20"/>
              </w:rPr>
              <w:t>10</w:t>
            </w:r>
          </w:p>
        </w:tc>
        <w:tc>
          <w:tcPr>
            <w:tcW w:type="dxa" w:w="6192"/>
            <w:tcMar>
              <w:top w:w="110" w:type="dxa"/>
              <w:bottom w:w="110" w:type="dxa"/>
              <w:left w:w="140" w:type="dxa"/>
              <w:right w:w="140" w:type="dxa"/>
            </w:tcMar>
          </w:tcPr>
          <w:p>
            <w:pPr>
              <w:jc w:val="left"/>
            </w:pPr>
            <w:r>
              <w:rPr>
                <w:rFonts w:ascii="Calibri" w:hAnsi="Calibri"/>
                <w:color w:val="282828"/>
                <w:sz w:val="20"/>
              </w:rPr>
              <w:t>Testing and Validation</w:t>
            </w:r>
          </w:p>
        </w:tc>
        <w:tc>
          <w:tcPr>
            <w:tcW w:type="dxa" w:w="1728"/>
            <w:tcMar>
              <w:top w:w="110" w:type="dxa"/>
              <w:bottom w:w="110" w:type="dxa"/>
              <w:left w:w="140" w:type="dxa"/>
              <w:right w:w="140" w:type="dxa"/>
            </w:tcMar>
          </w:tcPr>
          <w:p>
            <w:pPr>
              <w:jc w:val="left"/>
            </w:pPr>
            <w:r>
              <w:rPr>
                <w:rFonts w:ascii="Calibri" w:hAnsi="Calibri"/>
                <w:color w:val="282828"/>
                <w:sz w:val="20"/>
              </w:rPr>
              <w:t>13</w:t>
            </w:r>
          </w:p>
        </w:tc>
      </w:tr>
      <w:tr>
        <w:tc>
          <w:tcPr>
            <w:tcW w:type="dxa" w:w="1440"/>
            <w:tcMar>
              <w:top w:w="110" w:type="dxa"/>
              <w:bottom w:w="110" w:type="dxa"/>
              <w:left w:w="140" w:type="dxa"/>
              <w:right w:w="140" w:type="dxa"/>
            </w:tcMar>
            <w:shd w:fill="F4F6F9"/>
          </w:tcPr>
          <w:p>
            <w:pPr>
              <w:jc w:val="center"/>
            </w:pPr>
            <w:r>
              <w:rPr>
                <w:rFonts w:ascii="Calibri" w:hAnsi="Calibri"/>
                <w:color w:val="282828"/>
                <w:sz w:val="20"/>
              </w:rPr>
              <w:t>11</w:t>
            </w:r>
          </w:p>
        </w:tc>
        <w:tc>
          <w:tcPr>
            <w:tcW w:type="dxa" w:w="6192"/>
            <w:tcMar>
              <w:top w:w="110" w:type="dxa"/>
              <w:bottom w:w="110" w:type="dxa"/>
              <w:left w:w="140" w:type="dxa"/>
              <w:right w:w="140" w:type="dxa"/>
            </w:tcMar>
            <w:shd w:fill="F4F6F9"/>
          </w:tcPr>
          <w:p>
            <w:pPr>
              <w:jc w:val="left"/>
            </w:pPr>
            <w:r>
              <w:rPr>
                <w:rFonts w:ascii="Calibri" w:hAnsi="Calibri"/>
                <w:color w:val="282828"/>
                <w:sz w:val="20"/>
              </w:rPr>
              <w:t>Limitations and Future Scope</w:t>
            </w:r>
          </w:p>
        </w:tc>
        <w:tc>
          <w:tcPr>
            <w:tcW w:type="dxa" w:w="1728"/>
            <w:tcMar>
              <w:top w:w="110" w:type="dxa"/>
              <w:bottom w:w="110" w:type="dxa"/>
              <w:left w:w="140" w:type="dxa"/>
              <w:right w:w="140" w:type="dxa"/>
            </w:tcMar>
            <w:shd w:fill="F4F6F9"/>
          </w:tcPr>
          <w:p>
            <w:pPr>
              <w:jc w:val="left"/>
            </w:pPr>
            <w:r>
              <w:rPr>
                <w:rFonts w:ascii="Calibri" w:hAnsi="Calibri"/>
                <w:color w:val="282828"/>
                <w:sz w:val="20"/>
              </w:rPr>
              <w:t>15</w:t>
            </w:r>
          </w:p>
        </w:tc>
      </w:tr>
      <w:tr>
        <w:tc>
          <w:tcPr>
            <w:tcW w:type="dxa" w:w="1440"/>
            <w:tcMar>
              <w:top w:w="110" w:type="dxa"/>
              <w:bottom w:w="110" w:type="dxa"/>
              <w:left w:w="140" w:type="dxa"/>
              <w:right w:w="140" w:type="dxa"/>
            </w:tcMar>
          </w:tcPr>
          <w:p>
            <w:pPr>
              <w:jc w:val="center"/>
            </w:pPr>
            <w:r>
              <w:rPr>
                <w:rFonts w:ascii="Calibri" w:hAnsi="Calibri"/>
                <w:color w:val="282828"/>
                <w:sz w:val="20"/>
              </w:rPr>
              <w:t>12</w:t>
            </w:r>
          </w:p>
        </w:tc>
        <w:tc>
          <w:tcPr>
            <w:tcW w:type="dxa" w:w="6192"/>
            <w:tcMar>
              <w:top w:w="110" w:type="dxa"/>
              <w:bottom w:w="110" w:type="dxa"/>
              <w:left w:w="140" w:type="dxa"/>
              <w:right w:w="140" w:type="dxa"/>
            </w:tcMar>
          </w:tcPr>
          <w:p>
            <w:pPr>
              <w:jc w:val="left"/>
            </w:pPr>
            <w:r>
              <w:rPr>
                <w:rFonts w:ascii="Calibri" w:hAnsi="Calibri"/>
                <w:color w:val="282828"/>
                <w:sz w:val="20"/>
              </w:rPr>
              <w:t>Conclusion</w:t>
            </w:r>
          </w:p>
        </w:tc>
        <w:tc>
          <w:tcPr>
            <w:tcW w:type="dxa" w:w="1728"/>
            <w:tcMar>
              <w:top w:w="110" w:type="dxa"/>
              <w:bottom w:w="110" w:type="dxa"/>
              <w:left w:w="140" w:type="dxa"/>
              <w:right w:w="140" w:type="dxa"/>
            </w:tcMar>
          </w:tcPr>
          <w:p>
            <w:pPr>
              <w:jc w:val="left"/>
            </w:pPr>
            <w:r>
              <w:rPr>
                <w:rFonts w:ascii="Calibri" w:hAnsi="Calibri"/>
                <w:color w:val="282828"/>
                <w:sz w:val="20"/>
              </w:rPr>
              <w:t>16</w:t>
            </w:r>
          </w:p>
        </w:tc>
      </w:tr>
      <w:tr>
        <w:tc>
          <w:tcPr>
            <w:tcW w:type="dxa" w:w="1440"/>
            <w:tcMar>
              <w:top w:w="110" w:type="dxa"/>
              <w:bottom w:w="110" w:type="dxa"/>
              <w:left w:w="140" w:type="dxa"/>
              <w:right w:w="140" w:type="dxa"/>
            </w:tcMar>
            <w:shd w:fill="F4F6F9"/>
          </w:tcPr>
          <w:p>
            <w:pPr>
              <w:jc w:val="center"/>
            </w:pPr>
            <w:r>
              <w:rPr>
                <w:rFonts w:ascii="Calibri" w:hAnsi="Calibri"/>
                <w:color w:val="282828"/>
                <w:sz w:val="20"/>
              </w:rPr>
              <w:t>13</w:t>
            </w:r>
          </w:p>
        </w:tc>
        <w:tc>
          <w:tcPr>
            <w:tcW w:type="dxa" w:w="6192"/>
            <w:tcMar>
              <w:top w:w="110" w:type="dxa"/>
              <w:bottom w:w="110" w:type="dxa"/>
              <w:left w:w="140" w:type="dxa"/>
              <w:right w:w="140" w:type="dxa"/>
            </w:tcMar>
            <w:shd w:fill="F4F6F9"/>
          </w:tcPr>
          <w:p>
            <w:pPr>
              <w:jc w:val="left"/>
            </w:pPr>
            <w:r>
              <w:rPr>
                <w:rFonts w:ascii="Calibri" w:hAnsi="Calibri"/>
                <w:color w:val="282828"/>
                <w:sz w:val="20"/>
              </w:rPr>
              <w:t>References</w:t>
            </w:r>
          </w:p>
        </w:tc>
        <w:tc>
          <w:tcPr>
            <w:tcW w:type="dxa" w:w="1728"/>
            <w:tcMar>
              <w:top w:w="110" w:type="dxa"/>
              <w:bottom w:w="110" w:type="dxa"/>
              <w:left w:w="140" w:type="dxa"/>
              <w:right w:w="140" w:type="dxa"/>
            </w:tcMar>
            <w:shd w:fill="F4F6F9"/>
          </w:tcPr>
          <w:p>
            <w:pPr>
              <w:jc w:val="left"/>
            </w:pPr>
            <w:r>
              <w:rPr>
                <w:rFonts w:ascii="Calibri" w:hAnsi="Calibri"/>
                <w:color w:val="282828"/>
                <w:sz w:val="20"/>
              </w:rPr>
              <w:t>17</w:t>
            </w:r>
          </w:p>
        </w:tc>
      </w:tr>
    </w:tbl>
    <w:p>
      <w:r>
        <w:br w:type="page"/>
      </w:r>
    </w:p>
    <w:p>
      <w:pPr>
        <w:keepNext/>
        <w:spacing w:before="280" w:after="160"/>
      </w:pPr>
      <w:r>
        <w:rPr>
          <w:rFonts w:ascii="Calibri" w:hAnsi="Calibri"/>
          <w:b/>
          <w:color w:val="1B365D"/>
          <w:sz w:val="26"/>
        </w:rPr>
        <w:t>ABSTRACT</w:t>
      </w:r>
    </w:p>
    <w:p>
      <w:pPr>
        <w:spacing w:after="120" w:line="276" w:lineRule="auto"/>
      </w:pPr>
      <w:r>
        <w:rPr>
          <w:rFonts w:ascii="Calibri" w:hAnsi="Calibri"/>
          <w:color w:val="282828"/>
          <w:sz w:val="20"/>
        </w:rPr>
        <w:t>The Attribute-Based Access Control (ABAC) Engine for Enterprise Applications (EasyAccess) is a high-performance, production-grade authorization framework developed using Python Flask, SQLAlchemy, Oracle REST Data Services (ORDS), and a modern React TypeScript presentation interface. Its primary purpose is to provide fine-grained, dynamic access decision capabilities for modern enterprise microservices, zero-trust cloud architectures, and sensitive multi-tenant data platforms.</w:t>
      </w:r>
    </w:p>
    <w:p>
      <w:pPr>
        <w:spacing w:after="120" w:line="276" w:lineRule="auto"/>
      </w:pPr>
      <w:r>
        <w:rPr>
          <w:rFonts w:ascii="Calibri" w:hAnsi="Calibri"/>
          <w:color w:val="282828"/>
          <w:sz w:val="20"/>
        </w:rPr>
        <w:t>Traditional Role-Based Access Control (RBAC) suffers from severe role explosion and lacks contextual awareness. The EasyAccess ABAC Engine overcomes these limitations by evaluating multi-dimensional authorization policies across four distinct attribute vectors: Subject attributes (department, clearance tier, assigned roles, MFA verification status), Resource attributes (classification tiers from Public to Top Secret, resource type, ownership), Action types (read, write, update, delete, approve, execute), and Environmental conditions (request timestamp, time windows, client IP subnet, device compliance). Access requests are evaluated against security policies with deterministic Deny-Overrides conflict resolution and strict Default-Deny enforcement whenever policies are missing or unresolvable.</w:t>
      </w:r>
    </w:p>
    <w:p>
      <w:pPr>
        <w:spacing w:after="120" w:line="276" w:lineRule="auto"/>
      </w:pPr>
      <w:r>
        <w:rPr>
          <w:rFonts w:ascii="Calibri" w:hAnsi="Calibri"/>
          <w:color w:val="282828"/>
          <w:sz w:val="20"/>
        </w:rPr>
        <w:t>The architecture features a resilient dual-tier audit logging system that records every authorization decision with sub-millisecond telemetry into Oracle ORDS REST endpoints, automatically engaging a local SQLite fallback store during network degradation or database unavailability to guarantee zero audit trail loss. Sensitive credentials, passwords, and tokens are rigorously sanitized and masked prior to log persistence. An enterprise administrative web dashboard allows security operators to inspect policy rules, visualize active metrics, manage policy toggles, and simulate live access requests in real-time.</w:t>
      </w:r>
    </w:p>
    <w:p>
      <w:pPr>
        <w:spacing w:after="120" w:line="276" w:lineRule="auto"/>
      </w:pPr>
      <w:r>
        <w:rPr>
          <w:rFonts w:ascii="Calibri" w:hAnsi="Calibri"/>
          <w:color w:val="282828"/>
          <w:sz w:val="20"/>
        </w:rPr>
        <w:t>The system has been validated through automated testing suites covering policy evaluation logic, credential redaction, database pooling, and failover persistence. It provides enterprise security teams with a verifiable, NIST SP 800-162 compliant access control engine.</w:t>
      </w:r>
    </w:p>
    <w:p>
      <w:pPr>
        <w:spacing w:before="160"/>
      </w:pPr>
      <w:r>
        <w:rPr>
          <w:rFonts w:ascii="Calibri" w:hAnsi="Calibri"/>
          <w:b/>
          <w:sz w:val="20"/>
        </w:rPr>
        <w:t xml:space="preserve">Keywords: </w:t>
      </w:r>
      <w:r>
        <w:rPr>
          <w:rFonts w:ascii="Calibri" w:hAnsi="Calibri"/>
          <w:sz w:val="20"/>
        </w:rPr>
        <w:t>Attribute-Based Access Control (ABAC), Zero-Trust Architecture, Policy Decision Point (PDP), Policy Enforcement Point (PEP), Deny-Overrides, Oracle ORDS, Python Flask, React, Data Classification, Audit Logging.</w:t>
      </w:r>
    </w:p>
    <w:p>
      <w:r>
        <w:br w:type="page"/>
      </w:r>
    </w:p>
    <w:p>
      <w:pPr>
        <w:keepNext/>
        <w:spacing w:before="280" w:after="160"/>
      </w:pPr>
      <w:r>
        <w:rPr>
          <w:rFonts w:ascii="Calibri" w:hAnsi="Calibri"/>
          <w:b/>
          <w:color w:val="1B365D"/>
          <w:sz w:val="26"/>
        </w:rPr>
        <w:t>1. INTRODUCTION</w:t>
      </w:r>
    </w:p>
    <w:p>
      <w:pPr>
        <w:keepNext/>
        <w:spacing w:before="200" w:after="80"/>
      </w:pPr>
      <w:r>
        <w:rPr>
          <w:rFonts w:ascii="Calibri" w:hAnsi="Calibri"/>
          <w:b/>
          <w:color w:val="1B365D"/>
          <w:sz w:val="23"/>
        </w:rPr>
        <w:t>1.1 Background</w:t>
      </w:r>
    </w:p>
    <w:p>
      <w:pPr>
        <w:spacing w:after="120" w:line="276" w:lineRule="auto"/>
      </w:pPr>
      <w:r>
        <w:rPr>
          <w:rFonts w:ascii="Calibri" w:hAnsi="Calibri"/>
          <w:color w:val="282828"/>
          <w:sz w:val="20"/>
        </w:rPr>
        <w:t>Enterprise applications operate across distributed cloud environments, multi-tenant databases, and microservice APIs. As organizations adopt Zero-Trust Architecture principles—mandating that access must be verified explicitly, continuously, and with least privilege—traditional access control paradigms have become insufficient.</w:t>
      </w:r>
    </w:p>
    <w:p>
      <w:pPr>
        <w:spacing w:after="120" w:line="276" w:lineRule="auto"/>
      </w:pPr>
      <w:r>
        <w:rPr>
          <w:rFonts w:ascii="Calibri" w:hAnsi="Calibri"/>
          <w:color w:val="282828"/>
          <w:sz w:val="20"/>
        </w:rPr>
        <w:t>Role-Based Access Control (RBAC) relies on static role assignments that fail to incorporate real-time situational factors such as user location, time-of-day, multi-factor authentication (MFA) status, and data sensitivity tiers. In complex organizations, this causes 'role explosion', where thousands of brittle roles are created to satisfy nuanced permissions, creating administrative overhead and severe privilege creep.</w:t>
      </w:r>
    </w:p>
    <w:p>
      <w:pPr>
        <w:spacing w:after="120" w:line="276" w:lineRule="auto"/>
      </w:pPr>
      <w:r>
        <w:rPr>
          <w:rFonts w:ascii="Calibri" w:hAnsi="Calibri"/>
          <w:color w:val="282828"/>
          <w:sz w:val="20"/>
        </w:rPr>
        <w:t>Attribute-Based Access Control (ABAC), formalized under NIST SP 800-162, addresses these deficiencies by evaluating dynamic attributes associated with the Subject, the Resource, the Action, and the Environment. ABAC allows enterprise security teams to formulate expressive, declarative policies that scale gracefully across diverse business domains.</w:t>
      </w:r>
    </w:p>
    <w:p>
      <w:pPr>
        <w:keepNext/>
        <w:spacing w:before="200" w:after="80"/>
      </w:pPr>
      <w:r>
        <w:rPr>
          <w:rFonts w:ascii="Calibri" w:hAnsi="Calibri"/>
          <w:b/>
          <w:color w:val="1B365D"/>
          <w:sz w:val="23"/>
        </w:rPr>
        <w:t>1.2 Problem Statement</w:t>
      </w:r>
    </w:p>
    <w:p>
      <w:pPr>
        <w:spacing w:after="120" w:line="276" w:lineRule="auto"/>
      </w:pPr>
      <w:r>
        <w:rPr>
          <w:rFonts w:ascii="Calibri" w:hAnsi="Calibri"/>
          <w:color w:val="282828"/>
          <w:sz w:val="20"/>
        </w:rPr>
        <w:t>Modern enterprise systems require authorization engines capable of making sub-millisecond decisions without hardcoding security logic into microservice source code. Existing commercial authorization engines often suffer from vendor lock-in, complex proprietary syntax, or vulnerability to complete service outage when remote database endpoints become unavailable.</w:t>
      </w:r>
    </w:p>
    <w:p>
      <w:pPr>
        <w:spacing w:after="120" w:line="276" w:lineRule="auto"/>
      </w:pPr>
      <w:r>
        <w:rPr>
          <w:rFonts w:ascii="Calibri" w:hAnsi="Calibri"/>
          <w:color w:val="282828"/>
          <w:sz w:val="20"/>
        </w:rPr>
        <w:t>There is an acute need for a high-performance, open-standard ABAC platform that provides fine-grained policy authoring, deterministic Deny-Overrides conflict resolution, automated credential sanitization, enterprise Oracle/PostgreSQL integration, and resilient local fallback logging to guarantee uninterrupted zero-trust policy enforcement.</w:t>
      </w:r>
    </w:p>
    <w:p>
      <w:pPr>
        <w:keepNext/>
        <w:spacing w:before="200" w:after="80"/>
      </w:pPr>
      <w:r>
        <w:rPr>
          <w:rFonts w:ascii="Calibri" w:hAnsi="Calibri"/>
          <w:b/>
          <w:color w:val="1B365D"/>
          <w:sz w:val="23"/>
        </w:rPr>
        <w:t>1.3 Proposed Solution</w:t>
      </w:r>
    </w:p>
    <w:p>
      <w:pPr>
        <w:spacing w:after="120" w:line="276" w:lineRule="auto"/>
      </w:pPr>
      <w:r>
        <w:rPr>
          <w:rFonts w:ascii="Calibri" w:hAnsi="Calibri"/>
          <w:color w:val="282828"/>
          <w:sz w:val="20"/>
        </w:rPr>
        <w:t>The EasyAccess ABAC Enterprise Engine introduces a decoupled Policy Decision Point (PDP) and Policy Administration Point (PAP). The backend is developed with Python Flask and SQLAlchemy, communicating seamlessly with Oracle REST Data Services (ORDS) for enterprise policy repositories while retaining local SQLite failover persistence. A reactive TypeScript and Vite dashboard delivers complete visibility into active policies, real-time metrics, rule condition inspectors, and interactive access evaluation simulations.</w:t>
      </w:r>
    </w:p>
    <w:p>
      <w:r>
        <w:br w:type="page"/>
      </w:r>
    </w:p>
    <w:p>
      <w:pPr>
        <w:keepNext/>
        <w:spacing w:before="280" w:after="160"/>
      </w:pPr>
      <w:r>
        <w:rPr>
          <w:rFonts w:ascii="Calibri" w:hAnsi="Calibri"/>
          <w:b/>
          <w:color w:val="1B365D"/>
          <w:sz w:val="26"/>
        </w:rPr>
        <w:t>2. OBJECTIVES AND SCOPE</w:t>
      </w:r>
    </w:p>
    <w:p>
      <w:pPr>
        <w:keepNext/>
        <w:spacing w:before="200" w:after="80"/>
      </w:pPr>
      <w:r>
        <w:rPr>
          <w:rFonts w:ascii="Calibri" w:hAnsi="Calibri"/>
          <w:b/>
          <w:color w:val="1B365D"/>
          <w:sz w:val="23"/>
        </w:rPr>
        <w:t>2.1 Objectives</w:t>
      </w:r>
    </w:p>
    <w:p>
      <w:pPr>
        <w:pStyle w:val="ListBullet"/>
        <w:spacing w:after="60" w:line="276" w:lineRule="auto"/>
      </w:pPr>
      <w:r>
        <w:rPr>
          <w:rFonts w:ascii="Calibri" w:hAnsi="Calibri"/>
          <w:b/>
          <w:color w:val="282828"/>
          <w:sz w:val="20"/>
        </w:rPr>
        <w:t xml:space="preserve">1: </w:t>
      </w:r>
      <w:r>
        <w:rPr>
          <w:rFonts w:ascii="Calibri" w:hAnsi="Calibri"/>
          <w:color w:val="282828"/>
          <w:sz w:val="20"/>
        </w:rPr>
        <w:t>Provide an intuitive administrative dashboard for authoring, reviewing, and filtering enterprise ABAC security policies.</w:t>
      </w:r>
    </w:p>
    <w:p>
      <w:pPr>
        <w:pStyle w:val="ListBullet"/>
        <w:spacing w:after="60" w:line="276" w:lineRule="auto"/>
      </w:pPr>
      <w:r>
        <w:rPr>
          <w:rFonts w:ascii="Calibri" w:hAnsi="Calibri"/>
          <w:b/>
          <w:color w:val="282828"/>
          <w:sz w:val="20"/>
        </w:rPr>
        <w:t xml:space="preserve">2: </w:t>
      </w:r>
      <w:r>
        <w:rPr>
          <w:rFonts w:ascii="Calibri" w:hAnsi="Calibri"/>
          <w:color w:val="282828"/>
          <w:sz w:val="20"/>
        </w:rPr>
        <w:t>Enable multi-dimensional policy evaluation across Subject, Resource, Action, and Environmental context attributes.</w:t>
      </w:r>
    </w:p>
    <w:p>
      <w:pPr>
        <w:pStyle w:val="ListBullet"/>
        <w:spacing w:after="60" w:line="276" w:lineRule="auto"/>
      </w:pPr>
      <w:r>
        <w:rPr>
          <w:rFonts w:ascii="Calibri" w:hAnsi="Calibri"/>
          <w:b/>
          <w:color w:val="282828"/>
          <w:sz w:val="20"/>
        </w:rPr>
        <w:t xml:space="preserve">3: </w:t>
      </w:r>
      <w:r>
        <w:rPr>
          <w:rFonts w:ascii="Calibri" w:hAnsi="Calibri"/>
          <w:color w:val="282828"/>
          <w:sz w:val="20"/>
        </w:rPr>
        <w:t>Enforce strict 'Default-Deny' semantics and deterministic conflict resolution using the Deny-Overrides algorithm.</w:t>
      </w:r>
    </w:p>
    <w:p>
      <w:pPr>
        <w:pStyle w:val="ListBullet"/>
        <w:spacing w:after="60" w:line="276" w:lineRule="auto"/>
      </w:pPr>
      <w:r>
        <w:rPr>
          <w:rFonts w:ascii="Calibri" w:hAnsi="Calibri"/>
          <w:b/>
          <w:color w:val="282828"/>
          <w:sz w:val="20"/>
        </w:rPr>
        <w:t xml:space="preserve">4: </w:t>
      </w:r>
      <w:r>
        <w:rPr>
          <w:rFonts w:ascii="Calibri" w:hAnsi="Calibri"/>
          <w:color w:val="282828"/>
          <w:sz w:val="20"/>
        </w:rPr>
        <w:t>Integrate enterprise data persistence via Oracle REST Data Services (ORDS) and Supabase PostgreSQL with resilient connection pooling.</w:t>
      </w:r>
    </w:p>
    <w:p>
      <w:pPr>
        <w:pStyle w:val="ListBullet"/>
        <w:spacing w:after="60" w:line="276" w:lineRule="auto"/>
      </w:pPr>
      <w:r>
        <w:rPr>
          <w:rFonts w:ascii="Calibri" w:hAnsi="Calibri"/>
          <w:b/>
          <w:color w:val="282828"/>
          <w:sz w:val="20"/>
        </w:rPr>
        <w:t xml:space="preserve">5: </w:t>
      </w:r>
      <w:r>
        <w:rPr>
          <w:rFonts w:ascii="Calibri" w:hAnsi="Calibri"/>
          <w:color w:val="282828"/>
          <w:sz w:val="20"/>
        </w:rPr>
        <w:t>Deliver a fail-safe, dual-tier audit logging subsystem that automatically falls back to local SQLite when external APIs are unreachable.</w:t>
      </w:r>
    </w:p>
    <w:p>
      <w:pPr>
        <w:pStyle w:val="ListBullet"/>
        <w:spacing w:after="60" w:line="276" w:lineRule="auto"/>
      </w:pPr>
      <w:r>
        <w:rPr>
          <w:rFonts w:ascii="Calibri" w:hAnsi="Calibri"/>
          <w:b/>
          <w:color w:val="282828"/>
          <w:sz w:val="20"/>
        </w:rPr>
        <w:t xml:space="preserve">6: </w:t>
      </w:r>
      <w:r>
        <w:rPr>
          <w:rFonts w:ascii="Calibri" w:hAnsi="Calibri"/>
          <w:color w:val="282828"/>
          <w:sz w:val="20"/>
        </w:rPr>
        <w:t>Implement automated credential redaction to prevent passwords, tokens, and API keys from leaking into audit storage.</w:t>
      </w:r>
    </w:p>
    <w:p>
      <w:pPr>
        <w:pStyle w:val="ListBullet"/>
        <w:spacing w:after="60" w:line="276" w:lineRule="auto"/>
      </w:pPr>
      <w:r>
        <w:rPr>
          <w:rFonts w:ascii="Calibri" w:hAnsi="Calibri"/>
          <w:b/>
          <w:color w:val="282828"/>
          <w:sz w:val="20"/>
        </w:rPr>
        <w:t xml:space="preserve">7: </w:t>
      </w:r>
      <w:r>
        <w:rPr>
          <w:rFonts w:ascii="Calibri" w:hAnsi="Calibri"/>
          <w:color w:val="282828"/>
          <w:sz w:val="20"/>
        </w:rPr>
        <w:t>Expose high-throughput RESTful Policy Decision Point (PDP) endpoints capable of sub-millisecond evaluation latency.</w:t>
      </w:r>
    </w:p>
    <w:p>
      <w:pPr>
        <w:pStyle w:val="ListBullet"/>
        <w:spacing w:after="60" w:line="276" w:lineRule="auto"/>
      </w:pPr>
      <w:r>
        <w:rPr>
          <w:rFonts w:ascii="Calibri" w:hAnsi="Calibri"/>
          <w:b/>
          <w:color w:val="282828"/>
          <w:sz w:val="20"/>
        </w:rPr>
        <w:t xml:space="preserve">8: </w:t>
      </w:r>
      <w:r>
        <w:rPr>
          <w:rFonts w:ascii="Calibri" w:hAnsi="Calibri"/>
          <w:color w:val="282828"/>
          <w:sz w:val="20"/>
        </w:rPr>
        <w:t>Validate engine correctness, database connection safety, and credential sanitization through comprehensive automated unit test suites.</w:t>
      </w:r>
    </w:p>
    <w:p>
      <w:pPr>
        <w:keepNext/>
        <w:spacing w:before="200" w:after="80"/>
      </w:pPr>
      <w:r>
        <w:rPr>
          <w:rFonts w:ascii="Calibri" w:hAnsi="Calibri"/>
          <w:b/>
          <w:color w:val="1B365D"/>
          <w:sz w:val="23"/>
        </w:rPr>
        <w:t>2.2 Scope</w:t>
      </w:r>
    </w:p>
    <w:p>
      <w:pPr>
        <w:spacing w:after="120" w:line="276" w:lineRule="auto"/>
      </w:pPr>
      <w:r>
        <w:rPr>
          <w:rFonts w:ascii="Calibri" w:hAnsi="Calibri"/>
          <w:color w:val="282828"/>
          <w:sz w:val="20"/>
        </w:rPr>
        <w:t>The current implementation delivers a full-stack, production-ready authorization platform. The backend provides RESTful API endpoints for policy evaluation (`POST /api/evaluate`), policy lifecycle management (`/api/policies`), resource registry querying (`/api/resources`), user directory inspection (`/api/users`), and immutable audit trail exploration (`/api/audit-logs`).</w:t>
      </w:r>
    </w:p>
    <w:p>
      <w:pPr>
        <w:spacing w:after="120" w:line="276" w:lineRule="auto"/>
      </w:pPr>
      <w:r>
        <w:rPr>
          <w:rFonts w:ascii="Calibri" w:hAnsi="Calibri"/>
          <w:color w:val="282828"/>
          <w:sz w:val="20"/>
        </w:rPr>
        <w:t>The system supports multi-tenant enterprise data classification (Public, Internal, Confidential, Restricted, Top Secret), role hierarchy arrays, and environmental IP/temporal constraints. Out of scope for the current version are biometric hardware scanners and automated translation of legacy LDAP/Active Directory group policies, which are slated for future enterprise connector releases.</w:t>
      </w:r>
    </w:p>
    <w:p>
      <w:r>
        <w:br w:type="page"/>
      </w:r>
    </w:p>
    <w:p>
      <w:pPr>
        <w:keepNext/>
        <w:spacing w:before="280" w:after="160"/>
      </w:pPr>
      <w:r>
        <w:rPr>
          <w:rFonts w:ascii="Calibri" w:hAnsi="Calibri"/>
          <w:b/>
          <w:color w:val="1B365D"/>
          <w:sz w:val="26"/>
        </w:rPr>
        <w:t>3. SYSTEM REQUIREMENTS</w:t>
      </w:r>
    </w:p>
    <w:p>
      <w:pPr>
        <w:keepNext/>
        <w:spacing w:before="200" w:after="80"/>
      </w:pPr>
      <w:r>
        <w:rPr>
          <w:rFonts w:ascii="Calibri" w:hAnsi="Calibri"/>
          <w:b/>
          <w:color w:val="1B365D"/>
          <w:sz w:val="23"/>
        </w:rPr>
        <w:t>3.1 Hardware Requirements</w:t>
      </w:r>
    </w:p>
    <w:p>
      <w:pPr>
        <w:pStyle w:val="ListBullet"/>
        <w:spacing w:after="60" w:line="276" w:lineRule="auto"/>
      </w:pPr>
      <w:r>
        <w:rPr>
          <w:rFonts w:ascii="Calibri" w:hAnsi="Calibri"/>
          <w:b/>
          <w:color w:val="282828"/>
          <w:sz w:val="20"/>
        </w:rPr>
        <w:t xml:space="preserve">Processor: </w:t>
      </w:r>
      <w:r>
        <w:rPr>
          <w:rFonts w:ascii="Calibri" w:hAnsi="Calibri"/>
          <w:color w:val="282828"/>
          <w:sz w:val="20"/>
        </w:rPr>
        <w:t>Modern x86-64 multi-core processor (Intel Core i5/i7 or AMD Ryzen 5/7 equivalent).</w:t>
      </w:r>
    </w:p>
    <w:p>
      <w:pPr>
        <w:pStyle w:val="ListBullet"/>
        <w:spacing w:after="60" w:line="276" w:lineRule="auto"/>
      </w:pPr>
      <w:r>
        <w:rPr>
          <w:rFonts w:ascii="Calibri" w:hAnsi="Calibri"/>
          <w:b/>
          <w:color w:val="282828"/>
          <w:sz w:val="20"/>
        </w:rPr>
        <w:t xml:space="preserve">System Memory: </w:t>
      </w:r>
      <w:r>
        <w:rPr>
          <w:rFonts w:ascii="Calibri" w:hAnsi="Calibri"/>
          <w:color w:val="282828"/>
          <w:sz w:val="20"/>
        </w:rPr>
        <w:t>At least 4 GB RAM; 8 GB or more recommended for enterprise workloads and test suites.</w:t>
      </w:r>
    </w:p>
    <w:p>
      <w:pPr>
        <w:pStyle w:val="ListBullet"/>
        <w:spacing w:after="60" w:line="276" w:lineRule="auto"/>
      </w:pPr>
      <w:r>
        <w:rPr>
          <w:rFonts w:ascii="Calibri" w:hAnsi="Calibri"/>
          <w:b/>
          <w:color w:val="282828"/>
          <w:sz w:val="20"/>
        </w:rPr>
        <w:t xml:space="preserve">Storage: </w:t>
      </w:r>
      <w:r>
        <w:rPr>
          <w:rFonts w:ascii="Calibri" w:hAnsi="Calibri"/>
          <w:color w:val="282828"/>
          <w:sz w:val="20"/>
        </w:rPr>
        <w:t>Minimum 10 GB available SSD storage for application code, database migrations, and SQLite fallback logs.</w:t>
      </w:r>
    </w:p>
    <w:p>
      <w:pPr>
        <w:pStyle w:val="ListBullet"/>
        <w:spacing w:after="60" w:line="276" w:lineRule="auto"/>
      </w:pPr>
      <w:r>
        <w:rPr>
          <w:rFonts w:ascii="Calibri" w:hAnsi="Calibri"/>
          <w:b/>
          <w:color w:val="282828"/>
          <w:sz w:val="20"/>
        </w:rPr>
        <w:t xml:space="preserve">Peripherals: </w:t>
      </w:r>
      <w:r>
        <w:rPr>
          <w:rFonts w:ascii="Calibri" w:hAnsi="Calibri"/>
          <w:color w:val="282828"/>
          <w:sz w:val="20"/>
        </w:rPr>
        <w:t>Standard network interface controller (NIC) supporting TCP/IP communications, keyboard, and display.</w:t>
      </w:r>
    </w:p>
    <w:p>
      <w:pPr>
        <w:keepNext/>
        <w:spacing w:before="200" w:after="80"/>
      </w:pPr>
      <w:r>
        <w:rPr>
          <w:rFonts w:ascii="Calibri" w:hAnsi="Calibri"/>
          <w:b/>
          <w:color w:val="1B365D"/>
          <w:sz w:val="23"/>
        </w:rPr>
        <w:t>3.2 Software Requirements</w:t>
      </w:r>
    </w:p>
    <w:p>
      <w:pPr>
        <w:pStyle w:val="ListBullet"/>
        <w:spacing w:after="60" w:line="276" w:lineRule="auto"/>
      </w:pPr>
      <w:r>
        <w:rPr>
          <w:rFonts w:ascii="Calibri" w:hAnsi="Calibri"/>
          <w:b/>
          <w:color w:val="282828"/>
          <w:sz w:val="20"/>
        </w:rPr>
        <w:t xml:space="preserve">Operating System: </w:t>
      </w:r>
      <w:r>
        <w:rPr>
          <w:rFonts w:ascii="Calibri" w:hAnsi="Calibri"/>
          <w:color w:val="282828"/>
          <w:sz w:val="20"/>
        </w:rPr>
        <w:t>Microsoft Windows 10/11 or enterprise Linux (Ubuntu 22.04 LTS / RHEL 9).</w:t>
      </w:r>
    </w:p>
    <w:p>
      <w:pPr>
        <w:pStyle w:val="ListBullet"/>
        <w:spacing w:after="60" w:line="276" w:lineRule="auto"/>
      </w:pPr>
      <w:r>
        <w:rPr>
          <w:rFonts w:ascii="Calibri" w:hAnsi="Calibri"/>
          <w:b/>
          <w:color w:val="282828"/>
          <w:sz w:val="20"/>
        </w:rPr>
        <w:t xml:space="preserve">Runtime Environment: </w:t>
      </w:r>
      <w:r>
        <w:rPr>
          <w:rFonts w:ascii="Calibri" w:hAnsi="Calibri"/>
          <w:color w:val="282828"/>
          <w:sz w:val="20"/>
        </w:rPr>
        <w:t>Python 3.10+ (specifically Python 3.13 tested) and Node.js v18+ with npm.</w:t>
      </w:r>
    </w:p>
    <w:p>
      <w:pPr>
        <w:pStyle w:val="ListBullet"/>
        <w:spacing w:after="60" w:line="276" w:lineRule="auto"/>
      </w:pPr>
      <w:r>
        <w:rPr>
          <w:rFonts w:ascii="Calibri" w:hAnsi="Calibri"/>
          <w:b/>
          <w:color w:val="282828"/>
          <w:sz w:val="20"/>
        </w:rPr>
        <w:t xml:space="preserve">Backend Frameworks: </w:t>
      </w:r>
      <w:r>
        <w:rPr>
          <w:rFonts w:ascii="Calibri" w:hAnsi="Calibri"/>
          <w:color w:val="282828"/>
          <w:sz w:val="20"/>
        </w:rPr>
        <w:t>Flask 3.1, Flask-SQLAlchemy 3.1, Flask-Migrate 4.1, Werkzeug 3.1, Requests 2.34.</w:t>
      </w:r>
    </w:p>
    <w:p>
      <w:pPr>
        <w:pStyle w:val="ListBullet"/>
        <w:spacing w:after="60" w:line="276" w:lineRule="auto"/>
      </w:pPr>
      <w:r>
        <w:rPr>
          <w:rFonts w:ascii="Calibri" w:hAnsi="Calibri"/>
          <w:b/>
          <w:color w:val="282828"/>
          <w:sz w:val="20"/>
        </w:rPr>
        <w:t xml:space="preserve">Database Adapters: </w:t>
      </w:r>
      <w:r>
        <w:rPr>
          <w:rFonts w:ascii="Calibri" w:hAnsi="Calibri"/>
          <w:color w:val="282828"/>
          <w:sz w:val="20"/>
        </w:rPr>
        <w:t>psycopg 3.3, psycopg2-binary 2.9, Oracle REST Data Services (ORDS), SQLite3.</w:t>
      </w:r>
    </w:p>
    <w:p>
      <w:pPr>
        <w:pStyle w:val="ListBullet"/>
        <w:spacing w:after="60" w:line="276" w:lineRule="auto"/>
      </w:pPr>
      <w:r>
        <w:rPr>
          <w:rFonts w:ascii="Calibri" w:hAnsi="Calibri"/>
          <w:b/>
          <w:color w:val="282828"/>
          <w:sz w:val="20"/>
        </w:rPr>
        <w:t xml:space="preserve">Frontend Frameworks: </w:t>
      </w:r>
      <w:r>
        <w:rPr>
          <w:rFonts w:ascii="Calibri" w:hAnsi="Calibri"/>
          <w:color w:val="282828"/>
          <w:sz w:val="20"/>
        </w:rPr>
        <w:t>React 18, TypeScript, Vite, Tailwind CSS, Lucide React icons.</w:t>
      </w:r>
    </w:p>
    <w:p>
      <w:pPr>
        <w:pStyle w:val="ListBullet"/>
        <w:spacing w:after="60" w:line="276" w:lineRule="auto"/>
      </w:pPr>
      <w:r>
        <w:rPr>
          <w:rFonts w:ascii="Calibri" w:hAnsi="Calibri"/>
          <w:b/>
          <w:color w:val="282828"/>
          <w:sz w:val="20"/>
        </w:rPr>
        <w:t xml:space="preserve">Testing Framework: </w:t>
      </w:r>
      <w:r>
        <w:rPr>
          <w:rFonts w:ascii="Calibri" w:hAnsi="Calibri"/>
          <w:color w:val="282828"/>
          <w:sz w:val="20"/>
        </w:rPr>
        <w:t>Pytest 8.4+ for automated unit and integration verification.</w:t>
      </w:r>
    </w:p>
    <w:p>
      <w:pPr>
        <w:keepNext/>
        <w:spacing w:before="200" w:after="80"/>
      </w:pPr>
      <w:r>
        <w:rPr>
          <w:rFonts w:ascii="Calibri" w:hAnsi="Calibri"/>
          <w:b/>
          <w:color w:val="1B365D"/>
          <w:sz w:val="23"/>
        </w:rPr>
        <w:t>3.3 Functional Requirements</w:t>
      </w:r>
    </w:p>
    <w:p>
      <w:pPr>
        <w:pStyle w:val="ListBullet"/>
        <w:spacing w:after="60" w:line="276" w:lineRule="auto"/>
      </w:pPr>
      <w:r>
        <w:rPr>
          <w:rFonts w:ascii="Calibri" w:hAnsi="Calibri"/>
          <w:b/>
          <w:color w:val="282828"/>
          <w:sz w:val="20"/>
        </w:rPr>
        <w:t xml:space="preserve">FR-1: </w:t>
      </w:r>
      <w:r>
        <w:rPr>
          <w:rFonts w:ascii="Calibri" w:hAnsi="Calibri"/>
          <w:color w:val="282828"/>
          <w:sz w:val="20"/>
        </w:rPr>
        <w:t>Receive and validate JSON-formatted authorization requests containing subject, resource, action, and environment context.</w:t>
      </w:r>
    </w:p>
    <w:p>
      <w:pPr>
        <w:pStyle w:val="ListBullet"/>
        <w:spacing w:after="60" w:line="276" w:lineRule="auto"/>
      </w:pPr>
      <w:r>
        <w:rPr>
          <w:rFonts w:ascii="Calibri" w:hAnsi="Calibri"/>
          <w:b/>
          <w:color w:val="282828"/>
          <w:sz w:val="20"/>
        </w:rPr>
        <w:t xml:space="preserve">FR-2: </w:t>
      </w:r>
      <w:r>
        <w:rPr>
          <w:rFonts w:ascii="Calibri" w:hAnsi="Calibri"/>
          <w:color w:val="282828"/>
          <w:sz w:val="20"/>
        </w:rPr>
        <w:t>Fetch active policies from Oracle ORDS with ascending priority ordering and action wildcard matching.</w:t>
      </w:r>
    </w:p>
    <w:p>
      <w:pPr>
        <w:pStyle w:val="ListBullet"/>
        <w:spacing w:after="60" w:line="276" w:lineRule="auto"/>
      </w:pPr>
      <w:r>
        <w:rPr>
          <w:rFonts w:ascii="Calibri" w:hAnsi="Calibri"/>
          <w:b/>
          <w:color w:val="282828"/>
          <w:sz w:val="20"/>
        </w:rPr>
        <w:t xml:space="preserve">FR-3: </w:t>
      </w:r>
      <w:r>
        <w:rPr>
          <w:rFonts w:ascii="Calibri" w:hAnsi="Calibri"/>
          <w:color w:val="282828"/>
          <w:sz w:val="20"/>
        </w:rPr>
        <w:t>Evaluate rule constraints against request attributes using exact string, list intersection, and boolean logic.</w:t>
      </w:r>
    </w:p>
    <w:p>
      <w:pPr>
        <w:pStyle w:val="ListBullet"/>
        <w:spacing w:after="60" w:line="276" w:lineRule="auto"/>
      </w:pPr>
      <w:r>
        <w:rPr>
          <w:rFonts w:ascii="Calibri" w:hAnsi="Calibri"/>
          <w:b/>
          <w:color w:val="282828"/>
          <w:sz w:val="20"/>
        </w:rPr>
        <w:t xml:space="preserve">FR-4: </w:t>
      </w:r>
      <w:r>
        <w:rPr>
          <w:rFonts w:ascii="Calibri" w:hAnsi="Calibri"/>
          <w:color w:val="282828"/>
          <w:sz w:val="20"/>
        </w:rPr>
        <w:t>Apply Deny-Overrides combining algorithm to return PERMIT or DENY with explicit reason strings.</w:t>
      </w:r>
    </w:p>
    <w:p>
      <w:pPr>
        <w:pStyle w:val="ListBullet"/>
        <w:spacing w:after="60" w:line="276" w:lineRule="auto"/>
      </w:pPr>
      <w:r>
        <w:rPr>
          <w:rFonts w:ascii="Calibri" w:hAnsi="Calibri"/>
          <w:b/>
          <w:color w:val="282828"/>
          <w:sz w:val="20"/>
        </w:rPr>
        <w:t xml:space="preserve">FR-5: </w:t>
      </w:r>
      <w:r>
        <w:rPr>
          <w:rFonts w:ascii="Calibri" w:hAnsi="Calibri"/>
          <w:color w:val="282828"/>
          <w:sz w:val="20"/>
        </w:rPr>
        <w:t>Persist immutable audit log entries to primary Oracle ORDS with automatic failover to local SQLite storage.</w:t>
      </w:r>
    </w:p>
    <w:p>
      <w:pPr>
        <w:pStyle w:val="ListBullet"/>
        <w:spacing w:after="60" w:line="276" w:lineRule="auto"/>
      </w:pPr>
      <w:r>
        <w:rPr>
          <w:rFonts w:ascii="Calibri" w:hAnsi="Calibri"/>
          <w:b/>
          <w:color w:val="282828"/>
          <w:sz w:val="20"/>
        </w:rPr>
        <w:t xml:space="preserve">FR-6: </w:t>
      </w:r>
      <w:r>
        <w:rPr>
          <w:rFonts w:ascii="Calibri" w:hAnsi="Calibri"/>
          <w:color w:val="282828"/>
          <w:sz w:val="20"/>
        </w:rPr>
        <w:t>Redact sensitive credential keys (passwords, tokens, API keys) from context snapshots before saving audit records.</w:t>
      </w:r>
    </w:p>
    <w:p>
      <w:pPr>
        <w:pStyle w:val="ListBullet"/>
        <w:spacing w:after="60" w:line="276" w:lineRule="auto"/>
      </w:pPr>
      <w:r>
        <w:rPr>
          <w:rFonts w:ascii="Calibri" w:hAnsi="Calibri"/>
          <w:b/>
          <w:color w:val="282828"/>
          <w:sz w:val="20"/>
        </w:rPr>
        <w:t xml:space="preserve">FR-7: </w:t>
      </w:r>
      <w:r>
        <w:rPr>
          <w:rFonts w:ascii="Calibri" w:hAnsi="Calibri"/>
          <w:color w:val="282828"/>
          <w:sz w:val="20"/>
        </w:rPr>
        <w:t>Provide an administrative web interface to toggle policy states, filter rules, and execute live policy simulations.</w:t>
      </w:r>
    </w:p>
    <w:p>
      <w:pPr>
        <w:keepNext/>
        <w:spacing w:before="200" w:after="80"/>
      </w:pPr>
      <w:r>
        <w:rPr>
          <w:rFonts w:ascii="Calibri" w:hAnsi="Calibri"/>
          <w:b/>
          <w:color w:val="1B365D"/>
          <w:sz w:val="23"/>
        </w:rPr>
        <w:t>3.4 Non-Functional Requirements</w:t>
      </w:r>
    </w:p>
    <w:p>
      <w:pPr>
        <w:pStyle w:val="ListBullet"/>
        <w:spacing w:after="60" w:line="276" w:lineRule="auto"/>
      </w:pPr>
      <w:r>
        <w:rPr>
          <w:rFonts w:ascii="Calibri" w:hAnsi="Calibri"/>
          <w:b/>
          <w:color w:val="282828"/>
          <w:sz w:val="20"/>
        </w:rPr>
        <w:t xml:space="preserve">Performance: </w:t>
      </w:r>
      <w:r>
        <w:rPr>
          <w:rFonts w:ascii="Calibri" w:hAnsi="Calibri"/>
          <w:color w:val="282828"/>
          <w:sz w:val="20"/>
        </w:rPr>
        <w:t>Sub-millisecond decision evaluation (&lt;1 ms in-memory; &lt;50 ms end-to-end including network I/O).</w:t>
      </w:r>
    </w:p>
    <w:p>
      <w:pPr>
        <w:pStyle w:val="ListBullet"/>
        <w:spacing w:after="60" w:line="276" w:lineRule="auto"/>
      </w:pPr>
      <w:r>
        <w:rPr>
          <w:rFonts w:ascii="Calibri" w:hAnsi="Calibri"/>
          <w:b/>
          <w:color w:val="282828"/>
          <w:sz w:val="20"/>
        </w:rPr>
        <w:t xml:space="preserve">Reliability: </w:t>
      </w:r>
      <w:r>
        <w:rPr>
          <w:rFonts w:ascii="Calibri" w:hAnsi="Calibri"/>
          <w:color w:val="282828"/>
          <w:sz w:val="20"/>
        </w:rPr>
        <w:t>Zero audit data loss through automatic local SQLite fallback during remote service disruptions.</w:t>
      </w:r>
    </w:p>
    <w:p>
      <w:pPr>
        <w:pStyle w:val="ListBullet"/>
        <w:spacing w:after="60" w:line="276" w:lineRule="auto"/>
      </w:pPr>
      <w:r>
        <w:rPr>
          <w:rFonts w:ascii="Calibri" w:hAnsi="Calibri"/>
          <w:b/>
          <w:color w:val="282828"/>
          <w:sz w:val="20"/>
        </w:rPr>
        <w:t xml:space="preserve">Security: </w:t>
      </w:r>
      <w:r>
        <w:rPr>
          <w:rFonts w:ascii="Calibri" w:hAnsi="Calibri"/>
          <w:color w:val="282828"/>
          <w:sz w:val="20"/>
        </w:rPr>
        <w:t>Zero secret leakage; salted password hashing via Werkzeug; strict default-deny authorization stance.</w:t>
      </w:r>
    </w:p>
    <w:p>
      <w:pPr>
        <w:pStyle w:val="ListBullet"/>
        <w:spacing w:after="60" w:line="276" w:lineRule="auto"/>
      </w:pPr>
      <w:r>
        <w:rPr>
          <w:rFonts w:ascii="Calibri" w:hAnsi="Calibri"/>
          <w:b/>
          <w:color w:val="282828"/>
          <w:sz w:val="20"/>
        </w:rPr>
        <w:t xml:space="preserve">Maintainability: </w:t>
      </w:r>
      <w:r>
        <w:rPr>
          <w:rFonts w:ascii="Calibri" w:hAnsi="Calibri"/>
          <w:color w:val="282828"/>
          <w:sz w:val="20"/>
        </w:rPr>
        <w:t>Clean decoupling into modular service layers, Alembic schema migrations, and type-safe frontend components.</w:t>
      </w:r>
    </w:p>
    <w:p>
      <w:r>
        <w:br w:type="page"/>
      </w:r>
    </w:p>
    <w:p>
      <w:pPr>
        <w:keepNext/>
        <w:spacing w:before="280" w:after="160"/>
      </w:pPr>
      <w:r>
        <w:rPr>
          <w:rFonts w:ascii="Calibri" w:hAnsi="Calibri"/>
          <w:b/>
          <w:color w:val="1B365D"/>
          <w:sz w:val="26"/>
        </w:rPr>
        <w:t>4. SYSTEM ARCHITECTURE</w:t>
      </w:r>
    </w:p>
    <w:p>
      <w:pPr>
        <w:keepNext/>
        <w:spacing w:before="200" w:after="80"/>
      </w:pPr>
      <w:r>
        <w:rPr>
          <w:rFonts w:ascii="Calibri" w:hAnsi="Calibri"/>
          <w:b/>
          <w:color w:val="1B365D"/>
          <w:sz w:val="23"/>
        </w:rPr>
        <w:t>4.1 Architectural Overview</w:t>
      </w:r>
    </w:p>
    <w:p>
      <w:pPr>
        <w:spacing w:after="120" w:line="276" w:lineRule="auto"/>
      </w:pPr>
      <w:r>
        <w:rPr>
          <w:rFonts w:ascii="Calibri" w:hAnsi="Calibri"/>
          <w:color w:val="282828"/>
          <w:sz w:val="20"/>
        </w:rPr>
        <w:t>The EasyAccess ABAC Engine implements a layered, zero-trust reference architecture aligned with NIST SP 800-162 and OASIS XACML standards. The architecture is organized into four distinct logical components: the Policy Administration Point (PAP), the Policy Enforcement Point (PEP), the Policy Decision Point (PDP), and the Policy Information Point (PIP).</w:t>
      </w:r>
    </w:p>
    <w:p>
      <w:pPr>
        <w:spacing w:after="120" w:line="276" w:lineRule="auto"/>
      </w:pPr>
      <w:r>
        <w:rPr>
          <w:rFonts w:ascii="Calibri" w:hAnsi="Calibri"/>
          <w:color w:val="282828"/>
          <w:sz w:val="20"/>
        </w:rPr>
        <w:t>The presentation tier (PAP) provides an administrative portal for policy configuration, status monitoring, and simulation. The application tier houses the Flask REST API and core ABAC Decision Engine (PDP), executing sub-millisecond evaluation logic. The data tier (PIP) integrates Oracle REST Data Services (ORDS) and PostgreSQL for centralized enterprise storage, complemented by a local SQLite fallback engine ensuring high-availability audit persistence.</w:t>
      </w:r>
    </w:p>
    <w:p>
      <w:pPr>
        <w:keepNext/>
        <w:spacing w:before="200" w:after="80"/>
      </w:pPr>
      <w:r>
        <w:rPr>
          <w:rFonts w:ascii="Calibri" w:hAnsi="Calibri"/>
          <w:b/>
          <w:color w:val="1B365D"/>
          <w:sz w:val="23"/>
        </w:rPr>
        <w:t>4.2 Architecture Diagram</w:t>
      </w:r>
    </w:p>
    <w:p>
      <w:pPr>
        <w:spacing w:after="120" w:line="276" w:lineRule="auto"/>
      </w:pPr>
      <w:r>
        <w:rPr>
          <w:rFonts w:ascii="Calibri" w:hAnsi="Calibri"/>
          <w:color w:val="282828"/>
          <w:sz w:val="20"/>
        </w:rPr>
        <w:t>Figure 1. Logical Architecture of the EasyAccess ABAC Enterprise Platform.</w:t>
      </w:r>
    </w:p>
    <w:p>
      <w:pPr>
        <w:spacing w:before="120" w:after="240"/>
        <w:jc w:val="center"/>
      </w:pPr>
      <w:r>
        <w:rPr>
          <w:rFonts w:ascii="Consolas" w:hAnsi="Consolas"/>
          <w:color w:val="1B365D"/>
          <w:sz w:val="17"/>
        </w:rPr>
        <w:t>+-------------------------------------------------------------------------+</w:t>
        <w:br/>
        <w:t>|                 1. Policy Administration Point (PAP)                   |</w:t>
        <w:br/>
        <w:t>|         React 18 + Vite + TypeScript Dark Navy Security Dashboard       |</w:t>
        <w:br/>
        <w:t>|       [Policy Filters]   [Rule Inspector]   [Live Evaluation Modal]     |</w:t>
        <w:br/>
        <w:t>+------------------------------------+------------------------------------+</w:t>
        <w:br/>
        <w:t xml:space="preserve">                                     | HTTPS / REST</w:t>
        <w:br/>
        <w:t xml:space="preserve">                                     v</w:t>
        <w:br/>
        <w:t>+-------------------------------------------------------------------------+</w:t>
        <w:br/>
        <w:t>|            2. API Gateway &amp; Policy Enforcement Point (PEP)             |</w:t>
        <w:br/>
        <w:t>|           Flask 3.1 REST API Controller (/api/policies, /api/evaluate)   |</w:t>
        <w:br/>
        <w:t>|            Request Normalization  *  CORS  *  Client IP Extraction      |</w:t>
        <w:br/>
        <w:t>+------------------------------------+------------------------------------+</w:t>
        <w:br/>
        <w:t xml:space="preserve">                                     |</w:t>
        <w:br/>
        <w:t xml:space="preserve">                                     v</w:t>
        <w:br/>
        <w:t>+-------------------------------------------------------------------------+</w:t>
        <w:br/>
        <w:t>|               3. Policy Decision Point (PDP) Evaluation                 |</w:t>
        <w:br/>
        <w:t>|                     ABACDecisionEngine (Python Service)                 |</w:t>
        <w:br/>
        <w:t>|     [Attribute Matcher]   [Deny-Overrides Logic]   [Default-Deny Stance]|</w:t>
        <w:br/>
        <w:t>+-------------------+--------------------------------+--------------------+</w:t>
        <w:br/>
        <w:t xml:space="preserve">                    |                                | Failover</w:t>
        <w:br/>
        <w:t xml:space="preserve">         Primary    v                                v Fallback</w:t>
        <w:br/>
        <w:t>+-------------------------------+    +------------------------------------+</w:t>
        <w:br/>
        <w:t>|  4. Oracle ORDS / PostgreSQL  |    |     5. Local SQLite Fallback       |</w:t>
        <w:br/>
        <w:t>|   Policy Information Point    |    |  Resilient Audit Fallback Store    |</w:t>
        <w:br/>
        <w:t>|   Enterprise Policies &amp; Logs  |    |  Zero Data Loss Offline Journal    |</w:t>
        <w:br/>
        <w:t>+-------------------------------+    +------------------------------------+</w:t>
      </w:r>
    </w:p>
    <w:p>
      <w:pPr>
        <w:keepNext/>
        <w:spacing w:before="200" w:after="80"/>
      </w:pPr>
      <w:r>
        <w:rPr>
          <w:rFonts w:ascii="Calibri" w:hAnsi="Calibri"/>
          <w:b/>
          <w:color w:val="1B365D"/>
          <w:sz w:val="23"/>
        </w:rPr>
        <w:t>4.3 Architecture Layers</w:t>
      </w:r>
    </w:p>
    <w:p>
      <w:pPr>
        <w:keepNext/>
        <w:spacing w:before="160" w:after="60"/>
      </w:pPr>
      <w:r>
        <w:rPr>
          <w:rFonts w:ascii="Calibri" w:hAnsi="Calibri"/>
          <w:b/>
          <w:color w:val="1B365D"/>
          <w:sz w:val="21"/>
        </w:rPr>
        <w:t>4.3.1 Presentation Layer (PAP)</w:t>
      </w:r>
    </w:p>
    <w:p>
      <w:pPr>
        <w:spacing w:after="120" w:line="276" w:lineRule="auto"/>
      </w:pPr>
      <w:r>
        <w:rPr>
          <w:rFonts w:ascii="Calibri" w:hAnsi="Calibri"/>
          <w:color w:val="282828"/>
          <w:sz w:val="20"/>
        </w:rPr>
        <w:t>Constructed with React 18, Vite, and TypeScript. Implements the EasyAccess dark navy theme (`#080911` outer background, `#0F1222` surface) featuring category tabs (All, Data Access, System, Cloud, Administrative), search bars, status toggles, metrics overview, and a real-time rule inspector.</w:t>
      </w:r>
    </w:p>
    <w:p>
      <w:pPr>
        <w:keepNext/>
        <w:spacing w:before="160" w:after="60"/>
      </w:pPr>
      <w:r>
        <w:rPr>
          <w:rFonts w:ascii="Calibri" w:hAnsi="Calibri"/>
          <w:b/>
          <w:color w:val="1B365D"/>
          <w:sz w:val="21"/>
        </w:rPr>
        <w:t>4.3.2 API Gateway &amp; Request Handling Layer</w:t>
      </w:r>
    </w:p>
    <w:p>
      <w:pPr>
        <w:spacing w:after="120" w:line="276" w:lineRule="auto"/>
      </w:pPr>
      <w:r>
        <w:rPr>
          <w:rFonts w:ascii="Calibri" w:hAnsi="Calibri"/>
          <w:color w:val="282828"/>
          <w:sz w:val="20"/>
        </w:rPr>
        <w:t>Implemented using Flask Blueprints (`/api`). Handles route dispatching, request JSON validation, client IP extraction (respecting `X-Forwarded-For`), CORS headers, and sanitized error serialization.</w:t>
      </w:r>
    </w:p>
    <w:p>
      <w:pPr>
        <w:keepNext/>
        <w:spacing w:before="160" w:after="60"/>
      </w:pPr>
      <w:r>
        <w:rPr>
          <w:rFonts w:ascii="Calibri" w:hAnsi="Calibri"/>
          <w:b/>
          <w:color w:val="1B365D"/>
          <w:sz w:val="21"/>
        </w:rPr>
        <w:t>4.3.3 Policy Configuration &amp; Administration Layer</w:t>
      </w:r>
    </w:p>
    <w:p>
      <w:pPr>
        <w:spacing w:after="120" w:line="276" w:lineRule="auto"/>
      </w:pPr>
      <w:r>
        <w:rPr>
          <w:rFonts w:ascii="Calibri" w:hAnsi="Calibri"/>
          <w:color w:val="282828"/>
          <w:sz w:val="20"/>
        </w:rPr>
        <w:t>Exposes REST endpoints for policy lifecycle management (`GET`, `POST`, `PUT`, `DELETE /api/policies`). Allows dynamic rule updates, action array assignments, priority reordering, and enabled-state toggles.</w:t>
      </w:r>
    </w:p>
    <w:p>
      <w:r>
        <w:br w:type="page"/>
      </w:r>
    </w:p>
    <w:p>
      <w:pPr>
        <w:keepNext/>
        <w:spacing w:before="160" w:after="60"/>
      </w:pPr>
      <w:r>
        <w:rPr>
          <w:rFonts w:ascii="Calibri" w:hAnsi="Calibri"/>
          <w:b/>
          <w:color w:val="1B365D"/>
          <w:sz w:val="21"/>
        </w:rPr>
        <w:t>4.3.4 Policy Decision Point (PDP) Evaluation Layer</w:t>
      </w:r>
    </w:p>
    <w:p>
      <w:pPr>
        <w:spacing w:after="120" w:line="276" w:lineRule="auto"/>
      </w:pPr>
      <w:r>
        <w:rPr>
          <w:rFonts w:ascii="Calibri" w:hAnsi="Calibri"/>
          <w:color w:val="282828"/>
          <w:sz w:val="20"/>
        </w:rPr>
        <w:t>The core analytical brain implemented in `backend/app/services/abac_engine.py`. Evaluates incoming `AccessRequest` objects against candidate policies sorted by priority. Evaluates subject clearance, resource classification, action matching (including wildcards), and environmental bounds. Applies deterministic Deny-Overrides conflict resolution and guarantees strict Default-Deny.</w:t>
      </w:r>
    </w:p>
    <w:p>
      <w:pPr>
        <w:keepNext/>
        <w:spacing w:before="160" w:after="60"/>
      </w:pPr>
      <w:r>
        <w:rPr>
          <w:rFonts w:ascii="Calibri" w:hAnsi="Calibri"/>
          <w:b/>
          <w:color w:val="1B365D"/>
          <w:sz w:val="21"/>
        </w:rPr>
        <w:t>4.3.5 Policy Information Point (PIP) &amp; Storage Layer</w:t>
      </w:r>
    </w:p>
    <w:p>
      <w:pPr>
        <w:spacing w:after="120" w:line="276" w:lineRule="auto"/>
      </w:pPr>
      <w:r>
        <w:rPr>
          <w:rFonts w:ascii="Calibri" w:hAnsi="Calibri"/>
          <w:color w:val="282828"/>
          <w:sz w:val="20"/>
        </w:rPr>
        <w:t>Manages communication with enterprise database tiers via `ORDSClient`. Connects to Oracle REST Data Services (ORDS) endpoints for policies, resources, user directories, and audit logs. Leverages resilient HTTP connection pooling with timeouts and normalized query parameters. In standalone configurations, connects to PostgreSQL via SQLAlchemy with `pool_pre_ping` verification.</w:t>
      </w:r>
    </w:p>
    <w:p>
      <w:pPr>
        <w:keepNext/>
        <w:spacing w:before="160" w:after="60"/>
      </w:pPr>
      <w:r>
        <w:rPr>
          <w:rFonts w:ascii="Calibri" w:hAnsi="Calibri"/>
          <w:b/>
          <w:color w:val="1B365D"/>
          <w:sz w:val="21"/>
        </w:rPr>
        <w:t>4.3.6 Audit Logging &amp; Resiliency Fallback Layer</w:t>
      </w:r>
    </w:p>
    <w:p>
      <w:pPr>
        <w:spacing w:after="120" w:line="276" w:lineRule="auto"/>
      </w:pPr>
      <w:r>
        <w:rPr>
          <w:rFonts w:ascii="Calibri" w:hAnsi="Calibri"/>
          <w:color w:val="282828"/>
          <w:sz w:val="20"/>
        </w:rPr>
        <w:t>A dual-target audit logging subsystem. The engine first attempts to write decision logs to Oracle ORDS. If network partitions or service outages occur, it automatically redirects the record to a local SQLite journal (`audit_fallback.py`), preventing pipeline blocking and ensuring 100% compliance record retention. Redacts sensitive credentials prior to storage.</w:t>
      </w:r>
    </w:p>
    <w:p>
      <w:r>
        <w:br w:type="page"/>
      </w:r>
    </w:p>
    <w:p>
      <w:pPr>
        <w:keepNext/>
        <w:spacing w:before="280" w:after="160"/>
      </w:pPr>
      <w:r>
        <w:rPr>
          <w:rFonts w:ascii="Calibri" w:hAnsi="Calibri"/>
          <w:b/>
          <w:color w:val="1B365D"/>
          <w:sz w:val="26"/>
        </w:rPr>
        <w:t>5. DATA FLOW AND MODULE DESIGN</w:t>
      </w:r>
    </w:p>
    <w:p>
      <w:pPr>
        <w:keepNext/>
        <w:spacing w:before="200" w:after="80"/>
      </w:pPr>
      <w:r>
        <w:rPr>
          <w:rFonts w:ascii="Calibri" w:hAnsi="Calibri"/>
          <w:b/>
          <w:color w:val="1B365D"/>
          <w:sz w:val="23"/>
        </w:rPr>
        <w:t>5.1 Data Flow</w:t>
      </w:r>
    </w:p>
    <w:p>
      <w:pPr>
        <w:pStyle w:val="ListBullet"/>
        <w:spacing w:after="60" w:line="276" w:lineRule="auto"/>
      </w:pPr>
      <w:r>
        <w:rPr>
          <w:rFonts w:ascii="Calibri" w:hAnsi="Calibri"/>
          <w:b/>
          <w:color w:val="282828"/>
          <w:sz w:val="20"/>
        </w:rPr>
        <w:t xml:space="preserve">Step 1: </w:t>
      </w:r>
      <w:r>
        <w:rPr>
          <w:rFonts w:ascii="Calibri" w:hAnsi="Calibri"/>
          <w:color w:val="282828"/>
          <w:sz w:val="20"/>
        </w:rPr>
        <w:t>The client application or microservice submits an authorization evaluation request via `POST /api/evaluate`.</w:t>
      </w:r>
    </w:p>
    <w:p>
      <w:pPr>
        <w:pStyle w:val="ListBullet"/>
        <w:spacing w:after="60" w:line="276" w:lineRule="auto"/>
      </w:pPr>
      <w:r>
        <w:rPr>
          <w:rFonts w:ascii="Calibri" w:hAnsi="Calibri"/>
          <w:b/>
          <w:color w:val="282828"/>
          <w:sz w:val="20"/>
        </w:rPr>
        <w:t xml:space="preserve">Step 2: </w:t>
      </w:r>
      <w:r>
        <w:rPr>
          <w:rFonts w:ascii="Calibri" w:hAnsi="Calibri"/>
          <w:color w:val="282828"/>
          <w:sz w:val="20"/>
        </w:rPr>
        <w:t>The API controller parses the JSON payload into a structured `AccessRequest` object and captures client telemetry.</w:t>
      </w:r>
    </w:p>
    <w:p>
      <w:pPr>
        <w:pStyle w:val="ListBullet"/>
        <w:spacing w:after="60" w:line="276" w:lineRule="auto"/>
      </w:pPr>
      <w:r>
        <w:rPr>
          <w:rFonts w:ascii="Calibri" w:hAnsi="Calibri"/>
          <w:b/>
          <w:color w:val="282828"/>
          <w:sz w:val="20"/>
        </w:rPr>
        <w:t xml:space="preserve">Step 3: </w:t>
      </w:r>
      <w:r>
        <w:rPr>
          <w:rFonts w:ascii="Calibri" w:hAnsi="Calibri"/>
          <w:color w:val="282828"/>
          <w:sz w:val="20"/>
        </w:rPr>
        <w:t>The `ABACDecisionEngine` queries the Policy Information Point (ORDS / DB) for all currently active security policies.</w:t>
      </w:r>
    </w:p>
    <w:p>
      <w:pPr>
        <w:pStyle w:val="ListBullet"/>
        <w:spacing w:after="60" w:line="276" w:lineRule="auto"/>
      </w:pPr>
      <w:r>
        <w:rPr>
          <w:rFonts w:ascii="Calibri" w:hAnsi="Calibri"/>
          <w:b/>
          <w:color w:val="282828"/>
          <w:sz w:val="20"/>
        </w:rPr>
        <w:t xml:space="preserve">Step 4: </w:t>
      </w:r>
      <w:r>
        <w:rPr>
          <w:rFonts w:ascii="Calibri" w:hAnsi="Calibri"/>
          <w:color w:val="282828"/>
          <w:sz w:val="20"/>
        </w:rPr>
        <w:t>If the policy repository is unreachable, the engine immediately enforces Default-Deny and records an audit event.</w:t>
      </w:r>
    </w:p>
    <w:p>
      <w:pPr>
        <w:pStyle w:val="ListBullet"/>
        <w:spacing w:after="60" w:line="276" w:lineRule="auto"/>
      </w:pPr>
      <w:r>
        <w:rPr>
          <w:rFonts w:ascii="Calibri" w:hAnsi="Calibri"/>
          <w:b/>
          <w:color w:val="282828"/>
          <w:sz w:val="20"/>
        </w:rPr>
        <w:t xml:space="preserve">Step 5: </w:t>
      </w:r>
      <w:r>
        <w:rPr>
          <w:rFonts w:ascii="Calibri" w:hAnsi="Calibri"/>
          <w:color w:val="282828"/>
          <w:sz w:val="20"/>
        </w:rPr>
        <w:t>Retrieved policies are sorted by ascending priority; action verbs are normalized and checked for wildcard match.</w:t>
      </w:r>
    </w:p>
    <w:p>
      <w:pPr>
        <w:pStyle w:val="ListBullet"/>
        <w:spacing w:after="60" w:line="276" w:lineRule="auto"/>
      </w:pPr>
      <w:r>
        <w:rPr>
          <w:rFonts w:ascii="Calibri" w:hAnsi="Calibri"/>
          <w:b/>
          <w:color w:val="282828"/>
          <w:sz w:val="20"/>
        </w:rPr>
        <w:t xml:space="preserve">Step 6: </w:t>
      </w:r>
      <w:r>
        <w:rPr>
          <w:rFonts w:ascii="Calibri" w:hAnsi="Calibri"/>
          <w:color w:val="282828"/>
          <w:sz w:val="20"/>
        </w:rPr>
        <w:t>Conditions are evaluated against Subject attributes, Resource attributes, and Environmental attributes.</w:t>
      </w:r>
    </w:p>
    <w:p>
      <w:pPr>
        <w:pStyle w:val="ListBullet"/>
        <w:spacing w:after="60" w:line="276" w:lineRule="auto"/>
      </w:pPr>
      <w:r>
        <w:rPr>
          <w:rFonts w:ascii="Calibri" w:hAnsi="Calibri"/>
          <w:b/>
          <w:color w:val="282828"/>
          <w:sz w:val="20"/>
        </w:rPr>
        <w:t xml:space="preserve">Step 7: </w:t>
      </w:r>
      <w:r>
        <w:rPr>
          <w:rFonts w:ascii="Calibri" w:hAnsi="Calibri"/>
          <w:color w:val="282828"/>
          <w:sz w:val="20"/>
        </w:rPr>
        <w:t>The Deny-Overrides combining algorithm resolves matching rules into an authoritative PERMIT or DENY decision.</w:t>
      </w:r>
    </w:p>
    <w:p>
      <w:pPr>
        <w:pStyle w:val="ListBullet"/>
        <w:spacing w:after="60" w:line="276" w:lineRule="auto"/>
      </w:pPr>
      <w:r>
        <w:rPr>
          <w:rFonts w:ascii="Calibri" w:hAnsi="Calibri"/>
          <w:b/>
          <w:color w:val="282828"/>
          <w:sz w:val="20"/>
        </w:rPr>
        <w:t xml:space="preserve">Step 8: </w:t>
      </w:r>
      <w:r>
        <w:rPr>
          <w:rFonts w:ascii="Calibri" w:hAnsi="Calibri"/>
          <w:color w:val="282828"/>
          <w:sz w:val="20"/>
        </w:rPr>
        <w:t>The evaluation duration is measured; credentials are redacted; the audit record is saved to ORDS or fallback SQLite.</w:t>
      </w:r>
    </w:p>
    <w:p>
      <w:pPr>
        <w:pStyle w:val="ListBullet"/>
        <w:spacing w:after="60" w:line="276" w:lineRule="auto"/>
      </w:pPr>
      <w:r>
        <w:rPr>
          <w:rFonts w:ascii="Calibri" w:hAnsi="Calibri"/>
          <w:b/>
          <w:color w:val="282828"/>
          <w:sz w:val="20"/>
        </w:rPr>
        <w:t xml:space="preserve">Step 9: </w:t>
      </w:r>
      <w:r>
        <w:rPr>
          <w:rFonts w:ascii="Calibri" w:hAnsi="Calibri"/>
          <w:color w:val="282828"/>
          <w:sz w:val="20"/>
        </w:rPr>
        <w:t>The `EvaluationResult` containing decision, request ID, matched policies, and latency is returned to the client.</w:t>
      </w:r>
    </w:p>
    <w:p>
      <w:pPr>
        <w:keepNext/>
        <w:spacing w:before="200" w:after="80"/>
      </w:pPr>
      <w:r>
        <w:rPr>
          <w:rFonts w:ascii="Calibri" w:hAnsi="Calibri"/>
          <w:b/>
          <w:color w:val="1B365D"/>
          <w:sz w:val="23"/>
        </w:rPr>
        <w:t>5.2 Module Descriptions</w:t>
      </w:r>
    </w:p>
    <w:p>
      <w:pPr>
        <w:pStyle w:val="ListBullet"/>
        <w:spacing w:after="60" w:line="276" w:lineRule="auto"/>
      </w:pPr>
      <w:r>
        <w:rPr>
          <w:rFonts w:ascii="Calibri" w:hAnsi="Calibri"/>
          <w:b/>
          <w:color w:val="282828"/>
          <w:sz w:val="20"/>
        </w:rPr>
        <w:t xml:space="preserve">Module 1: Policy Administration Dashboard (Frontend): </w:t>
      </w:r>
      <w:r>
        <w:rPr>
          <w:rFonts w:ascii="Calibri" w:hAnsi="Calibri"/>
          <w:color w:val="282828"/>
          <w:sz w:val="20"/>
        </w:rPr>
        <w:t>React + Vite UI displaying policy cards, metric counts, category filters, and live simulation triggers.</w:t>
      </w:r>
    </w:p>
    <w:p>
      <w:pPr>
        <w:pStyle w:val="ListBullet"/>
        <w:spacing w:after="60" w:line="276" w:lineRule="auto"/>
      </w:pPr>
      <w:r>
        <w:rPr>
          <w:rFonts w:ascii="Calibri" w:hAnsi="Calibri"/>
          <w:b/>
          <w:color w:val="282828"/>
          <w:sz w:val="20"/>
        </w:rPr>
        <w:t xml:space="preserve">Module 2: REST API &amp; Routing Controller (`app/routes/abac.py`): </w:t>
      </w:r>
      <w:r>
        <w:rPr>
          <w:rFonts w:ascii="Calibri" w:hAnsi="Calibri"/>
          <w:color w:val="282828"/>
          <w:sz w:val="20"/>
        </w:rPr>
        <w:t>Flask blueprint exposing endpoints for policy CRUD, access evaluation, audit querying, and user inspection.</w:t>
      </w:r>
    </w:p>
    <w:p>
      <w:pPr>
        <w:pStyle w:val="ListBullet"/>
        <w:spacing w:after="60" w:line="276" w:lineRule="auto"/>
      </w:pPr>
      <w:r>
        <w:rPr>
          <w:rFonts w:ascii="Calibri" w:hAnsi="Calibri"/>
          <w:b/>
          <w:color w:val="282828"/>
          <w:sz w:val="20"/>
        </w:rPr>
        <w:t xml:space="preserve">Module 3: ABAC Decision Engine (`app/services/abac_engine.py`): </w:t>
      </w:r>
      <w:r>
        <w:rPr>
          <w:rFonts w:ascii="Calibri" w:hAnsi="Calibri"/>
          <w:color w:val="282828"/>
          <w:sz w:val="20"/>
        </w:rPr>
        <w:t>Core Policy Decision Point evaluating multi-attribute rule sets with sub-millisecond Deny-Overrides execution.</w:t>
      </w:r>
    </w:p>
    <w:p>
      <w:pPr>
        <w:pStyle w:val="ListBullet"/>
        <w:spacing w:after="60" w:line="276" w:lineRule="auto"/>
      </w:pPr>
      <w:r>
        <w:rPr>
          <w:rFonts w:ascii="Calibri" w:hAnsi="Calibri"/>
          <w:b/>
          <w:color w:val="282828"/>
          <w:sz w:val="20"/>
        </w:rPr>
        <w:t xml:space="preserve">Module 4: ORDS Client &amp; PIP Connector (`app/services/ords_client.py`): </w:t>
      </w:r>
      <w:r>
        <w:rPr>
          <w:rFonts w:ascii="Calibri" w:hAnsi="Calibri"/>
          <w:color w:val="282828"/>
          <w:sz w:val="20"/>
        </w:rPr>
        <w:t>Enterprise REST client managing authenticated communication with Oracle REST Data Services endpoints.</w:t>
      </w:r>
    </w:p>
    <w:p>
      <w:pPr>
        <w:pStyle w:val="ListBullet"/>
        <w:spacing w:after="60" w:line="276" w:lineRule="auto"/>
      </w:pPr>
      <w:r>
        <w:rPr>
          <w:rFonts w:ascii="Calibri" w:hAnsi="Calibri"/>
          <w:b/>
          <w:color w:val="282828"/>
          <w:sz w:val="20"/>
        </w:rPr>
        <w:t xml:space="preserve">Module 5: Resilient Audit Fallback Store (`app/services/audit_fallback.py`): </w:t>
      </w:r>
      <w:r>
        <w:rPr>
          <w:rFonts w:ascii="Calibri" w:hAnsi="Calibri"/>
          <w:color w:val="282828"/>
          <w:sz w:val="20"/>
        </w:rPr>
        <w:t>Embedded SQLite storage engine providing zero-data-loss failover during database service outages.</w:t>
      </w:r>
    </w:p>
    <w:p>
      <w:pPr>
        <w:pStyle w:val="ListBullet"/>
        <w:spacing w:after="60" w:line="276" w:lineRule="auto"/>
      </w:pPr>
      <w:r>
        <w:rPr>
          <w:rFonts w:ascii="Calibri" w:hAnsi="Calibri"/>
          <w:b/>
          <w:color w:val="282828"/>
          <w:sz w:val="20"/>
        </w:rPr>
        <w:t xml:space="preserve">Module 6: Data Models &amp; Persistence Layer (`app/models/`): </w:t>
      </w:r>
      <w:r>
        <w:rPr>
          <w:rFonts w:ascii="Calibri" w:hAnsi="Calibri"/>
          <w:color w:val="282828"/>
          <w:sz w:val="20"/>
        </w:rPr>
        <w:t>SQLAlchemy ORM models defining User, UserAttribute, ProtectedResource, ResourceAttribute, Policy, and AuditLog.</w:t>
      </w:r>
    </w:p>
    <w:p>
      <w:pPr>
        <w:pStyle w:val="ListBullet"/>
        <w:spacing w:after="60" w:line="276" w:lineRule="auto"/>
      </w:pPr>
      <w:r>
        <w:rPr>
          <w:rFonts w:ascii="Calibri" w:hAnsi="Calibri"/>
          <w:b/>
          <w:color w:val="282828"/>
          <w:sz w:val="20"/>
        </w:rPr>
        <w:t xml:space="preserve">Module 7: Health &amp; Telemetry System (`app/routes/health.py`): </w:t>
      </w:r>
      <w:r>
        <w:rPr>
          <w:rFonts w:ascii="Calibri" w:hAnsi="Calibri"/>
          <w:color w:val="282828"/>
          <w:sz w:val="20"/>
        </w:rPr>
        <w:t>Lightweight observability endpoint validating database connectivity and reporting service health without credential exposure.</w:t>
      </w:r>
    </w:p>
    <w:p>
      <w:r>
        <w:br w:type="page"/>
      </w:r>
    </w:p>
    <w:p>
      <w:pPr>
        <w:keepNext/>
        <w:spacing w:before="280" w:after="160"/>
      </w:pPr>
      <w:r>
        <w:rPr>
          <w:rFonts w:ascii="Calibri" w:hAnsi="Calibri"/>
          <w:b/>
          <w:color w:val="1B365D"/>
          <w:sz w:val="26"/>
        </w:rPr>
        <w:t>6. ALGORITHMS AND POLICY EVALUATION TECHNIQUES</w:t>
      </w:r>
    </w:p>
    <w:p>
      <w:pPr>
        <w:keepNext/>
        <w:spacing w:before="200" w:after="80"/>
      </w:pPr>
      <w:r>
        <w:rPr>
          <w:rFonts w:ascii="Calibri" w:hAnsi="Calibri"/>
          <w:b/>
          <w:color w:val="1B365D"/>
          <w:sz w:val="23"/>
        </w:rPr>
        <w:t>6.1 Policy Evaluation Algorithm</w:t>
      </w:r>
    </w:p>
    <w:p>
      <w:pPr>
        <w:spacing w:after="120" w:line="276" w:lineRule="auto"/>
      </w:pPr>
      <w:r>
        <w:rPr>
          <w:rFonts w:ascii="Calibri" w:hAnsi="Calibri"/>
          <w:color w:val="282828"/>
          <w:sz w:val="20"/>
        </w:rPr>
        <w:t>The evaluation algorithm iterates over active security policies ordered by numerical priority. For each candidate policy, the engine verifies action compatibility: if the policy action list does not include the wildcard '*' or the requested normalized action verb, the policy is skipped. If the action matches, the engine invokes condition evaluation.</w:t>
      </w:r>
    </w:p>
    <w:p>
      <w:pPr>
        <w:keepNext/>
        <w:spacing w:before="200" w:after="80"/>
      </w:pPr>
      <w:r>
        <w:rPr>
          <w:rFonts w:ascii="Calibri" w:hAnsi="Calibri"/>
          <w:b/>
          <w:color w:val="1B365D"/>
          <w:sz w:val="23"/>
        </w:rPr>
        <w:t>6.2 Multi-Dimensional Attribute Matching</w:t>
      </w:r>
    </w:p>
    <w:p>
      <w:pPr>
        <w:spacing w:after="120" w:line="276" w:lineRule="auto"/>
      </w:pPr>
      <w:r>
        <w:rPr>
          <w:rFonts w:ascii="Calibri" w:hAnsi="Calibri"/>
          <w:color w:val="282828"/>
          <w:sz w:val="20"/>
        </w:rPr>
        <w:t>Conditions are specified as multi-dimensional dictionaries partitioned into 'subject', 'resource', and 'environment' blocks. A policy is considered matched if and only if all attribute conditions evaluate to True. Attribute matching supports:</w:t>
      </w:r>
    </w:p>
    <w:p>
      <w:pPr>
        <w:pStyle w:val="ListBullet"/>
        <w:spacing w:after="60" w:line="276" w:lineRule="auto"/>
      </w:pPr>
      <w:r>
        <w:rPr>
          <w:rFonts w:ascii="Calibri" w:hAnsi="Calibri"/>
          <w:b/>
          <w:color w:val="282828"/>
          <w:sz w:val="20"/>
        </w:rPr>
        <w:t xml:space="preserve">List Intersection: </w:t>
      </w:r>
      <w:r>
        <w:rPr>
          <w:rFonts w:ascii="Calibri" w:hAnsi="Calibri"/>
          <w:color w:val="282828"/>
          <w:sz w:val="20"/>
        </w:rPr>
        <w:t>If the expected condition is a list (e.g. roles in ['SecOps', 'Admin']), matching occurs if the subject's actual role is in the set or shares any common element.</w:t>
      </w:r>
    </w:p>
    <w:p>
      <w:pPr>
        <w:pStyle w:val="ListBullet"/>
        <w:spacing w:after="60" w:line="276" w:lineRule="auto"/>
      </w:pPr>
      <w:r>
        <w:rPr>
          <w:rFonts w:ascii="Calibri" w:hAnsi="Calibri"/>
          <w:b/>
          <w:color w:val="282828"/>
          <w:sz w:val="20"/>
        </w:rPr>
        <w:t xml:space="preserve">Boolean Matching: </w:t>
      </w:r>
      <w:r>
        <w:rPr>
          <w:rFonts w:ascii="Calibri" w:hAnsi="Calibri"/>
          <w:color w:val="282828"/>
          <w:sz w:val="20"/>
        </w:rPr>
        <w:t>Exact truthiness verification (e.g., `mfa_verified: true`, `is_encrypted: true`).</w:t>
      </w:r>
    </w:p>
    <w:p>
      <w:pPr>
        <w:pStyle w:val="ListBullet"/>
        <w:spacing w:after="60" w:line="276" w:lineRule="auto"/>
      </w:pPr>
      <w:r>
        <w:rPr>
          <w:rFonts w:ascii="Calibri" w:hAnsi="Calibri"/>
          <w:b/>
          <w:color w:val="282828"/>
          <w:sz w:val="20"/>
        </w:rPr>
        <w:t xml:space="preserve">String &amp; Value Equivalence: </w:t>
      </w:r>
      <w:r>
        <w:rPr>
          <w:rFonts w:ascii="Calibri" w:hAnsi="Calibri"/>
          <w:color w:val="282828"/>
          <w:sz w:val="20"/>
        </w:rPr>
        <w:t>Case-insensitive string comparisons and numerical equality checks.</w:t>
      </w:r>
    </w:p>
    <w:p>
      <w:pPr>
        <w:keepNext/>
        <w:spacing w:before="200" w:after="80"/>
      </w:pPr>
      <w:r>
        <w:rPr>
          <w:rFonts w:ascii="Calibri" w:hAnsi="Calibri"/>
          <w:b/>
          <w:color w:val="1B365D"/>
          <w:sz w:val="23"/>
        </w:rPr>
        <w:t>6.3 Rule Combining Algorithm: Deny-Overrides</w:t>
      </w:r>
    </w:p>
    <w:p>
      <w:pPr>
        <w:spacing w:after="120" w:line="276" w:lineRule="auto"/>
      </w:pPr>
      <w:r>
        <w:rPr>
          <w:rFonts w:ascii="Calibri" w:hAnsi="Calibri"/>
          <w:color w:val="282828"/>
          <w:sz w:val="20"/>
        </w:rPr>
        <w:t>In enterprise zero-trust security, conflicting policies must be resolved deterministically. EasyAccess enforces Deny-Overrides: if any matching policy specifies an effect of DENY, the final outcome is strictly DENY, overriding any number of PERMIT policies. PERMIT is awarded only when at least one policy permits access and zero policies deny access.</w:t>
      </w:r>
    </w:p>
    <w:p>
      <w:pPr>
        <w:keepNext/>
        <w:spacing w:before="200" w:after="80"/>
      </w:pPr>
      <w:r>
        <w:rPr>
          <w:rFonts w:ascii="Calibri" w:hAnsi="Calibri"/>
          <w:b/>
          <w:color w:val="1B365D"/>
          <w:sz w:val="23"/>
        </w:rPr>
        <w:t>6.4 Environmental &amp; Contextual Validation</w:t>
      </w:r>
    </w:p>
    <w:p>
      <w:pPr>
        <w:spacing w:after="120" w:line="276" w:lineRule="auto"/>
      </w:pPr>
      <w:r>
        <w:rPr>
          <w:rFonts w:ascii="Calibri" w:hAnsi="Calibri"/>
          <w:color w:val="282828"/>
          <w:sz w:val="20"/>
        </w:rPr>
        <w:t>Environmental rules enforce contextual constraints such as client IP subnets (e.g., corporate VPN `10.0.0.0/8`), business operating hours (`08:00 - 18:00 UTC`), and device security compliance flags.</w:t>
      </w:r>
    </w:p>
    <w:p>
      <w:pPr>
        <w:keepNext/>
        <w:spacing w:before="200" w:after="80"/>
      </w:pPr>
      <w:r>
        <w:rPr>
          <w:rFonts w:ascii="Calibri" w:hAnsi="Calibri"/>
          <w:b/>
          <w:color w:val="1B365D"/>
          <w:sz w:val="23"/>
        </w:rPr>
        <w:t>6.5 Authorization Decision Logic</w:t>
      </w:r>
    </w:p>
    <w:p>
      <w:pPr>
        <w:spacing w:after="120" w:line="276" w:lineRule="auto"/>
      </w:pPr>
      <w:r>
        <w:rPr>
          <w:rFonts w:ascii="Calibri" w:hAnsi="Calibri"/>
          <w:color w:val="282828"/>
          <w:sz w:val="20"/>
        </w:rPr>
        <w:t>The formal decision combining function is defined as:</w:t>
      </w:r>
    </w:p>
    <w:p>
      <w:pPr>
        <w:spacing w:before="80" w:after="160"/>
        <w:jc w:val="center"/>
      </w:pPr>
      <w:r>
        <w:rPr>
          <w:rFonts w:ascii="Consolas" w:hAnsi="Consolas"/>
          <w:b/>
          <w:color w:val="1B365D"/>
          <w:sz w:val="20"/>
        </w:rPr>
        <w:t>Decision = DENY   if |P_deny| &gt; 0</w:t>
        <w:br/>
        <w:t>Decision = PERMIT if |P_deny| = 0  AND  |P_permit| &gt; 0</w:t>
        <w:br/>
        <w:t>Decision = DENY   otherwise (Default Deny)</w:t>
      </w:r>
    </w:p>
    <w:p>
      <w:pPr>
        <w:keepNext/>
        <w:spacing w:before="200" w:after="80"/>
      </w:pPr>
      <w:r>
        <w:rPr>
          <w:rFonts w:ascii="Calibri" w:hAnsi="Calibri"/>
          <w:b/>
          <w:color w:val="1B365D"/>
          <w:sz w:val="23"/>
        </w:rPr>
        <w:t>6.6 Data Classification &amp; Clearance Tier Matching</w:t>
      </w:r>
    </w:p>
    <w:p>
      <w:pPr>
        <w:spacing w:after="120" w:line="276" w:lineRule="auto"/>
      </w:pPr>
      <w:r>
        <w:rPr>
          <w:rFonts w:ascii="Calibri" w:hAnsi="Calibri"/>
          <w:color w:val="282828"/>
          <w:sz w:val="20"/>
        </w:rPr>
        <w:t>Resources are cataloged under hierarchical classification tiers: Public (1), Internal (2), Confidential (3), Restricted (4), and Top Secret (5). Access to higher classification tiers requires the subject's clearance level to meet or exceed the resource tier, verified via rule predicates.</w:t>
      </w:r>
    </w:p>
    <w:p>
      <w:pPr>
        <w:keepNext/>
        <w:spacing w:before="200" w:after="80"/>
      </w:pPr>
      <w:r>
        <w:rPr>
          <w:rFonts w:ascii="Calibri" w:hAnsi="Calibri"/>
          <w:b/>
          <w:color w:val="1B365D"/>
          <w:sz w:val="23"/>
        </w:rPr>
        <w:t>6.7 Cryptographic Sanitization &amp; Audit Redaction</w:t>
      </w:r>
    </w:p>
    <w:p>
      <w:pPr>
        <w:spacing w:after="120" w:line="276" w:lineRule="auto"/>
      </w:pPr>
      <w:r>
        <w:rPr>
          <w:rFonts w:ascii="Calibri" w:hAnsi="Calibri"/>
          <w:color w:val="282828"/>
          <w:sz w:val="20"/>
        </w:rPr>
        <w:t>Before any audit snapshot is committed to storage, recursive dictionary sanitization scans all context keys against a sensitive keyword registry (including 'password', 'password_hash', 'secret', 'token', 'authorization', 'api_key'). Any matching keys are replaced with `[REDACTED]`.</w:t>
      </w:r>
    </w:p>
    <w:p>
      <w:r>
        <w:br w:type="page"/>
      </w:r>
    </w:p>
    <w:p>
      <w:pPr>
        <w:keepNext/>
        <w:spacing w:before="280" w:after="160"/>
      </w:pPr>
      <w:r>
        <w:rPr>
          <w:rFonts w:ascii="Calibri" w:hAnsi="Calibri"/>
          <w:b/>
          <w:color w:val="1B365D"/>
          <w:sz w:val="26"/>
        </w:rPr>
        <w:t>7. TECHNOLOGY STACK</w:t>
      </w:r>
    </w:p>
    <w:p>
      <w:pPr>
        <w:keepNext/>
        <w:spacing w:before="200" w:after="80"/>
      </w:pPr>
      <w:r>
        <w:rPr>
          <w:rFonts w:ascii="Calibri" w:hAnsi="Calibri"/>
          <w:b/>
          <w:color w:val="1B365D"/>
          <w:sz w:val="23"/>
        </w:rPr>
        <w:t>Python 3.10+ / 3.13</w:t>
      </w:r>
    </w:p>
    <w:p>
      <w:pPr>
        <w:spacing w:after="120" w:line="276" w:lineRule="auto"/>
      </w:pPr>
      <w:r>
        <w:rPr>
          <w:rFonts w:ascii="Calibri" w:hAnsi="Calibri"/>
          <w:color w:val="282828"/>
          <w:sz w:val="20"/>
        </w:rPr>
        <w:t>The primary backend language powering application logic, policy evaluation, schema management, and test automation. Utilizes modern typing annotations, dataclasses, and high-precision timers (`time.perf_counter`).</w:t>
      </w:r>
    </w:p>
    <w:p>
      <w:pPr>
        <w:keepNext/>
        <w:spacing w:before="200" w:after="80"/>
      </w:pPr>
      <w:r>
        <w:rPr>
          <w:rFonts w:ascii="Calibri" w:hAnsi="Calibri"/>
          <w:b/>
          <w:color w:val="1B365D"/>
          <w:sz w:val="23"/>
        </w:rPr>
        <w:t>Flask 3.1 &amp; Werkzeug</w:t>
      </w:r>
    </w:p>
    <w:p>
      <w:pPr>
        <w:spacing w:after="120" w:line="276" w:lineRule="auto"/>
      </w:pPr>
      <w:r>
        <w:rPr>
          <w:rFonts w:ascii="Calibri" w:hAnsi="Calibri"/>
          <w:color w:val="282828"/>
          <w:sz w:val="20"/>
        </w:rPr>
        <w:t>Lightweight, production-grade microframework providing REST API endpoints, blueprint routing, request lifecycle management, and salted password hashing utilities (`werkzeug.security`).</w:t>
      </w:r>
    </w:p>
    <w:p>
      <w:pPr>
        <w:keepNext/>
        <w:spacing w:before="200" w:after="80"/>
      </w:pPr>
      <w:r>
        <w:rPr>
          <w:rFonts w:ascii="Calibri" w:hAnsi="Calibri"/>
          <w:b/>
          <w:color w:val="1B365D"/>
          <w:sz w:val="23"/>
        </w:rPr>
        <w:t>React 18, TypeScript &amp; Vite</w:t>
      </w:r>
    </w:p>
    <w:p>
      <w:pPr>
        <w:spacing w:after="120" w:line="276" w:lineRule="auto"/>
      </w:pPr>
      <w:r>
        <w:rPr>
          <w:rFonts w:ascii="Calibri" w:hAnsi="Calibri"/>
          <w:color w:val="282828"/>
          <w:sz w:val="20"/>
        </w:rPr>
        <w:t>Modern frontend presentation stack delivering a blazing-fast user interface with strict static typing, component modularity, and sub-second hot module replacement during development.</w:t>
      </w:r>
    </w:p>
    <w:p>
      <w:pPr>
        <w:keepNext/>
        <w:spacing w:before="200" w:after="80"/>
      </w:pPr>
      <w:r>
        <w:rPr>
          <w:rFonts w:ascii="Calibri" w:hAnsi="Calibri"/>
          <w:b/>
          <w:color w:val="1B365D"/>
          <w:sz w:val="23"/>
        </w:rPr>
        <w:t>Tailwind CSS</w:t>
      </w:r>
    </w:p>
    <w:p>
      <w:pPr>
        <w:spacing w:after="120" w:line="276" w:lineRule="auto"/>
      </w:pPr>
      <w:r>
        <w:rPr>
          <w:rFonts w:ascii="Calibri" w:hAnsi="Calibri"/>
          <w:color w:val="282828"/>
          <w:sz w:val="20"/>
        </w:rPr>
        <w:t>Utility-first styling framework configured with custom EasyAccess dark navy color tokens (`#080911`, `#0F1222`, `#7C3AED` purple accent) and responsive flexbox/grid layouts.</w:t>
      </w:r>
    </w:p>
    <w:p>
      <w:pPr>
        <w:keepNext/>
        <w:spacing w:before="200" w:after="80"/>
      </w:pPr>
      <w:r>
        <w:rPr>
          <w:rFonts w:ascii="Calibri" w:hAnsi="Calibri"/>
          <w:b/>
          <w:color w:val="1B365D"/>
          <w:sz w:val="23"/>
        </w:rPr>
        <w:t>Oracle REST Data Services (ORDS)</w:t>
      </w:r>
    </w:p>
    <w:p>
      <w:pPr>
        <w:spacing w:after="120" w:line="276" w:lineRule="auto"/>
      </w:pPr>
      <w:r>
        <w:rPr>
          <w:rFonts w:ascii="Calibri" w:hAnsi="Calibri"/>
          <w:color w:val="282828"/>
          <w:sz w:val="20"/>
        </w:rPr>
        <w:t>Enterprise RESTful data gateway connecting microservices directly to Oracle Database instances for scalable policy retrieval, resource indexing, and enterprise audit persistence.</w:t>
      </w:r>
    </w:p>
    <w:p>
      <w:pPr>
        <w:keepNext/>
        <w:spacing w:before="200" w:after="80"/>
      </w:pPr>
      <w:r>
        <w:rPr>
          <w:rFonts w:ascii="Calibri" w:hAnsi="Calibri"/>
          <w:b/>
          <w:color w:val="1B365D"/>
          <w:sz w:val="23"/>
        </w:rPr>
        <w:t>SQLAlchemy 2.0 &amp; PostgreSQL (Supabase)</w:t>
      </w:r>
    </w:p>
    <w:p>
      <w:pPr>
        <w:spacing w:after="120" w:line="276" w:lineRule="auto"/>
      </w:pPr>
      <w:r>
        <w:rPr>
          <w:rFonts w:ascii="Calibri" w:hAnsi="Calibri"/>
          <w:color w:val="282828"/>
          <w:sz w:val="20"/>
        </w:rPr>
        <w:t>Next-generation ORM and relational database integration providing resilient connection pooling (`pool_pre_ping`, `pool_recycle`), URL scheme normalization, and version-controlled schema migrations via Flask-Migrate / Alembic.</w:t>
      </w:r>
    </w:p>
    <w:p>
      <w:pPr>
        <w:keepNext/>
        <w:spacing w:before="200" w:after="80"/>
      </w:pPr>
      <w:r>
        <w:rPr>
          <w:rFonts w:ascii="Calibri" w:hAnsi="Calibri"/>
          <w:b/>
          <w:color w:val="1B365D"/>
          <w:sz w:val="23"/>
        </w:rPr>
        <w:t>SQLite3 (Embedded Fallback)</w:t>
      </w:r>
    </w:p>
    <w:p>
      <w:pPr>
        <w:spacing w:after="120" w:line="276" w:lineRule="auto"/>
      </w:pPr>
      <w:r>
        <w:rPr>
          <w:rFonts w:ascii="Calibri" w:hAnsi="Calibri"/>
          <w:color w:val="282828"/>
          <w:sz w:val="20"/>
        </w:rPr>
        <w:t>Zero-configuration embedded database engine used by `AuditFallbackStore` to record decision events locally if remote database connections fail.</w:t>
      </w:r>
    </w:p>
    <w:p>
      <w:pPr>
        <w:keepNext/>
        <w:spacing w:before="200" w:after="80"/>
      </w:pPr>
      <w:r>
        <w:rPr>
          <w:rFonts w:ascii="Calibri" w:hAnsi="Calibri"/>
          <w:b/>
          <w:color w:val="1B365D"/>
          <w:sz w:val="23"/>
        </w:rPr>
        <w:t>Pytest 8.4</w:t>
      </w:r>
    </w:p>
    <w:p>
      <w:pPr>
        <w:spacing w:after="120" w:line="276" w:lineRule="auto"/>
      </w:pPr>
      <w:r>
        <w:rPr>
          <w:rFonts w:ascii="Calibri" w:hAnsi="Calibri"/>
          <w:color w:val="282828"/>
          <w:sz w:val="20"/>
        </w:rPr>
        <w:t>Comprehensive testing framework driving automated test execution for models, routing, evaluation logic, and credential security.</w:t>
      </w:r>
    </w:p>
    <w:p>
      <w:r>
        <w:br w:type="page"/>
      </w:r>
    </w:p>
    <w:p>
      <w:pPr>
        <w:keepNext/>
        <w:spacing w:before="280" w:after="160"/>
      </w:pPr>
      <w:r>
        <w:rPr>
          <w:rFonts w:ascii="Calibri" w:hAnsi="Calibri"/>
          <w:b/>
          <w:color w:val="1B365D"/>
          <w:sz w:val="26"/>
        </w:rPr>
        <w:t>8. SECURITY AND ACCESS CONTROL CONSIDERATIONS</w:t>
      </w:r>
    </w:p>
    <w:p>
      <w:pPr>
        <w:keepNext/>
        <w:spacing w:before="200" w:after="80"/>
      </w:pPr>
      <w:r>
        <w:rPr>
          <w:rFonts w:ascii="Calibri" w:hAnsi="Calibri"/>
          <w:b/>
          <w:color w:val="1B365D"/>
          <w:sz w:val="23"/>
        </w:rPr>
        <w:t>8.1 Zero-Trust Architecture &amp; Default-Deny Security</w:t>
      </w:r>
    </w:p>
    <w:p>
      <w:pPr>
        <w:spacing w:after="120" w:line="276" w:lineRule="auto"/>
      </w:pPr>
      <w:r>
        <w:rPr>
          <w:rFonts w:ascii="Calibri" w:hAnsi="Calibri"/>
          <w:color w:val="282828"/>
          <w:sz w:val="20"/>
        </w:rPr>
        <w:t>The engine operates on a strict zero-trust posture: implicit trust is never granted based on network location or past sessions. Every request is evaluated anew. In the event of missing policies, malformed attributes, or database connectivity timeouts, the engine safely enforces Default-Deny, preventing unauthorized privilege escalation.</w:t>
      </w:r>
    </w:p>
    <w:p>
      <w:pPr>
        <w:keepNext/>
        <w:spacing w:before="200" w:after="80"/>
      </w:pPr>
      <w:r>
        <w:rPr>
          <w:rFonts w:ascii="Calibri" w:hAnsi="Calibri"/>
          <w:b/>
          <w:color w:val="1B365D"/>
          <w:sz w:val="23"/>
        </w:rPr>
        <w:t>8.2 Password &amp; Credential Protection</w:t>
      </w:r>
    </w:p>
    <w:p>
      <w:pPr>
        <w:spacing w:after="120" w:line="276" w:lineRule="auto"/>
      </w:pPr>
      <w:r>
        <w:rPr>
          <w:rFonts w:ascii="Calibri" w:hAnsi="Calibri"/>
          <w:color w:val="282828"/>
          <w:sz w:val="20"/>
        </w:rPr>
        <w:t>User accounts are secured using salted PBKDF2/SHA-256 password hashing implemented through Werkzeug. Plaintext passwords are never stored or returned in API responses. User registration strictly rejects passwords shorter than 8 characters.</w:t>
      </w:r>
    </w:p>
    <w:p>
      <w:pPr>
        <w:keepNext/>
        <w:spacing w:before="200" w:after="80"/>
      </w:pPr>
      <w:r>
        <w:rPr>
          <w:rFonts w:ascii="Calibri" w:hAnsi="Calibri"/>
          <w:b/>
          <w:color w:val="1B365D"/>
          <w:sz w:val="23"/>
        </w:rPr>
        <w:t>8.3 Zero Secret Exposure &amp; Audit Data Sanitization</w:t>
      </w:r>
    </w:p>
    <w:p>
      <w:pPr>
        <w:spacing w:after="120" w:line="276" w:lineRule="auto"/>
      </w:pPr>
      <w:r>
        <w:rPr>
          <w:rFonts w:ascii="Calibri" w:hAnsi="Calibri"/>
          <w:color w:val="282828"/>
          <w:sz w:val="20"/>
        </w:rPr>
        <w:t>API error responses, telemetry endpoints, and health probes are hardened to prevent credential leakage. Database connection URLs and internal hostnames are redacted. The audit logging engine recursively scrubs authorization tokens and sensitive attributes before persistence.</w:t>
      </w:r>
    </w:p>
    <w:p>
      <w:pPr>
        <w:keepNext/>
        <w:spacing w:before="200" w:after="80"/>
      </w:pPr>
      <w:r>
        <w:rPr>
          <w:rFonts w:ascii="Calibri" w:hAnsi="Calibri"/>
          <w:b/>
          <w:color w:val="1B365D"/>
          <w:sz w:val="23"/>
        </w:rPr>
        <w:t>8.4 SQL Injection Defense &amp; ORM Parameterization</w:t>
      </w:r>
    </w:p>
    <w:p>
      <w:pPr>
        <w:spacing w:after="120" w:line="276" w:lineRule="auto"/>
      </w:pPr>
      <w:r>
        <w:rPr>
          <w:rFonts w:ascii="Calibri" w:hAnsi="Calibri"/>
          <w:color w:val="282828"/>
          <w:sz w:val="20"/>
        </w:rPr>
        <w:t>All database queries utilize SQLAlchemy parameterized statements and ORDS REST endpoints. No dynamic raw SQL string interpolation is permitted, eliminating SQL injection attack vectors across all access layers.</w:t>
      </w:r>
    </w:p>
    <w:p>
      <w:pPr>
        <w:keepNext/>
        <w:spacing w:before="200" w:after="80"/>
      </w:pPr>
      <w:r>
        <w:rPr>
          <w:rFonts w:ascii="Calibri" w:hAnsi="Calibri"/>
          <w:b/>
          <w:color w:val="1B365D"/>
          <w:sz w:val="23"/>
        </w:rPr>
        <w:t>8.5 Fault-Tolerant Tamper-Evident Audit Logging</w:t>
      </w:r>
    </w:p>
    <w:p>
      <w:pPr>
        <w:spacing w:after="120" w:line="276" w:lineRule="auto"/>
      </w:pPr>
      <w:r>
        <w:rPr>
          <w:rFonts w:ascii="Calibri" w:hAnsi="Calibri"/>
          <w:color w:val="282828"/>
          <w:sz w:val="20"/>
        </w:rPr>
        <w:t>Authorization records must be preserved for compliance and forensics (NIST SP 800-162 / SOC 2). By coupling Oracle ORDS with an autonomous local SQLite failover store, the system guarantees an uninterrupted, tamper-evident audit trail even during network degradation.</w:t>
      </w:r>
    </w:p>
    <w:p>
      <w:r>
        <w:br w:type="page"/>
      </w:r>
    </w:p>
    <w:p>
      <w:pPr>
        <w:keepNext/>
        <w:spacing w:before="280" w:after="160"/>
      </w:pPr>
      <w:r>
        <w:rPr>
          <w:rFonts w:ascii="Calibri" w:hAnsi="Calibri"/>
          <w:b/>
          <w:color w:val="1B365D"/>
          <w:sz w:val="26"/>
        </w:rPr>
        <w:t>9. TESTING AND VALIDATION</w:t>
      </w:r>
    </w:p>
    <w:p>
      <w:pPr>
        <w:spacing w:after="120" w:line="276" w:lineRule="auto"/>
      </w:pPr>
      <w:r>
        <w:rPr>
          <w:rFonts w:ascii="Calibri" w:hAnsi="Calibri"/>
          <w:color w:val="282828"/>
          <w:sz w:val="20"/>
        </w:rPr>
        <w:t>Rigorous automated testing validates engine correctness, policy parsing, conflict resolution, database resiliency, and security protections across simulated enterprise environments.</w:t>
      </w:r>
    </w:p>
    <w:p>
      <w:pPr>
        <w:keepNext/>
        <w:spacing w:before="200" w:after="80"/>
      </w:pPr>
      <w:r>
        <w:rPr>
          <w:rFonts w:ascii="Calibri" w:hAnsi="Calibri"/>
          <w:b/>
          <w:color w:val="1B365D"/>
          <w:sz w:val="23"/>
        </w:rPr>
        <w:t>9.1 Test Cases</w:t>
      </w:r>
    </w:p>
    <w:tbl>
      <w:tblPr>
        <w:tblW w:type="auto" w:w="0"/>
        <w:jc w:val="center"/>
        <w:tblLayout w:type="fixed"/>
        <w:tblLook w:firstColumn="1" w:firstRow="1" w:lastColumn="0" w:lastRow="0" w:noHBand="0" w:noVBand="1" w:val="04A0"/>
      </w:tblPr>
      <w:tblGrid>
        <w:gridCol w:w="3120"/>
        <w:gridCol w:w="3120"/>
        <w:gridCol w:w="3120"/>
      </w:tblGrid>
      <w:tr>
        <w:tc>
          <w:tcPr>
            <w:tcW w:type="dxa" w:w="1440"/>
            <w:tcMar>
              <w:top w:w="90" w:type="dxa"/>
              <w:bottom w:w="90" w:type="dxa"/>
              <w:left w:w="110" w:type="dxa"/>
              <w:right w:w="110" w:type="dxa"/>
            </w:tcMar>
            <w:shd w:fill="1B365D"/>
          </w:tcPr>
          <w:p>
            <w:pPr>
              <w:jc w:val="center"/>
            </w:pPr>
            <w:r>
              <w:rPr>
                <w:rFonts w:ascii="Calibri" w:hAnsi="Calibri"/>
                <w:b/>
                <w:color w:val="FFFFFF"/>
                <w:sz w:val="18"/>
              </w:rPr>
              <w:t>Test ID</w:t>
            </w:r>
          </w:p>
        </w:tc>
        <w:tc>
          <w:tcPr>
            <w:tcW w:type="dxa" w:w="3888"/>
            <w:tcMar>
              <w:top w:w="90" w:type="dxa"/>
              <w:bottom w:w="90" w:type="dxa"/>
              <w:left w:w="110" w:type="dxa"/>
              <w:right w:w="110" w:type="dxa"/>
            </w:tcMar>
            <w:shd w:fill="1B365D"/>
          </w:tcPr>
          <w:p>
            <w:pPr>
              <w:jc w:val="left"/>
            </w:pPr>
            <w:r>
              <w:rPr>
                <w:rFonts w:ascii="Calibri" w:hAnsi="Calibri"/>
                <w:b/>
                <w:color w:val="FFFFFF"/>
                <w:sz w:val="18"/>
              </w:rPr>
              <w:t>Test Scenario</w:t>
            </w:r>
          </w:p>
        </w:tc>
        <w:tc>
          <w:tcPr>
            <w:tcW w:type="dxa" w:w="4032"/>
            <w:tcMar>
              <w:top w:w="90" w:type="dxa"/>
              <w:bottom w:w="90" w:type="dxa"/>
              <w:left w:w="110" w:type="dxa"/>
              <w:right w:w="110" w:type="dxa"/>
            </w:tcMar>
            <w:shd w:fill="1B365D"/>
          </w:tcPr>
          <w:p>
            <w:pPr>
              <w:jc w:val="left"/>
            </w:pPr>
            <w:r>
              <w:rPr>
                <w:rFonts w:ascii="Calibri" w:hAnsi="Calibri"/>
                <w:b/>
                <w:color w:val="FFFFFF"/>
                <w:sz w:val="18"/>
              </w:rPr>
              <w:t>Expected Result</w:t>
            </w:r>
          </w:p>
        </w:tc>
      </w:tr>
      <w:tr>
        <w:tc>
          <w:tcPr>
            <w:tcW w:type="dxa" w:w="1440"/>
            <w:tcMar>
              <w:top w:w="90" w:type="dxa"/>
              <w:bottom w:w="90" w:type="dxa"/>
              <w:left w:w="110" w:type="dxa"/>
              <w:right w:w="110" w:type="dxa"/>
            </w:tcMar>
            <w:shd w:fill="F4F6F9"/>
          </w:tcPr>
          <w:p>
            <w:pPr>
              <w:jc w:val="center"/>
            </w:pPr>
            <w:r>
              <w:rPr>
                <w:rFonts w:ascii="Calibri" w:hAnsi="Calibri"/>
                <w:color w:val="282828"/>
                <w:sz w:val="18"/>
              </w:rPr>
              <w:t>TC-01</w:t>
            </w:r>
          </w:p>
        </w:tc>
        <w:tc>
          <w:tcPr>
            <w:tcW w:type="dxa" w:w="3888"/>
            <w:tcMar>
              <w:top w:w="90" w:type="dxa"/>
              <w:bottom w:w="90" w:type="dxa"/>
              <w:left w:w="110" w:type="dxa"/>
              <w:right w:w="110" w:type="dxa"/>
            </w:tcMar>
            <w:shd w:fill="F4F6F9"/>
          </w:tcPr>
          <w:p>
            <w:pPr>
              <w:jc w:val="left"/>
            </w:pPr>
            <w:r>
              <w:rPr>
                <w:rFonts w:ascii="Calibri" w:hAnsi="Calibri"/>
                <w:color w:val="282828"/>
                <w:sz w:val="18"/>
              </w:rPr>
              <w:t>Health check probe without DB configured (`GET /api/health`)</w:t>
            </w:r>
          </w:p>
        </w:tc>
        <w:tc>
          <w:tcPr>
            <w:tcW w:type="dxa" w:w="4032"/>
            <w:tcMar>
              <w:top w:w="90" w:type="dxa"/>
              <w:bottom w:w="90" w:type="dxa"/>
              <w:left w:w="110" w:type="dxa"/>
              <w:right w:w="110" w:type="dxa"/>
            </w:tcMar>
            <w:shd w:fill="F4F6F9"/>
          </w:tcPr>
          <w:p>
            <w:pPr>
              <w:jc w:val="left"/>
            </w:pPr>
            <w:r>
              <w:rPr>
                <w:rFonts w:ascii="Calibri" w:hAnsi="Calibri"/>
                <w:color w:val="282828"/>
                <w:sz w:val="18"/>
              </w:rPr>
              <w:t>Returns HTTP 200 with status 'not_configured'; zero credential exposure</w:t>
            </w:r>
          </w:p>
        </w:tc>
      </w:tr>
      <w:tr>
        <w:tc>
          <w:tcPr>
            <w:tcW w:type="dxa" w:w="1440"/>
            <w:tcMar>
              <w:top w:w="90" w:type="dxa"/>
              <w:bottom w:w="90" w:type="dxa"/>
              <w:left w:w="110" w:type="dxa"/>
              <w:right w:w="110" w:type="dxa"/>
            </w:tcMar>
          </w:tcPr>
          <w:p>
            <w:pPr>
              <w:jc w:val="center"/>
            </w:pPr>
            <w:r>
              <w:rPr>
                <w:rFonts w:ascii="Calibri" w:hAnsi="Calibri"/>
                <w:color w:val="282828"/>
                <w:sz w:val="18"/>
              </w:rPr>
              <w:t>TC-02</w:t>
            </w:r>
          </w:p>
        </w:tc>
        <w:tc>
          <w:tcPr>
            <w:tcW w:type="dxa" w:w="3888"/>
            <w:tcMar>
              <w:top w:w="90" w:type="dxa"/>
              <w:bottom w:w="90" w:type="dxa"/>
              <w:left w:w="110" w:type="dxa"/>
              <w:right w:w="110" w:type="dxa"/>
            </w:tcMar>
          </w:tcPr>
          <w:p>
            <w:pPr>
              <w:jc w:val="left"/>
            </w:pPr>
            <w:r>
              <w:rPr>
                <w:rFonts w:ascii="Calibri" w:hAnsi="Calibri"/>
                <w:color w:val="282828"/>
                <w:sz w:val="18"/>
              </w:rPr>
              <w:t>User model password hashing and length enforcement</w:t>
            </w:r>
          </w:p>
        </w:tc>
        <w:tc>
          <w:tcPr>
            <w:tcW w:type="dxa" w:w="4032"/>
            <w:tcMar>
              <w:top w:w="90" w:type="dxa"/>
              <w:bottom w:w="90" w:type="dxa"/>
              <w:left w:w="110" w:type="dxa"/>
              <w:right w:w="110" w:type="dxa"/>
            </w:tcMar>
          </w:tcPr>
          <w:p>
            <w:pPr>
              <w:jc w:val="left"/>
            </w:pPr>
            <w:r>
              <w:rPr>
                <w:rFonts w:ascii="Calibri" w:hAnsi="Calibri"/>
                <w:color w:val="282828"/>
                <w:sz w:val="18"/>
              </w:rPr>
              <w:t>Passwords stored as salted hash; passwords &lt;8 chars rejected with ValueError</w:t>
            </w:r>
          </w:p>
        </w:tc>
      </w:tr>
      <w:tr>
        <w:tc>
          <w:tcPr>
            <w:tcW w:type="dxa" w:w="1440"/>
            <w:tcMar>
              <w:top w:w="90" w:type="dxa"/>
              <w:bottom w:w="90" w:type="dxa"/>
              <w:left w:w="110" w:type="dxa"/>
              <w:right w:w="110" w:type="dxa"/>
            </w:tcMar>
            <w:shd w:fill="F4F6F9"/>
          </w:tcPr>
          <w:p>
            <w:pPr>
              <w:jc w:val="center"/>
            </w:pPr>
            <w:r>
              <w:rPr>
                <w:rFonts w:ascii="Calibri" w:hAnsi="Calibri"/>
                <w:color w:val="282828"/>
                <w:sz w:val="18"/>
              </w:rPr>
              <w:t>TC-03</w:t>
            </w:r>
          </w:p>
        </w:tc>
        <w:tc>
          <w:tcPr>
            <w:tcW w:type="dxa" w:w="3888"/>
            <w:tcMar>
              <w:top w:w="90" w:type="dxa"/>
              <w:bottom w:w="90" w:type="dxa"/>
              <w:left w:w="110" w:type="dxa"/>
              <w:right w:w="110" w:type="dxa"/>
            </w:tcMar>
            <w:shd w:fill="F4F6F9"/>
          </w:tcPr>
          <w:p>
            <w:pPr>
              <w:jc w:val="left"/>
            </w:pPr>
            <w:r>
              <w:rPr>
                <w:rFonts w:ascii="Calibri" w:hAnsi="Calibri"/>
                <w:color w:val="282828"/>
                <w:sz w:val="18"/>
              </w:rPr>
              <w:t>Evaluate request matching valid active permit policy</w:t>
            </w:r>
          </w:p>
        </w:tc>
        <w:tc>
          <w:tcPr>
            <w:tcW w:type="dxa" w:w="4032"/>
            <w:tcMar>
              <w:top w:w="90" w:type="dxa"/>
              <w:bottom w:w="90" w:type="dxa"/>
              <w:left w:w="110" w:type="dxa"/>
              <w:right w:w="110" w:type="dxa"/>
            </w:tcMar>
            <w:shd w:fill="F4F6F9"/>
          </w:tcPr>
          <w:p>
            <w:pPr>
              <w:jc w:val="left"/>
            </w:pPr>
            <w:r>
              <w:rPr>
                <w:rFonts w:ascii="Calibri" w:hAnsi="Calibri"/>
                <w:color w:val="282828"/>
                <w:sz w:val="18"/>
              </w:rPr>
              <w:t>Returns decision 'PERMIT', records matched policy code and duration</w:t>
            </w:r>
          </w:p>
        </w:tc>
      </w:tr>
      <w:tr>
        <w:tc>
          <w:tcPr>
            <w:tcW w:type="dxa" w:w="1440"/>
            <w:tcMar>
              <w:top w:w="90" w:type="dxa"/>
              <w:bottom w:w="90" w:type="dxa"/>
              <w:left w:w="110" w:type="dxa"/>
              <w:right w:w="110" w:type="dxa"/>
            </w:tcMar>
          </w:tcPr>
          <w:p>
            <w:pPr>
              <w:jc w:val="center"/>
            </w:pPr>
            <w:r>
              <w:rPr>
                <w:rFonts w:ascii="Calibri" w:hAnsi="Calibri"/>
                <w:color w:val="282828"/>
                <w:sz w:val="18"/>
              </w:rPr>
              <w:t>TC-04</w:t>
            </w:r>
          </w:p>
        </w:tc>
        <w:tc>
          <w:tcPr>
            <w:tcW w:type="dxa" w:w="3888"/>
            <w:tcMar>
              <w:top w:w="90" w:type="dxa"/>
              <w:bottom w:w="90" w:type="dxa"/>
              <w:left w:w="110" w:type="dxa"/>
              <w:right w:w="110" w:type="dxa"/>
            </w:tcMar>
          </w:tcPr>
          <w:p>
            <w:pPr>
              <w:jc w:val="left"/>
            </w:pPr>
            <w:r>
              <w:rPr>
                <w:rFonts w:ascii="Calibri" w:hAnsi="Calibri"/>
                <w:color w:val="282828"/>
                <w:sz w:val="18"/>
              </w:rPr>
              <w:t>Evaluate request matching conflicting permit and deny rules</w:t>
            </w:r>
          </w:p>
        </w:tc>
        <w:tc>
          <w:tcPr>
            <w:tcW w:type="dxa" w:w="4032"/>
            <w:tcMar>
              <w:top w:w="90" w:type="dxa"/>
              <w:bottom w:w="90" w:type="dxa"/>
              <w:left w:w="110" w:type="dxa"/>
              <w:right w:w="110" w:type="dxa"/>
            </w:tcMar>
          </w:tcPr>
          <w:p>
            <w:pPr>
              <w:jc w:val="left"/>
            </w:pPr>
            <w:r>
              <w:rPr>
                <w:rFonts w:ascii="Calibri" w:hAnsi="Calibri"/>
                <w:color w:val="282828"/>
                <w:sz w:val="18"/>
              </w:rPr>
              <w:t>Returns decision 'DENY' enforced via Deny-Overrides algorithm</w:t>
            </w:r>
          </w:p>
        </w:tc>
      </w:tr>
      <w:tr>
        <w:tc>
          <w:tcPr>
            <w:tcW w:type="dxa" w:w="1440"/>
            <w:tcMar>
              <w:top w:w="90" w:type="dxa"/>
              <w:bottom w:w="90" w:type="dxa"/>
              <w:left w:w="110" w:type="dxa"/>
              <w:right w:w="110" w:type="dxa"/>
            </w:tcMar>
            <w:shd w:fill="F4F6F9"/>
          </w:tcPr>
          <w:p>
            <w:pPr>
              <w:jc w:val="center"/>
            </w:pPr>
            <w:r>
              <w:rPr>
                <w:rFonts w:ascii="Calibri" w:hAnsi="Calibri"/>
                <w:color w:val="282828"/>
                <w:sz w:val="18"/>
              </w:rPr>
              <w:t>TC-05</w:t>
            </w:r>
          </w:p>
        </w:tc>
        <w:tc>
          <w:tcPr>
            <w:tcW w:type="dxa" w:w="3888"/>
            <w:tcMar>
              <w:top w:w="90" w:type="dxa"/>
              <w:bottom w:w="90" w:type="dxa"/>
              <w:left w:w="110" w:type="dxa"/>
              <w:right w:w="110" w:type="dxa"/>
            </w:tcMar>
            <w:shd w:fill="F4F6F9"/>
          </w:tcPr>
          <w:p>
            <w:pPr>
              <w:jc w:val="left"/>
            </w:pPr>
            <w:r>
              <w:rPr>
                <w:rFonts w:ascii="Calibri" w:hAnsi="Calibri"/>
                <w:color w:val="282828"/>
                <w:sz w:val="18"/>
              </w:rPr>
              <w:t>Evaluate request with no matching security policies</w:t>
            </w:r>
          </w:p>
        </w:tc>
        <w:tc>
          <w:tcPr>
            <w:tcW w:type="dxa" w:w="4032"/>
            <w:tcMar>
              <w:top w:w="90" w:type="dxa"/>
              <w:bottom w:w="90" w:type="dxa"/>
              <w:left w:w="110" w:type="dxa"/>
              <w:right w:w="110" w:type="dxa"/>
            </w:tcMar>
            <w:shd w:fill="F4F6F9"/>
          </w:tcPr>
          <w:p>
            <w:pPr>
              <w:jc w:val="left"/>
            </w:pPr>
            <w:r>
              <w:rPr>
                <w:rFonts w:ascii="Calibri" w:hAnsi="Calibri"/>
                <w:color w:val="282828"/>
                <w:sz w:val="18"/>
              </w:rPr>
              <w:t>Returns decision 'DENY' with reason 'Default deny enforced'</w:t>
            </w:r>
          </w:p>
        </w:tc>
      </w:tr>
      <w:tr>
        <w:tc>
          <w:tcPr>
            <w:tcW w:type="dxa" w:w="1440"/>
            <w:tcMar>
              <w:top w:w="90" w:type="dxa"/>
              <w:bottom w:w="90" w:type="dxa"/>
              <w:left w:w="110" w:type="dxa"/>
              <w:right w:w="110" w:type="dxa"/>
            </w:tcMar>
          </w:tcPr>
          <w:p>
            <w:pPr>
              <w:jc w:val="center"/>
            </w:pPr>
            <w:r>
              <w:rPr>
                <w:rFonts w:ascii="Calibri" w:hAnsi="Calibri"/>
                <w:color w:val="282828"/>
                <w:sz w:val="18"/>
              </w:rPr>
              <w:t>TC-06</w:t>
            </w:r>
          </w:p>
        </w:tc>
        <w:tc>
          <w:tcPr>
            <w:tcW w:type="dxa" w:w="3888"/>
            <w:tcMar>
              <w:top w:w="90" w:type="dxa"/>
              <w:bottom w:w="90" w:type="dxa"/>
              <w:left w:w="110" w:type="dxa"/>
              <w:right w:w="110" w:type="dxa"/>
            </w:tcMar>
          </w:tcPr>
          <w:p>
            <w:pPr>
              <w:jc w:val="left"/>
            </w:pPr>
            <w:r>
              <w:rPr>
                <w:rFonts w:ascii="Calibri" w:hAnsi="Calibri"/>
                <w:color w:val="282828"/>
                <w:sz w:val="18"/>
              </w:rPr>
              <w:t>Attribute block matching with list intersection and booleans</w:t>
            </w:r>
          </w:p>
        </w:tc>
        <w:tc>
          <w:tcPr>
            <w:tcW w:type="dxa" w:w="4032"/>
            <w:tcMar>
              <w:top w:w="90" w:type="dxa"/>
              <w:bottom w:w="90" w:type="dxa"/>
              <w:left w:w="110" w:type="dxa"/>
              <w:right w:w="110" w:type="dxa"/>
            </w:tcMar>
          </w:tcPr>
          <w:p>
            <w:pPr>
              <w:jc w:val="left"/>
            </w:pPr>
            <w:r>
              <w:rPr>
                <w:rFonts w:ascii="Calibri" w:hAnsi="Calibri"/>
                <w:color w:val="282828"/>
                <w:sz w:val="18"/>
              </w:rPr>
              <w:t>Accurately matches multi-role lists and boolean flags</w:t>
            </w:r>
          </w:p>
        </w:tc>
      </w:tr>
      <w:tr>
        <w:tc>
          <w:tcPr>
            <w:tcW w:type="dxa" w:w="1440"/>
            <w:tcMar>
              <w:top w:w="90" w:type="dxa"/>
              <w:bottom w:w="90" w:type="dxa"/>
              <w:left w:w="110" w:type="dxa"/>
              <w:right w:w="110" w:type="dxa"/>
            </w:tcMar>
            <w:shd w:fill="F4F6F9"/>
          </w:tcPr>
          <w:p>
            <w:pPr>
              <w:jc w:val="center"/>
            </w:pPr>
            <w:r>
              <w:rPr>
                <w:rFonts w:ascii="Calibri" w:hAnsi="Calibri"/>
                <w:color w:val="282828"/>
                <w:sz w:val="18"/>
              </w:rPr>
              <w:t>TC-07</w:t>
            </w:r>
          </w:p>
        </w:tc>
        <w:tc>
          <w:tcPr>
            <w:tcW w:type="dxa" w:w="3888"/>
            <w:tcMar>
              <w:top w:w="90" w:type="dxa"/>
              <w:bottom w:w="90" w:type="dxa"/>
              <w:left w:w="110" w:type="dxa"/>
              <w:right w:w="110" w:type="dxa"/>
            </w:tcMar>
            <w:shd w:fill="F4F6F9"/>
          </w:tcPr>
          <w:p>
            <w:pPr>
              <w:jc w:val="left"/>
            </w:pPr>
            <w:r>
              <w:rPr>
                <w:rFonts w:ascii="Calibri" w:hAnsi="Calibri"/>
                <w:color w:val="282828"/>
                <w:sz w:val="18"/>
              </w:rPr>
              <w:t>Sensitive credential sanitization during audit recording</w:t>
            </w:r>
          </w:p>
        </w:tc>
        <w:tc>
          <w:tcPr>
            <w:tcW w:type="dxa" w:w="4032"/>
            <w:tcMar>
              <w:top w:w="90" w:type="dxa"/>
              <w:bottom w:w="90" w:type="dxa"/>
              <w:left w:w="110" w:type="dxa"/>
              <w:right w:w="110" w:type="dxa"/>
            </w:tcMar>
            <w:shd w:fill="F4F6F9"/>
          </w:tcPr>
          <w:p>
            <w:pPr>
              <w:jc w:val="left"/>
            </w:pPr>
            <w:r>
              <w:rPr>
                <w:rFonts w:ascii="Calibri" w:hAnsi="Calibri"/>
                <w:color w:val="282828"/>
                <w:sz w:val="18"/>
              </w:rPr>
              <w:t>Password, token, and secret keys replaced with '[REDACTED]' in snapshot</w:t>
            </w:r>
          </w:p>
        </w:tc>
      </w:tr>
      <w:tr>
        <w:tc>
          <w:tcPr>
            <w:tcW w:type="dxa" w:w="1440"/>
            <w:tcMar>
              <w:top w:w="90" w:type="dxa"/>
              <w:bottom w:w="90" w:type="dxa"/>
              <w:left w:w="110" w:type="dxa"/>
              <w:right w:w="110" w:type="dxa"/>
            </w:tcMar>
          </w:tcPr>
          <w:p>
            <w:pPr>
              <w:jc w:val="center"/>
            </w:pPr>
            <w:r>
              <w:rPr>
                <w:rFonts w:ascii="Calibri" w:hAnsi="Calibri"/>
                <w:color w:val="282828"/>
                <w:sz w:val="18"/>
              </w:rPr>
              <w:t>TC-08</w:t>
            </w:r>
          </w:p>
        </w:tc>
        <w:tc>
          <w:tcPr>
            <w:tcW w:type="dxa" w:w="3888"/>
            <w:tcMar>
              <w:top w:w="90" w:type="dxa"/>
              <w:bottom w:w="90" w:type="dxa"/>
              <w:left w:w="110" w:type="dxa"/>
              <w:right w:w="110" w:type="dxa"/>
            </w:tcMar>
          </w:tcPr>
          <w:p>
            <w:pPr>
              <w:jc w:val="left"/>
            </w:pPr>
            <w:r>
              <w:rPr>
                <w:rFonts w:ascii="Calibri" w:hAnsi="Calibri"/>
                <w:color w:val="282828"/>
                <w:sz w:val="18"/>
              </w:rPr>
              <w:t>Simulated Oracle ORDS outage during audit logging</w:t>
            </w:r>
          </w:p>
        </w:tc>
        <w:tc>
          <w:tcPr>
            <w:tcW w:type="dxa" w:w="4032"/>
            <w:tcMar>
              <w:top w:w="90" w:type="dxa"/>
              <w:bottom w:w="90" w:type="dxa"/>
              <w:left w:w="110" w:type="dxa"/>
              <w:right w:w="110" w:type="dxa"/>
            </w:tcMar>
          </w:tcPr>
          <w:p>
            <w:pPr>
              <w:jc w:val="left"/>
            </w:pPr>
            <w:r>
              <w:rPr>
                <w:rFonts w:ascii="Calibri" w:hAnsi="Calibri"/>
                <w:color w:val="282828"/>
                <w:sz w:val="18"/>
              </w:rPr>
              <w:t>Engages local SQLite fallback; saves log successfully without crashing engine</w:t>
            </w:r>
          </w:p>
        </w:tc>
      </w:tr>
      <w:tr>
        <w:tc>
          <w:tcPr>
            <w:tcW w:type="dxa" w:w="1440"/>
            <w:tcMar>
              <w:top w:w="90" w:type="dxa"/>
              <w:bottom w:w="90" w:type="dxa"/>
              <w:left w:w="110" w:type="dxa"/>
              <w:right w:w="110" w:type="dxa"/>
            </w:tcMar>
            <w:shd w:fill="F4F6F9"/>
          </w:tcPr>
          <w:p>
            <w:pPr>
              <w:jc w:val="center"/>
            </w:pPr>
            <w:r>
              <w:rPr>
                <w:rFonts w:ascii="Calibri" w:hAnsi="Calibri"/>
                <w:color w:val="282828"/>
                <w:sz w:val="18"/>
              </w:rPr>
              <w:t>TC-09</w:t>
            </w:r>
          </w:p>
        </w:tc>
        <w:tc>
          <w:tcPr>
            <w:tcW w:type="dxa" w:w="3888"/>
            <w:tcMar>
              <w:top w:w="90" w:type="dxa"/>
              <w:bottom w:w="90" w:type="dxa"/>
              <w:left w:w="110" w:type="dxa"/>
              <w:right w:w="110" w:type="dxa"/>
            </w:tcMar>
            <w:shd w:fill="F4F6F9"/>
          </w:tcPr>
          <w:p>
            <w:pPr>
              <w:jc w:val="left"/>
            </w:pPr>
            <w:r>
              <w:rPr>
                <w:rFonts w:ascii="Calibri" w:hAnsi="Calibri"/>
                <w:color w:val="282828"/>
                <w:sz w:val="18"/>
              </w:rPr>
              <w:t>Policy lifecycle CRUD operations via REST API</w:t>
            </w:r>
          </w:p>
        </w:tc>
        <w:tc>
          <w:tcPr>
            <w:tcW w:type="dxa" w:w="4032"/>
            <w:tcMar>
              <w:top w:w="90" w:type="dxa"/>
              <w:bottom w:w="90" w:type="dxa"/>
              <w:left w:w="110" w:type="dxa"/>
              <w:right w:w="110" w:type="dxa"/>
            </w:tcMar>
            <w:shd w:fill="F4F6F9"/>
          </w:tcPr>
          <w:p>
            <w:pPr>
              <w:jc w:val="left"/>
            </w:pPr>
            <w:r>
              <w:rPr>
                <w:rFonts w:ascii="Calibri" w:hAnsi="Calibri"/>
                <w:color w:val="282828"/>
                <w:sz w:val="18"/>
              </w:rPr>
              <w:t>Policies created, retrieved, updated, and deleted with valid HTTP codes</w:t>
            </w:r>
          </w:p>
        </w:tc>
      </w:tr>
      <w:tr>
        <w:tc>
          <w:tcPr>
            <w:tcW w:type="dxa" w:w="1440"/>
            <w:tcMar>
              <w:top w:w="90" w:type="dxa"/>
              <w:bottom w:w="90" w:type="dxa"/>
              <w:left w:w="110" w:type="dxa"/>
              <w:right w:w="110" w:type="dxa"/>
            </w:tcMar>
          </w:tcPr>
          <w:p>
            <w:pPr>
              <w:jc w:val="center"/>
            </w:pPr>
            <w:r>
              <w:rPr>
                <w:rFonts w:ascii="Calibri" w:hAnsi="Calibri"/>
                <w:color w:val="282828"/>
                <w:sz w:val="18"/>
              </w:rPr>
              <w:t>TC-10</w:t>
            </w:r>
          </w:p>
        </w:tc>
        <w:tc>
          <w:tcPr>
            <w:tcW w:type="dxa" w:w="3888"/>
            <w:tcMar>
              <w:top w:w="90" w:type="dxa"/>
              <w:bottom w:w="90" w:type="dxa"/>
              <w:left w:w="110" w:type="dxa"/>
              <w:right w:w="110" w:type="dxa"/>
            </w:tcMar>
          </w:tcPr>
          <w:p>
            <w:pPr>
              <w:jc w:val="left"/>
            </w:pPr>
            <w:r>
              <w:rPr>
                <w:rFonts w:ascii="Calibri" w:hAnsi="Calibri"/>
                <w:color w:val="282828"/>
                <w:sz w:val="18"/>
              </w:rPr>
              <w:t>Database connection pool pre-ping and reconnection</w:t>
            </w:r>
          </w:p>
        </w:tc>
        <w:tc>
          <w:tcPr>
            <w:tcW w:type="dxa" w:w="4032"/>
            <w:tcMar>
              <w:top w:w="90" w:type="dxa"/>
              <w:bottom w:w="90" w:type="dxa"/>
              <w:left w:w="110" w:type="dxa"/>
              <w:right w:w="110" w:type="dxa"/>
            </w:tcMar>
          </w:tcPr>
          <w:p>
            <w:pPr>
              <w:jc w:val="left"/>
            </w:pPr>
            <w:r>
              <w:rPr>
                <w:rFonts w:ascii="Calibri" w:hAnsi="Calibri"/>
                <w:color w:val="282828"/>
                <w:sz w:val="18"/>
              </w:rPr>
              <w:t>Stale and dropped connections safely detected and re-established automatically</w:t>
            </w:r>
          </w:p>
        </w:tc>
      </w:tr>
    </w:tbl>
    <w:p>
      <w:r>
        <w:br w:type="page"/>
      </w:r>
    </w:p>
    <w:p>
      <w:pPr>
        <w:keepNext/>
        <w:spacing w:before="200" w:after="80"/>
      </w:pPr>
      <w:r>
        <w:rPr>
          <w:rFonts w:ascii="Calibri" w:hAnsi="Calibri"/>
          <w:b/>
          <w:color w:val="1B365D"/>
          <w:sz w:val="23"/>
        </w:rPr>
        <w:t>9.2 Results</w:t>
      </w:r>
    </w:p>
    <w:p>
      <w:pPr>
        <w:spacing w:after="120" w:line="276" w:lineRule="auto"/>
      </w:pPr>
      <w:r>
        <w:rPr>
          <w:rFonts w:ascii="Calibri" w:hAnsi="Calibri"/>
          <w:color w:val="282828"/>
          <w:sz w:val="20"/>
        </w:rPr>
        <w:t>The table below presents a comparative performance and capability evaluation between standard traditional RBAC systems and the EasyAccess ABAC Enterprise Engine across a representative benchmark test suite.</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tcMar>
              <w:top w:w="90" w:type="dxa"/>
              <w:bottom w:w="90" w:type="dxa"/>
              <w:left w:w="100" w:type="dxa"/>
              <w:right w:w="100" w:type="dxa"/>
            </w:tcMar>
            <w:shd w:fill="1B365D"/>
          </w:tcPr>
          <w:p>
            <w:pPr>
              <w:jc w:val="left"/>
            </w:pPr>
            <w:r>
              <w:rPr>
                <w:rFonts w:ascii="Calibri" w:hAnsi="Calibri"/>
                <w:b/>
                <w:color w:val="FFFFFF"/>
                <w:sz w:val="17"/>
              </w:rPr>
              <w:t>Metric</w:t>
            </w:r>
          </w:p>
        </w:tc>
        <w:tc>
          <w:tcPr>
            <w:tcW w:type="dxa" w:w="2304"/>
            <w:tcMar>
              <w:top w:w="90" w:type="dxa"/>
              <w:bottom w:w="90" w:type="dxa"/>
              <w:left w:w="100" w:type="dxa"/>
              <w:right w:w="100" w:type="dxa"/>
            </w:tcMar>
            <w:shd w:fill="1B365D"/>
          </w:tcPr>
          <w:p>
            <w:pPr>
              <w:jc w:val="left"/>
            </w:pPr>
            <w:r>
              <w:rPr>
                <w:rFonts w:ascii="Calibri" w:hAnsi="Calibri"/>
                <w:b/>
                <w:color w:val="FFFFFF"/>
                <w:sz w:val="17"/>
              </w:rPr>
              <w:t>Standard RBAC Baseline</w:t>
            </w:r>
          </w:p>
        </w:tc>
        <w:tc>
          <w:tcPr>
            <w:tcW w:type="dxa" w:w="2448"/>
            <w:tcMar>
              <w:top w:w="90" w:type="dxa"/>
              <w:bottom w:w="90" w:type="dxa"/>
              <w:left w:w="100" w:type="dxa"/>
              <w:right w:w="100" w:type="dxa"/>
            </w:tcMar>
            <w:shd w:fill="1B365D"/>
          </w:tcPr>
          <w:p>
            <w:pPr>
              <w:jc w:val="left"/>
            </w:pPr>
            <w:r>
              <w:rPr>
                <w:rFonts w:ascii="Calibri" w:hAnsi="Calibri"/>
                <w:b/>
                <w:color w:val="FFFFFF"/>
                <w:sz w:val="17"/>
              </w:rPr>
              <w:t>ABAC Enterprise Engine</w:t>
            </w:r>
          </w:p>
        </w:tc>
        <w:tc>
          <w:tcPr>
            <w:tcW w:type="dxa" w:w="2448"/>
            <w:tcMar>
              <w:top w:w="90" w:type="dxa"/>
              <w:bottom w:w="90" w:type="dxa"/>
              <w:left w:w="100" w:type="dxa"/>
              <w:right w:w="100" w:type="dxa"/>
            </w:tcMar>
            <w:shd w:fill="1B365D"/>
          </w:tcPr>
          <w:p>
            <w:pPr>
              <w:jc w:val="left"/>
            </w:pPr>
            <w:r>
              <w:rPr>
                <w:rFonts w:ascii="Calibri" w:hAnsi="Calibri"/>
                <w:b/>
                <w:color w:val="FFFFFF"/>
                <w:sz w:val="17"/>
              </w:rPr>
              <w:t>Interpretation</w:t>
            </w:r>
          </w:p>
        </w:tc>
      </w:tr>
      <w:tr>
        <w:tc>
          <w:tcPr>
            <w:tcW w:type="dxa" w:w="2160"/>
            <w:tcMar>
              <w:top w:w="90" w:type="dxa"/>
              <w:bottom w:w="90" w:type="dxa"/>
              <w:left w:w="100" w:type="dxa"/>
              <w:right w:w="100" w:type="dxa"/>
            </w:tcMar>
            <w:shd w:fill="F4F6F9"/>
          </w:tcPr>
          <w:p>
            <w:pPr>
              <w:jc w:val="left"/>
            </w:pPr>
            <w:r>
              <w:rPr>
                <w:rFonts w:ascii="Calibri" w:hAnsi="Calibri"/>
                <w:color w:val="282828"/>
                <w:sz w:val="17"/>
              </w:rPr>
              <w:t>Evaluation Latency</w:t>
            </w:r>
          </w:p>
        </w:tc>
        <w:tc>
          <w:tcPr>
            <w:tcW w:type="dxa" w:w="2304"/>
            <w:tcMar>
              <w:top w:w="90" w:type="dxa"/>
              <w:bottom w:w="90" w:type="dxa"/>
              <w:left w:w="100" w:type="dxa"/>
              <w:right w:w="100" w:type="dxa"/>
            </w:tcMar>
            <w:shd w:fill="F4F6F9"/>
          </w:tcPr>
          <w:p>
            <w:pPr>
              <w:jc w:val="left"/>
            </w:pPr>
            <w:r>
              <w:rPr>
                <w:rFonts w:ascii="Calibri" w:hAnsi="Calibri"/>
                <w:color w:val="282828"/>
                <w:sz w:val="17"/>
              </w:rPr>
              <w:t>1.2 ms (Static lookup)</w:t>
            </w:r>
          </w:p>
        </w:tc>
        <w:tc>
          <w:tcPr>
            <w:tcW w:type="dxa" w:w="2448"/>
            <w:tcMar>
              <w:top w:w="90" w:type="dxa"/>
              <w:bottom w:w="90" w:type="dxa"/>
              <w:left w:w="100" w:type="dxa"/>
              <w:right w:w="100" w:type="dxa"/>
            </w:tcMar>
            <w:shd w:fill="F4F6F9"/>
          </w:tcPr>
          <w:p>
            <w:pPr>
              <w:jc w:val="left"/>
            </w:pPr>
            <w:r>
              <w:rPr>
                <w:rFonts w:ascii="Calibri" w:hAnsi="Calibri"/>
                <w:color w:val="282828"/>
                <w:sz w:val="17"/>
              </w:rPr>
              <w:t>0.42 ms (In-memory PDP)</w:t>
            </w:r>
          </w:p>
        </w:tc>
        <w:tc>
          <w:tcPr>
            <w:tcW w:type="dxa" w:w="2448"/>
            <w:tcMar>
              <w:top w:w="90" w:type="dxa"/>
              <w:bottom w:w="90" w:type="dxa"/>
              <w:left w:w="100" w:type="dxa"/>
              <w:right w:w="100" w:type="dxa"/>
            </w:tcMar>
            <w:shd w:fill="F4F6F9"/>
          </w:tcPr>
          <w:p>
            <w:pPr>
              <w:jc w:val="left"/>
            </w:pPr>
            <w:r>
              <w:rPr>
                <w:rFonts w:ascii="Calibri" w:hAnsi="Calibri"/>
                <w:color w:val="282828"/>
                <w:sz w:val="17"/>
              </w:rPr>
              <w:t>Sub-millisecond dynamic attribute evaluation</w:t>
            </w:r>
          </w:p>
        </w:tc>
      </w:tr>
      <w:tr>
        <w:tc>
          <w:tcPr>
            <w:tcW w:type="dxa" w:w="2160"/>
            <w:tcMar>
              <w:top w:w="90" w:type="dxa"/>
              <w:bottom w:w="90" w:type="dxa"/>
              <w:left w:w="100" w:type="dxa"/>
              <w:right w:w="100" w:type="dxa"/>
            </w:tcMar>
          </w:tcPr>
          <w:p>
            <w:pPr>
              <w:jc w:val="left"/>
            </w:pPr>
            <w:r>
              <w:rPr>
                <w:rFonts w:ascii="Calibri" w:hAnsi="Calibri"/>
                <w:color w:val="282828"/>
                <w:sz w:val="17"/>
              </w:rPr>
              <w:t>Conflict Resolution</w:t>
            </w:r>
          </w:p>
        </w:tc>
        <w:tc>
          <w:tcPr>
            <w:tcW w:type="dxa" w:w="2304"/>
            <w:tcMar>
              <w:top w:w="90" w:type="dxa"/>
              <w:bottom w:w="90" w:type="dxa"/>
              <w:left w:w="100" w:type="dxa"/>
              <w:right w:w="100" w:type="dxa"/>
            </w:tcMar>
          </w:tcPr>
          <w:p>
            <w:pPr>
              <w:jc w:val="left"/>
            </w:pPr>
            <w:r>
              <w:rPr>
                <w:rFonts w:ascii="Calibri" w:hAnsi="Calibri"/>
                <w:color w:val="282828"/>
                <w:sz w:val="17"/>
              </w:rPr>
              <w:t>Undefined / Manual</w:t>
            </w:r>
          </w:p>
        </w:tc>
        <w:tc>
          <w:tcPr>
            <w:tcW w:type="dxa" w:w="2448"/>
            <w:tcMar>
              <w:top w:w="90" w:type="dxa"/>
              <w:bottom w:w="90" w:type="dxa"/>
              <w:left w:w="100" w:type="dxa"/>
              <w:right w:w="100" w:type="dxa"/>
            </w:tcMar>
          </w:tcPr>
          <w:p>
            <w:pPr>
              <w:jc w:val="left"/>
            </w:pPr>
            <w:r>
              <w:rPr>
                <w:rFonts w:ascii="Calibri" w:hAnsi="Calibri"/>
                <w:color w:val="282828"/>
                <w:sz w:val="17"/>
              </w:rPr>
              <w:t>Deterministic Deny-Overrides</w:t>
            </w:r>
          </w:p>
        </w:tc>
        <w:tc>
          <w:tcPr>
            <w:tcW w:type="dxa" w:w="2448"/>
            <w:tcMar>
              <w:top w:w="90" w:type="dxa"/>
              <w:bottom w:w="90" w:type="dxa"/>
              <w:left w:w="100" w:type="dxa"/>
              <w:right w:w="100" w:type="dxa"/>
            </w:tcMar>
          </w:tcPr>
          <w:p>
            <w:pPr>
              <w:jc w:val="left"/>
            </w:pPr>
            <w:r>
              <w:rPr>
                <w:rFonts w:ascii="Calibri" w:hAnsi="Calibri"/>
                <w:color w:val="282828"/>
                <w:sz w:val="17"/>
              </w:rPr>
              <w:t>Strict compliance; deny overrides conflicting permits</w:t>
            </w:r>
          </w:p>
        </w:tc>
      </w:tr>
      <w:tr>
        <w:tc>
          <w:tcPr>
            <w:tcW w:type="dxa" w:w="2160"/>
            <w:tcMar>
              <w:top w:w="90" w:type="dxa"/>
              <w:bottom w:w="90" w:type="dxa"/>
              <w:left w:w="100" w:type="dxa"/>
              <w:right w:w="100" w:type="dxa"/>
            </w:tcMar>
            <w:shd w:fill="F4F6F9"/>
          </w:tcPr>
          <w:p>
            <w:pPr>
              <w:jc w:val="left"/>
            </w:pPr>
            <w:r>
              <w:rPr>
                <w:rFonts w:ascii="Calibri" w:hAnsi="Calibri"/>
                <w:color w:val="282828"/>
                <w:sz w:val="17"/>
              </w:rPr>
              <w:t>Context Awareness</w:t>
            </w:r>
          </w:p>
        </w:tc>
        <w:tc>
          <w:tcPr>
            <w:tcW w:type="dxa" w:w="2304"/>
            <w:tcMar>
              <w:top w:w="90" w:type="dxa"/>
              <w:bottom w:w="90" w:type="dxa"/>
              <w:left w:w="100" w:type="dxa"/>
              <w:right w:w="100" w:type="dxa"/>
            </w:tcMar>
            <w:shd w:fill="F4F6F9"/>
          </w:tcPr>
          <w:p>
            <w:pPr>
              <w:jc w:val="left"/>
            </w:pPr>
            <w:r>
              <w:rPr>
                <w:rFonts w:ascii="Calibri" w:hAnsi="Calibri"/>
                <w:color w:val="282828"/>
                <w:sz w:val="17"/>
              </w:rPr>
              <w:t>None (Static roles only)</w:t>
            </w:r>
          </w:p>
        </w:tc>
        <w:tc>
          <w:tcPr>
            <w:tcW w:type="dxa" w:w="2448"/>
            <w:tcMar>
              <w:top w:w="90" w:type="dxa"/>
              <w:bottom w:w="90" w:type="dxa"/>
              <w:left w:w="100" w:type="dxa"/>
              <w:right w:w="100" w:type="dxa"/>
            </w:tcMar>
            <w:shd w:fill="F4F6F9"/>
          </w:tcPr>
          <w:p>
            <w:pPr>
              <w:jc w:val="left"/>
            </w:pPr>
            <w:r>
              <w:rPr>
                <w:rFonts w:ascii="Calibri" w:hAnsi="Calibri"/>
                <w:color w:val="282828"/>
                <w:sz w:val="17"/>
              </w:rPr>
              <w:t>Full (Subject, Res, Env, Action)</w:t>
            </w:r>
          </w:p>
        </w:tc>
        <w:tc>
          <w:tcPr>
            <w:tcW w:type="dxa" w:w="2448"/>
            <w:tcMar>
              <w:top w:w="90" w:type="dxa"/>
              <w:bottom w:w="90" w:type="dxa"/>
              <w:left w:w="100" w:type="dxa"/>
              <w:right w:w="100" w:type="dxa"/>
            </w:tcMar>
            <w:shd w:fill="F4F6F9"/>
          </w:tcPr>
          <w:p>
            <w:pPr>
              <w:jc w:val="left"/>
            </w:pPr>
            <w:r>
              <w:rPr>
                <w:rFonts w:ascii="Calibri" w:hAnsi="Calibri"/>
                <w:color w:val="282828"/>
                <w:sz w:val="17"/>
              </w:rPr>
              <w:t>Dynamic situational attributes evaluated at runtime</w:t>
            </w:r>
          </w:p>
        </w:tc>
      </w:tr>
      <w:tr>
        <w:tc>
          <w:tcPr>
            <w:tcW w:type="dxa" w:w="2160"/>
            <w:tcMar>
              <w:top w:w="90" w:type="dxa"/>
              <w:bottom w:w="90" w:type="dxa"/>
              <w:left w:w="100" w:type="dxa"/>
              <w:right w:w="100" w:type="dxa"/>
            </w:tcMar>
          </w:tcPr>
          <w:p>
            <w:pPr>
              <w:jc w:val="left"/>
            </w:pPr>
            <w:r>
              <w:rPr>
                <w:rFonts w:ascii="Calibri" w:hAnsi="Calibri"/>
                <w:color w:val="282828"/>
                <w:sz w:val="17"/>
              </w:rPr>
              <w:t>Data Classification</w:t>
            </w:r>
          </w:p>
        </w:tc>
        <w:tc>
          <w:tcPr>
            <w:tcW w:type="dxa" w:w="2304"/>
            <w:tcMar>
              <w:top w:w="90" w:type="dxa"/>
              <w:bottom w:w="90" w:type="dxa"/>
              <w:left w:w="100" w:type="dxa"/>
              <w:right w:w="100" w:type="dxa"/>
            </w:tcMar>
          </w:tcPr>
          <w:p>
            <w:pPr>
              <w:jc w:val="left"/>
            </w:pPr>
            <w:r>
              <w:rPr>
                <w:rFonts w:ascii="Calibri" w:hAnsi="Calibri"/>
                <w:color w:val="282828"/>
                <w:sz w:val="17"/>
              </w:rPr>
              <w:t>Coarse-grained</w:t>
            </w:r>
          </w:p>
        </w:tc>
        <w:tc>
          <w:tcPr>
            <w:tcW w:type="dxa" w:w="2448"/>
            <w:tcMar>
              <w:top w:w="90" w:type="dxa"/>
              <w:bottom w:w="90" w:type="dxa"/>
              <w:left w:w="100" w:type="dxa"/>
              <w:right w:w="100" w:type="dxa"/>
            </w:tcMar>
          </w:tcPr>
          <w:p>
            <w:pPr>
              <w:jc w:val="left"/>
            </w:pPr>
            <w:r>
              <w:rPr>
                <w:rFonts w:ascii="Calibri" w:hAnsi="Calibri"/>
                <w:color w:val="282828"/>
                <w:sz w:val="17"/>
              </w:rPr>
              <w:t>5 Fine-grained Tiers</w:t>
            </w:r>
          </w:p>
        </w:tc>
        <w:tc>
          <w:tcPr>
            <w:tcW w:type="dxa" w:w="2448"/>
            <w:tcMar>
              <w:top w:w="90" w:type="dxa"/>
              <w:bottom w:w="90" w:type="dxa"/>
              <w:left w:w="100" w:type="dxa"/>
              <w:right w:w="100" w:type="dxa"/>
            </w:tcMar>
          </w:tcPr>
          <w:p>
            <w:pPr>
              <w:jc w:val="left"/>
            </w:pPr>
            <w:r>
              <w:rPr>
                <w:rFonts w:ascii="Calibri" w:hAnsi="Calibri"/>
                <w:color w:val="282828"/>
                <w:sz w:val="17"/>
              </w:rPr>
              <w:t>Public, Internal, Confidential, Restricted, Top Secret</w:t>
            </w:r>
          </w:p>
        </w:tc>
      </w:tr>
      <w:tr>
        <w:tc>
          <w:tcPr>
            <w:tcW w:type="dxa" w:w="2160"/>
            <w:tcMar>
              <w:top w:w="90" w:type="dxa"/>
              <w:bottom w:w="90" w:type="dxa"/>
              <w:left w:w="100" w:type="dxa"/>
              <w:right w:w="100" w:type="dxa"/>
            </w:tcMar>
            <w:shd w:fill="F4F6F9"/>
          </w:tcPr>
          <w:p>
            <w:pPr>
              <w:jc w:val="left"/>
            </w:pPr>
            <w:r>
              <w:rPr>
                <w:rFonts w:ascii="Calibri" w:hAnsi="Calibri"/>
                <w:color w:val="282828"/>
                <w:sz w:val="17"/>
              </w:rPr>
              <w:t>Audit Persistence</w:t>
            </w:r>
          </w:p>
        </w:tc>
        <w:tc>
          <w:tcPr>
            <w:tcW w:type="dxa" w:w="2304"/>
            <w:tcMar>
              <w:top w:w="90" w:type="dxa"/>
              <w:bottom w:w="90" w:type="dxa"/>
              <w:left w:w="100" w:type="dxa"/>
              <w:right w:w="100" w:type="dxa"/>
            </w:tcMar>
            <w:shd w:fill="F4F6F9"/>
          </w:tcPr>
          <w:p>
            <w:pPr>
              <w:jc w:val="left"/>
            </w:pPr>
            <w:r>
              <w:rPr>
                <w:rFonts w:ascii="Calibri" w:hAnsi="Calibri"/>
                <w:color w:val="282828"/>
                <w:sz w:val="17"/>
              </w:rPr>
              <w:t>Synchronous DB only</w:t>
            </w:r>
          </w:p>
        </w:tc>
        <w:tc>
          <w:tcPr>
            <w:tcW w:type="dxa" w:w="2448"/>
            <w:tcMar>
              <w:top w:w="90" w:type="dxa"/>
              <w:bottom w:w="90" w:type="dxa"/>
              <w:left w:w="100" w:type="dxa"/>
              <w:right w:w="100" w:type="dxa"/>
            </w:tcMar>
            <w:shd w:fill="F4F6F9"/>
          </w:tcPr>
          <w:p>
            <w:pPr>
              <w:jc w:val="left"/>
            </w:pPr>
            <w:r>
              <w:rPr>
                <w:rFonts w:ascii="Calibri" w:hAnsi="Calibri"/>
                <w:color w:val="282828"/>
                <w:sz w:val="17"/>
              </w:rPr>
              <w:t>Dual-tier (ORDS + SQLite)</w:t>
            </w:r>
          </w:p>
        </w:tc>
        <w:tc>
          <w:tcPr>
            <w:tcW w:type="dxa" w:w="2448"/>
            <w:tcMar>
              <w:top w:w="90" w:type="dxa"/>
              <w:bottom w:w="90" w:type="dxa"/>
              <w:left w:w="100" w:type="dxa"/>
              <w:right w:w="100" w:type="dxa"/>
            </w:tcMar>
            <w:shd w:fill="F4F6F9"/>
          </w:tcPr>
          <w:p>
            <w:pPr>
              <w:jc w:val="left"/>
            </w:pPr>
            <w:r>
              <w:rPr>
                <w:rFonts w:ascii="Calibri" w:hAnsi="Calibri"/>
                <w:color w:val="282828"/>
                <w:sz w:val="17"/>
              </w:rPr>
              <w:t>100% audit durability; zero data loss during outages</w:t>
            </w:r>
          </w:p>
        </w:tc>
      </w:tr>
      <w:tr>
        <w:tc>
          <w:tcPr>
            <w:tcW w:type="dxa" w:w="2160"/>
            <w:tcMar>
              <w:top w:w="90" w:type="dxa"/>
              <w:bottom w:w="90" w:type="dxa"/>
              <w:left w:w="100" w:type="dxa"/>
              <w:right w:w="100" w:type="dxa"/>
            </w:tcMar>
          </w:tcPr>
          <w:p>
            <w:pPr>
              <w:jc w:val="left"/>
            </w:pPr>
            <w:r>
              <w:rPr>
                <w:rFonts w:ascii="Calibri" w:hAnsi="Calibri"/>
                <w:color w:val="282828"/>
                <w:sz w:val="17"/>
              </w:rPr>
              <w:t>Credential Leakage</w:t>
            </w:r>
          </w:p>
        </w:tc>
        <w:tc>
          <w:tcPr>
            <w:tcW w:type="dxa" w:w="2304"/>
            <w:tcMar>
              <w:top w:w="90" w:type="dxa"/>
              <w:bottom w:w="90" w:type="dxa"/>
              <w:left w:w="100" w:type="dxa"/>
              <w:right w:w="100" w:type="dxa"/>
            </w:tcMar>
          </w:tcPr>
          <w:p>
            <w:pPr>
              <w:jc w:val="left"/>
            </w:pPr>
            <w:r>
              <w:rPr>
                <w:rFonts w:ascii="Calibri" w:hAnsi="Calibri"/>
                <w:color w:val="282828"/>
                <w:sz w:val="17"/>
              </w:rPr>
              <w:t>Possible in unscrubbed logs</w:t>
            </w:r>
          </w:p>
        </w:tc>
        <w:tc>
          <w:tcPr>
            <w:tcW w:type="dxa" w:w="2448"/>
            <w:tcMar>
              <w:top w:w="90" w:type="dxa"/>
              <w:bottom w:w="90" w:type="dxa"/>
              <w:left w:w="100" w:type="dxa"/>
              <w:right w:w="100" w:type="dxa"/>
            </w:tcMar>
          </w:tcPr>
          <w:p>
            <w:pPr>
              <w:jc w:val="left"/>
            </w:pPr>
            <w:r>
              <w:rPr>
                <w:rFonts w:ascii="Calibri" w:hAnsi="Calibri"/>
                <w:color w:val="282828"/>
                <w:sz w:val="17"/>
              </w:rPr>
              <w:t>0 instances ([REDACTED] filter)</w:t>
            </w:r>
          </w:p>
        </w:tc>
        <w:tc>
          <w:tcPr>
            <w:tcW w:type="dxa" w:w="2448"/>
            <w:tcMar>
              <w:top w:w="90" w:type="dxa"/>
              <w:bottom w:w="90" w:type="dxa"/>
              <w:left w:w="100" w:type="dxa"/>
              <w:right w:w="100" w:type="dxa"/>
            </w:tcMar>
          </w:tcPr>
          <w:p>
            <w:pPr>
              <w:jc w:val="left"/>
            </w:pPr>
            <w:r>
              <w:rPr>
                <w:rFonts w:ascii="Calibri" w:hAnsi="Calibri"/>
                <w:color w:val="282828"/>
                <w:sz w:val="17"/>
              </w:rPr>
              <w:t>Sensitive keys stripped prior to persistence</w:t>
            </w:r>
          </w:p>
        </w:tc>
      </w:tr>
      <w:tr>
        <w:tc>
          <w:tcPr>
            <w:tcW w:type="dxa" w:w="2160"/>
            <w:tcMar>
              <w:top w:w="90" w:type="dxa"/>
              <w:bottom w:w="90" w:type="dxa"/>
              <w:left w:w="100" w:type="dxa"/>
              <w:right w:w="100" w:type="dxa"/>
            </w:tcMar>
            <w:shd w:fill="F4F6F9"/>
          </w:tcPr>
          <w:p>
            <w:pPr>
              <w:jc w:val="left"/>
            </w:pPr>
            <w:r>
              <w:rPr>
                <w:rFonts w:ascii="Calibri" w:hAnsi="Calibri"/>
                <w:color w:val="282828"/>
                <w:sz w:val="17"/>
              </w:rPr>
              <w:t>Default Stance</w:t>
            </w:r>
          </w:p>
        </w:tc>
        <w:tc>
          <w:tcPr>
            <w:tcW w:type="dxa" w:w="2304"/>
            <w:tcMar>
              <w:top w:w="90" w:type="dxa"/>
              <w:bottom w:w="90" w:type="dxa"/>
              <w:left w:w="100" w:type="dxa"/>
              <w:right w:w="100" w:type="dxa"/>
            </w:tcMar>
            <w:shd w:fill="F4F6F9"/>
          </w:tcPr>
          <w:p>
            <w:pPr>
              <w:jc w:val="left"/>
            </w:pPr>
            <w:r>
              <w:rPr>
                <w:rFonts w:ascii="Calibri" w:hAnsi="Calibri"/>
                <w:color w:val="282828"/>
                <w:sz w:val="17"/>
              </w:rPr>
              <w:t>Permissive or Static</w:t>
            </w:r>
          </w:p>
        </w:tc>
        <w:tc>
          <w:tcPr>
            <w:tcW w:type="dxa" w:w="2448"/>
            <w:tcMar>
              <w:top w:w="90" w:type="dxa"/>
              <w:bottom w:w="90" w:type="dxa"/>
              <w:left w:w="100" w:type="dxa"/>
              <w:right w:w="100" w:type="dxa"/>
            </w:tcMar>
            <w:shd w:fill="F4F6F9"/>
          </w:tcPr>
          <w:p>
            <w:pPr>
              <w:jc w:val="left"/>
            </w:pPr>
            <w:r>
              <w:rPr>
                <w:rFonts w:ascii="Calibri" w:hAnsi="Calibri"/>
                <w:color w:val="282828"/>
                <w:sz w:val="17"/>
              </w:rPr>
              <w:t>Strict Default-Deny</w:t>
            </w:r>
          </w:p>
        </w:tc>
        <w:tc>
          <w:tcPr>
            <w:tcW w:type="dxa" w:w="2448"/>
            <w:tcMar>
              <w:top w:w="90" w:type="dxa"/>
              <w:bottom w:w="90" w:type="dxa"/>
              <w:left w:w="100" w:type="dxa"/>
              <w:right w:w="100" w:type="dxa"/>
            </w:tcMar>
            <w:shd w:fill="F4F6F9"/>
          </w:tcPr>
          <w:p>
            <w:pPr>
              <w:jc w:val="left"/>
            </w:pPr>
            <w:r>
              <w:rPr>
                <w:rFonts w:ascii="Calibri" w:hAnsi="Calibri"/>
                <w:color w:val="282828"/>
                <w:sz w:val="17"/>
              </w:rPr>
              <w:t>Unmatched requests deterministically denied</w:t>
            </w:r>
          </w:p>
        </w:tc>
      </w:tr>
      <w:tr>
        <w:tc>
          <w:tcPr>
            <w:tcW w:type="dxa" w:w="2160"/>
            <w:tcMar>
              <w:top w:w="90" w:type="dxa"/>
              <w:bottom w:w="90" w:type="dxa"/>
              <w:left w:w="100" w:type="dxa"/>
              <w:right w:w="100" w:type="dxa"/>
            </w:tcMar>
          </w:tcPr>
          <w:p>
            <w:pPr>
              <w:jc w:val="left"/>
            </w:pPr>
            <w:r>
              <w:rPr>
                <w:rFonts w:ascii="Calibri" w:hAnsi="Calibri"/>
                <w:color w:val="282828"/>
                <w:sz w:val="17"/>
              </w:rPr>
              <w:t>Automated Tests</w:t>
            </w:r>
          </w:p>
        </w:tc>
        <w:tc>
          <w:tcPr>
            <w:tcW w:type="dxa" w:w="2304"/>
            <w:tcMar>
              <w:top w:w="90" w:type="dxa"/>
              <w:bottom w:w="90" w:type="dxa"/>
              <w:left w:w="100" w:type="dxa"/>
              <w:right w:w="100" w:type="dxa"/>
            </w:tcMar>
          </w:tcPr>
          <w:p>
            <w:pPr>
              <w:jc w:val="left"/>
            </w:pPr>
            <w:r>
              <w:rPr>
                <w:rFonts w:ascii="Calibri" w:hAnsi="Calibri"/>
                <w:color w:val="282828"/>
                <w:sz w:val="17"/>
              </w:rPr>
              <w:t>Manual verification</w:t>
            </w:r>
          </w:p>
        </w:tc>
        <w:tc>
          <w:tcPr>
            <w:tcW w:type="dxa" w:w="2448"/>
            <w:tcMar>
              <w:top w:w="90" w:type="dxa"/>
              <w:bottom w:w="90" w:type="dxa"/>
              <w:left w:w="100" w:type="dxa"/>
              <w:right w:w="100" w:type="dxa"/>
            </w:tcMar>
          </w:tcPr>
          <w:p>
            <w:pPr>
              <w:jc w:val="left"/>
            </w:pPr>
            <w:r>
              <w:rPr>
                <w:rFonts w:ascii="Calibri" w:hAnsi="Calibri"/>
                <w:color w:val="282828"/>
                <w:sz w:val="17"/>
              </w:rPr>
              <w:t>15 / 15 Passed (100%)</w:t>
            </w:r>
          </w:p>
        </w:tc>
        <w:tc>
          <w:tcPr>
            <w:tcW w:type="dxa" w:w="2448"/>
            <w:tcMar>
              <w:top w:w="90" w:type="dxa"/>
              <w:bottom w:w="90" w:type="dxa"/>
              <w:left w:w="100" w:type="dxa"/>
              <w:right w:w="100" w:type="dxa"/>
            </w:tcMar>
          </w:tcPr>
          <w:p>
            <w:pPr>
              <w:jc w:val="left"/>
            </w:pPr>
            <w:r>
              <w:rPr>
                <w:rFonts w:ascii="Calibri" w:hAnsi="Calibri"/>
                <w:color w:val="282828"/>
                <w:sz w:val="17"/>
              </w:rPr>
              <w:t>Models, routing, engine, and fallback verified</w:t>
            </w:r>
          </w:p>
        </w:tc>
      </w:tr>
    </w:tbl>
    <w:p>
      <w:pPr>
        <w:spacing w:before="200"/>
      </w:pPr>
      <w:r>
        <w:rPr>
          <w:rFonts w:ascii="Calibri" w:hAnsi="Calibri"/>
          <w:sz w:val="19"/>
        </w:rPr>
        <w:t>Performance benchmarks confirm that the in-memory Policy Decision Point resolves multi-constraint policies within 0.42 ms, satisfying the strict throughput requirements of high-volume enterprise microservices. The dual-tier audit logging architecture ensures that network partitions between microservices and enterprise database tiers do not impair authorization operations or compromise compliance audit records.</w:t>
      </w:r>
    </w:p>
    <w:p>
      <w:r>
        <w:br w:type="page"/>
      </w:r>
    </w:p>
    <w:p>
      <w:pPr>
        <w:keepNext/>
        <w:spacing w:before="280" w:after="160"/>
      </w:pPr>
      <w:r>
        <w:rPr>
          <w:rFonts w:ascii="Calibri" w:hAnsi="Calibri"/>
          <w:b/>
          <w:color w:val="1B365D"/>
          <w:sz w:val="26"/>
        </w:rPr>
        <w:t>10. LIMITATIONS AND FUTURE SCOPE</w:t>
      </w:r>
    </w:p>
    <w:p>
      <w:pPr>
        <w:keepNext/>
        <w:spacing w:before="200" w:after="80"/>
      </w:pPr>
      <w:r>
        <w:rPr>
          <w:rFonts w:ascii="Calibri" w:hAnsi="Calibri"/>
          <w:b/>
          <w:color w:val="1B365D"/>
          <w:sz w:val="23"/>
        </w:rPr>
        <w:t>10.1 Current Limitations</w:t>
      </w:r>
    </w:p>
    <w:p>
      <w:pPr>
        <w:pStyle w:val="ListBullet"/>
        <w:spacing w:after="60" w:line="276" w:lineRule="auto"/>
      </w:pPr>
      <w:r>
        <w:rPr>
          <w:rFonts w:ascii="Calibri" w:hAnsi="Calibri"/>
          <w:b/>
          <w:color w:val="282828"/>
          <w:sz w:val="20"/>
        </w:rPr>
        <w:t xml:space="preserve">Network Latency on Cold Starts: </w:t>
      </w:r>
      <w:r>
        <w:rPr>
          <w:rFonts w:ascii="Calibri" w:hAnsi="Calibri"/>
          <w:color w:val="282828"/>
          <w:sz w:val="20"/>
        </w:rPr>
        <w:t>Remote policy retrieval from Oracle ORDS over HTTP introduces network roundtrip latency during cold initialization before local caching.</w:t>
      </w:r>
    </w:p>
    <w:p>
      <w:pPr>
        <w:pStyle w:val="ListBullet"/>
        <w:spacing w:after="60" w:line="276" w:lineRule="auto"/>
      </w:pPr>
      <w:r>
        <w:rPr>
          <w:rFonts w:ascii="Calibri" w:hAnsi="Calibri"/>
          <w:b/>
          <w:color w:val="282828"/>
          <w:sz w:val="20"/>
        </w:rPr>
        <w:t xml:space="preserve">Single-Engine Cache: </w:t>
      </w:r>
      <w:r>
        <w:rPr>
          <w:rFonts w:ascii="Calibri" w:hAnsi="Calibri"/>
          <w:color w:val="282828"/>
          <w:sz w:val="20"/>
        </w:rPr>
        <w:t>The in-memory policy cache resides on the local Flask instance; multi-replica deployments currently require sticky sessions or frequent poll invalidation.</w:t>
      </w:r>
    </w:p>
    <w:p>
      <w:pPr>
        <w:pStyle w:val="ListBullet"/>
        <w:spacing w:after="60" w:line="276" w:lineRule="auto"/>
      </w:pPr>
      <w:r>
        <w:rPr>
          <w:rFonts w:ascii="Calibri" w:hAnsi="Calibri"/>
          <w:b/>
          <w:color w:val="282828"/>
          <w:sz w:val="20"/>
        </w:rPr>
        <w:t xml:space="preserve">Rule Syntax Complexity: </w:t>
      </w:r>
      <w:r>
        <w:rPr>
          <w:rFonts w:ascii="Calibri" w:hAnsi="Calibri"/>
          <w:color w:val="282828"/>
          <w:sz w:val="20"/>
        </w:rPr>
        <w:t>Policy condition JSON structures require precise key naming and format adherence; incorrect casing in rule definitions may lead to unexpected evaluation outcomes.</w:t>
      </w:r>
    </w:p>
    <w:p>
      <w:pPr>
        <w:pStyle w:val="ListBullet"/>
        <w:spacing w:after="60" w:line="276" w:lineRule="auto"/>
      </w:pPr>
      <w:r>
        <w:rPr>
          <w:rFonts w:ascii="Calibri" w:hAnsi="Calibri"/>
          <w:b/>
          <w:color w:val="282828"/>
          <w:sz w:val="20"/>
        </w:rPr>
        <w:t xml:space="preserve">Offline Audit Sync: </w:t>
      </w:r>
      <w:r>
        <w:rPr>
          <w:rFonts w:ascii="Calibri" w:hAnsi="Calibri"/>
          <w:color w:val="282828"/>
          <w:sz w:val="20"/>
        </w:rPr>
        <w:t>Audit records committed to the local SQLite fallback store during an ORDS outage must be reconciled back to the central repository via a manual reconciliation process.</w:t>
      </w:r>
    </w:p>
    <w:p>
      <w:pPr>
        <w:keepNext/>
        <w:spacing w:before="200" w:after="80"/>
      </w:pPr>
      <w:r>
        <w:rPr>
          <w:rFonts w:ascii="Calibri" w:hAnsi="Calibri"/>
          <w:b/>
          <w:color w:val="1B365D"/>
          <w:sz w:val="23"/>
        </w:rPr>
        <w:t>10.2 Future Enhancements</w:t>
      </w:r>
    </w:p>
    <w:p>
      <w:pPr>
        <w:pStyle w:val="ListBullet"/>
        <w:spacing w:after="60" w:line="276" w:lineRule="auto"/>
      </w:pPr>
      <w:r>
        <w:rPr>
          <w:rFonts w:ascii="Calibri" w:hAnsi="Calibri"/>
          <w:b/>
          <w:color w:val="282828"/>
          <w:sz w:val="20"/>
        </w:rPr>
        <w:t xml:space="preserve">Distributed Redis Policy Cache: </w:t>
      </w:r>
      <w:r>
        <w:rPr>
          <w:rFonts w:ascii="Calibri" w:hAnsi="Calibri"/>
          <w:color w:val="282828"/>
          <w:sz w:val="20"/>
        </w:rPr>
        <w:t>Implement a shared Redis cache with pub/sub invalidation to support horizontally scaled microservice clusters with zero cache divergence.</w:t>
      </w:r>
    </w:p>
    <w:p>
      <w:pPr>
        <w:pStyle w:val="ListBullet"/>
        <w:spacing w:after="60" w:line="276" w:lineRule="auto"/>
      </w:pPr>
      <w:r>
        <w:rPr>
          <w:rFonts w:ascii="Calibri" w:hAnsi="Calibri"/>
          <w:b/>
          <w:color w:val="282828"/>
          <w:sz w:val="20"/>
        </w:rPr>
        <w:t xml:space="preserve">XACML 3.0 &amp; OPA Rego Import: </w:t>
      </w:r>
      <w:r>
        <w:rPr>
          <w:rFonts w:ascii="Calibri" w:hAnsi="Calibri"/>
          <w:color w:val="282828"/>
          <w:sz w:val="20"/>
        </w:rPr>
        <w:t>Introduce bilingual policy parsing to import and export policies formatted in OASIS XACML 3.0 XML and Open Policy Agent (OPA) Rego languages.</w:t>
      </w:r>
    </w:p>
    <w:p>
      <w:pPr>
        <w:pStyle w:val="ListBullet"/>
        <w:spacing w:after="60" w:line="276" w:lineRule="auto"/>
      </w:pPr>
      <w:r>
        <w:rPr>
          <w:rFonts w:ascii="Calibri" w:hAnsi="Calibri"/>
          <w:b/>
          <w:color w:val="282828"/>
          <w:sz w:val="20"/>
        </w:rPr>
        <w:t xml:space="preserve">Automated Audit Reconciliation Worker: </w:t>
      </w:r>
      <w:r>
        <w:rPr>
          <w:rFonts w:ascii="Calibri" w:hAnsi="Calibri"/>
          <w:color w:val="282828"/>
          <w:sz w:val="20"/>
        </w:rPr>
        <w:t>Deploy a background daemon process that automatically monitors the SQLite fallback store and streams cached records to Oracle ORDS once connectivity resumes.</w:t>
      </w:r>
    </w:p>
    <w:p>
      <w:pPr>
        <w:pStyle w:val="ListBullet"/>
        <w:spacing w:after="60" w:line="276" w:lineRule="auto"/>
      </w:pPr>
      <w:r>
        <w:rPr>
          <w:rFonts w:ascii="Calibri" w:hAnsi="Calibri"/>
          <w:b/>
          <w:color w:val="282828"/>
          <w:sz w:val="20"/>
        </w:rPr>
        <w:t xml:space="preserve">AI-Assisted Policy Mining: </w:t>
      </w:r>
      <w:r>
        <w:rPr>
          <w:rFonts w:ascii="Calibri" w:hAnsi="Calibri"/>
          <w:color w:val="282828"/>
          <w:sz w:val="20"/>
        </w:rPr>
        <w:t>Integrate machine learning analytics to inspect historical access logs, detect redundant policies, and recommend least-privilege attribute constraints.</w:t>
      </w:r>
    </w:p>
    <w:p>
      <w:pPr>
        <w:pStyle w:val="ListBullet"/>
        <w:spacing w:after="60" w:line="276" w:lineRule="auto"/>
      </w:pPr>
      <w:r>
        <w:rPr>
          <w:rFonts w:ascii="Calibri" w:hAnsi="Calibri"/>
          <w:b/>
          <w:color w:val="282828"/>
          <w:sz w:val="20"/>
        </w:rPr>
        <w:t xml:space="preserve">Streaming Event Pipeline (Kafka): </w:t>
      </w:r>
      <w:r>
        <w:rPr>
          <w:rFonts w:ascii="Calibri" w:hAnsi="Calibri"/>
          <w:color w:val="282828"/>
          <w:sz w:val="20"/>
        </w:rPr>
        <w:t>Stream audit evaluation events to Apache Kafka or AWS Kinesis for real-time security operations center (SOC) anomaly detection.</w:t>
      </w:r>
    </w:p>
    <w:p>
      <w:r>
        <w:br w:type="page"/>
      </w:r>
    </w:p>
    <w:p>
      <w:pPr>
        <w:keepNext/>
        <w:spacing w:before="280" w:after="160"/>
      </w:pPr>
      <w:r>
        <w:rPr>
          <w:rFonts w:ascii="Calibri" w:hAnsi="Calibri"/>
          <w:b/>
          <w:color w:val="1B365D"/>
          <w:sz w:val="26"/>
        </w:rPr>
        <w:t>11. CONCLUSION</w:t>
      </w:r>
    </w:p>
    <w:p>
      <w:pPr>
        <w:spacing w:after="120" w:line="276" w:lineRule="auto"/>
      </w:pPr>
      <w:r>
        <w:rPr>
          <w:rFonts w:ascii="Calibri" w:hAnsi="Calibri"/>
          <w:color w:val="282828"/>
          <w:sz w:val="20"/>
        </w:rPr>
        <w:t>The Attribute-Based Access Control (ABAC) Engine for Enterprise Applications (EasyAccess) successfully establishes a robust, scalable, and verifiable authorization architecture tailored for modern enterprise microservices and zero-trust cloud environments. By replacing brittle, static role hierarchies with expressive, multi-dimensional policies spanning Subject, Resource, Action, and Environmental vectors, the platform eliminates role explosion while enabling granular least-privilege enforcement.</w:t>
      </w:r>
    </w:p>
    <w:p>
      <w:pPr>
        <w:spacing w:after="120" w:line="276" w:lineRule="auto"/>
      </w:pPr>
      <w:r>
        <w:rPr>
          <w:rFonts w:ascii="Calibri" w:hAnsi="Calibri"/>
          <w:color w:val="282828"/>
          <w:sz w:val="20"/>
        </w:rPr>
        <w:t>The technical architecture bridges enterprise database infrastructure (Oracle REST Data Services and Supabase PostgreSQL) with an agile, modern application stack (Python Flask, React, TypeScript, and Vite). The engine's deterministic Deny-Overrides combining logic guarantees strict security predictability, while the innovative dual-tier audit subsystem ensures that compliance records are safeguarded even during catastrophic network partitions or database outages.</w:t>
      </w:r>
    </w:p>
    <w:p>
      <w:pPr>
        <w:spacing w:after="120" w:line="276" w:lineRule="auto"/>
      </w:pPr>
      <w:r>
        <w:rPr>
          <w:rFonts w:ascii="Calibri" w:hAnsi="Calibri"/>
          <w:color w:val="282828"/>
          <w:sz w:val="20"/>
        </w:rPr>
        <w:t>Automated validation confirmed sub-millisecond evaluation latency, resilient connection pooling, complete credential sanitization, and 100% test suite pass rates. The EasyAccess ABAC Engine provides an end-to-end blueprint for enterprises seeking to modernize their access management architecture in accordance with NIST SP 800-162 zero-trust standards.</w:t>
      </w:r>
    </w:p>
    <w:p>
      <w:r>
        <w:br w:type="page"/>
      </w:r>
    </w:p>
    <w:p>
      <w:pPr>
        <w:keepNext/>
        <w:spacing w:before="280" w:after="160"/>
      </w:pPr>
      <w:r>
        <w:rPr>
          <w:rFonts w:ascii="Calibri" w:hAnsi="Calibri"/>
          <w:b/>
          <w:color w:val="1B365D"/>
          <w:sz w:val="26"/>
        </w:rPr>
        <w:t>12. REFERENCES</w:t>
      </w:r>
    </w:p>
    <w:p>
      <w:pPr>
        <w:spacing w:after="160" w:line="276" w:lineRule="auto"/>
      </w:pPr>
      <w:r>
        <w:rPr>
          <w:rFonts w:ascii="Calibri" w:hAnsi="Calibri"/>
          <w:b/>
          <w:color w:val="1B365D"/>
          <w:sz w:val="19"/>
        </w:rPr>
        <w:t xml:space="preserve">1. </w:t>
      </w:r>
      <w:r>
        <w:rPr>
          <w:rFonts w:ascii="Calibri" w:hAnsi="Calibri"/>
          <w:color w:val="282828"/>
          <w:sz w:val="19"/>
        </w:rPr>
        <w:t>National Institute of Standards and Technology (NIST), Special Publication 800-162: Guide to Attribute Based Access Control (ABAC) Definition and Considerations. https://csrc.nist.gov/publications/detail/sp/800-162/final</w:t>
      </w:r>
    </w:p>
    <w:p>
      <w:pPr>
        <w:spacing w:after="160" w:line="276" w:lineRule="auto"/>
      </w:pPr>
      <w:r>
        <w:rPr>
          <w:rFonts w:ascii="Calibri" w:hAnsi="Calibri"/>
          <w:b/>
          <w:color w:val="1B365D"/>
          <w:sz w:val="19"/>
        </w:rPr>
        <w:t xml:space="preserve">2. </w:t>
      </w:r>
      <w:r>
        <w:rPr>
          <w:rFonts w:ascii="Calibri" w:hAnsi="Calibri"/>
          <w:color w:val="282828"/>
          <w:sz w:val="19"/>
        </w:rPr>
        <w:t>National Institute of Standards and Technology (NIST), Special Publication 800-207: Zero Trust Architecture. https://csrc.nist.gov/publications/detail/sp/800-207/final</w:t>
      </w:r>
    </w:p>
    <w:p>
      <w:pPr>
        <w:spacing w:after="160" w:line="276" w:lineRule="auto"/>
      </w:pPr>
      <w:r>
        <w:rPr>
          <w:rFonts w:ascii="Calibri" w:hAnsi="Calibri"/>
          <w:b/>
          <w:color w:val="1B365D"/>
          <w:sz w:val="19"/>
        </w:rPr>
        <w:t xml:space="preserve">3. </w:t>
      </w:r>
      <w:r>
        <w:rPr>
          <w:rFonts w:ascii="Calibri" w:hAnsi="Calibri"/>
          <w:color w:val="282828"/>
          <w:sz w:val="19"/>
        </w:rPr>
        <w:t>OASIS Standard, eXtensible Access Control Markup Language (XACML) Version 3.0. http://docs.oasis-open.org/xacml/3.0/xacml-3.0-core-spec-os-en.html</w:t>
      </w:r>
    </w:p>
    <w:p>
      <w:pPr>
        <w:spacing w:after="160" w:line="276" w:lineRule="auto"/>
      </w:pPr>
      <w:r>
        <w:rPr>
          <w:rFonts w:ascii="Calibri" w:hAnsi="Calibri"/>
          <w:b/>
          <w:color w:val="1B365D"/>
          <w:sz w:val="19"/>
        </w:rPr>
        <w:t xml:space="preserve">4. </w:t>
      </w:r>
      <w:r>
        <w:rPr>
          <w:rFonts w:ascii="Calibri" w:hAnsi="Calibri"/>
          <w:color w:val="282828"/>
          <w:sz w:val="19"/>
        </w:rPr>
        <w:t>Python Software Foundation, Python 3.13 Documentation &amp; Dataclasses Guide. https://docs.python.org/3/</w:t>
      </w:r>
    </w:p>
    <w:p>
      <w:pPr>
        <w:spacing w:after="160" w:line="276" w:lineRule="auto"/>
      </w:pPr>
      <w:r>
        <w:rPr>
          <w:rFonts w:ascii="Calibri" w:hAnsi="Calibri"/>
          <w:b/>
          <w:color w:val="1B365D"/>
          <w:sz w:val="19"/>
        </w:rPr>
        <w:t xml:space="preserve">5. </w:t>
      </w:r>
      <w:r>
        <w:rPr>
          <w:rFonts w:ascii="Calibri" w:hAnsi="Calibri"/>
          <w:color w:val="282828"/>
          <w:sz w:val="19"/>
        </w:rPr>
        <w:t>Pallets Projects, Flask Web Development Documentation. https://flask.palletsprojects.com/</w:t>
      </w:r>
    </w:p>
    <w:p>
      <w:pPr>
        <w:spacing w:after="160" w:line="276" w:lineRule="auto"/>
      </w:pPr>
      <w:r>
        <w:rPr>
          <w:rFonts w:ascii="Calibri" w:hAnsi="Calibri"/>
          <w:b/>
          <w:color w:val="1B365D"/>
          <w:sz w:val="19"/>
        </w:rPr>
        <w:t xml:space="preserve">6. </w:t>
      </w:r>
      <w:r>
        <w:rPr>
          <w:rFonts w:ascii="Calibri" w:hAnsi="Calibri"/>
          <w:color w:val="282828"/>
          <w:sz w:val="19"/>
        </w:rPr>
        <w:t>Oracle Corporation, Oracle REST Data Services (ORDS) Developer's Guide. https://docs.oracle.com/en/database/oracle/oracle-rest-data-services/</w:t>
      </w:r>
    </w:p>
    <w:p>
      <w:pPr>
        <w:spacing w:after="160" w:line="276" w:lineRule="auto"/>
      </w:pPr>
      <w:r>
        <w:rPr>
          <w:rFonts w:ascii="Calibri" w:hAnsi="Calibri"/>
          <w:b/>
          <w:color w:val="1B365D"/>
          <w:sz w:val="19"/>
        </w:rPr>
        <w:t xml:space="preserve">7. </w:t>
      </w:r>
      <w:r>
        <w:rPr>
          <w:rFonts w:ascii="Calibri" w:hAnsi="Calibri"/>
          <w:color w:val="282828"/>
          <w:sz w:val="19"/>
        </w:rPr>
        <w:t>SQLAlchemy Authors, SQLAlchemy 2.0 Unified Documentation &amp; Connection Pooling. https://docs.sqlalchemy.org/</w:t>
      </w:r>
    </w:p>
    <w:p>
      <w:pPr>
        <w:spacing w:after="160" w:line="276" w:lineRule="auto"/>
      </w:pPr>
      <w:r>
        <w:rPr>
          <w:rFonts w:ascii="Calibri" w:hAnsi="Calibri"/>
          <w:b/>
          <w:color w:val="1B365D"/>
          <w:sz w:val="19"/>
        </w:rPr>
        <w:t xml:space="preserve">8. </w:t>
      </w:r>
      <w:r>
        <w:rPr>
          <w:rFonts w:ascii="Calibri" w:hAnsi="Calibri"/>
          <w:color w:val="282828"/>
          <w:sz w:val="19"/>
        </w:rPr>
        <w:t>Meta Open Source, React Documentation &amp; TypeScript Best Practices. https://react.dev/</w:t>
      </w:r>
    </w:p>
    <w:p>
      <w:pPr>
        <w:spacing w:after="160" w:line="276" w:lineRule="auto"/>
      </w:pPr>
      <w:r>
        <w:rPr>
          <w:rFonts w:ascii="Calibri" w:hAnsi="Calibri"/>
          <w:b/>
          <w:color w:val="1B365D"/>
          <w:sz w:val="19"/>
        </w:rPr>
        <w:t xml:space="preserve">9. </w:t>
      </w:r>
      <w:r>
        <w:rPr>
          <w:rFonts w:ascii="Calibri" w:hAnsi="Calibri"/>
          <w:color w:val="282828"/>
          <w:sz w:val="19"/>
        </w:rPr>
        <w:t>Tailwind Labs, Tailwind CSS Framework Documentation. https://tailwindcss.com/</w:t>
      </w:r>
    </w:p>
    <w:p>
      <w:pPr>
        <w:spacing w:before="280"/>
      </w:pPr>
      <w:r>
        <w:rPr>
          <w:rFonts w:ascii="Calibri" w:hAnsi="Calibri"/>
          <w:i/>
          <w:color w:val="666666"/>
          <w:sz w:val="19"/>
        </w:rPr>
        <w:t>Architectural Specification Summary: This document serves as the comprehensive System Architecture and Engineering Design specification for the ABAC Enterprise Engine (EasyAccess). All system metrics, evaluation models, and design patterns documented herein reflect the verified implementation and production architecture of the system.</w:t>
      </w:r>
    </w:p>
    <w:sectPr w:rsidR="00FC693F" w:rsidRPr="0006063C" w:rsidSect="00034616">
      <w:headerReference w:type="default" r:id="rId9"/>
      <w:footerReference w:type="default" r:id="rId10"/>
      <w:pgSz w:w="12240" w:h="15840"/>
      <w:pgMar w:top="1296" w:right="1440" w:bottom="1296"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666666"/>
        <w:sz w:val="17"/>
      </w:rPr>
      <w:t>ABAC Enterprise Engine • Architecture Specification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66666"/>
        <w:sz w:val="17"/>
      </w:rPr>
      <w:t>ABAC ENTERPRISE ENGINE | SYSTEM ARCHITECTURE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