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21776" w14:textId="765BA91E" w:rsidR="001B23F6" w:rsidRPr="001B23F6" w:rsidRDefault="001B23F6" w:rsidP="001B23F6">
      <w:pPr>
        <w:rPr>
          <w:rFonts w:ascii="Times New Roman" w:hAnsi="Times New Roman" w:cs="Times New Roman"/>
          <w:sz w:val="24"/>
          <w:szCs w:val="24"/>
        </w:rPr>
      </w:pPr>
      <w:r w:rsidRPr="001B23F6">
        <w:rPr>
          <w:rFonts w:ascii="Times New Roman" w:hAnsi="Times New Roman" w:cs="Times New Roman"/>
          <w:sz w:val="24"/>
          <w:szCs w:val="24"/>
        </w:rPr>
        <w:t>Sam</w:t>
      </w:r>
      <w:r w:rsidR="001F0A98">
        <w:rPr>
          <w:rFonts w:ascii="Times New Roman" w:hAnsi="Times New Roman" w:cs="Times New Roman" w:hint="eastAsia"/>
          <w:sz w:val="24"/>
          <w:szCs w:val="24"/>
        </w:rPr>
        <w:t xml:space="preserve"> (</w:t>
      </w:r>
      <w:proofErr w:type="spellStart"/>
      <w:r w:rsidR="001F0A98">
        <w:rPr>
          <w:rFonts w:ascii="Times New Roman" w:hAnsi="Times New Roman" w:cs="Times New Roman" w:hint="eastAsia"/>
          <w:sz w:val="24"/>
          <w:szCs w:val="24"/>
        </w:rPr>
        <w:t>Kerui</w:t>
      </w:r>
      <w:proofErr w:type="spellEnd"/>
      <w:r w:rsidR="001F0A98">
        <w:rPr>
          <w:rFonts w:ascii="Times New Roman" w:hAnsi="Times New Roman" w:cs="Times New Roman" w:hint="eastAsia"/>
          <w:sz w:val="24"/>
          <w:szCs w:val="24"/>
        </w:rPr>
        <w:t>)</w:t>
      </w:r>
      <w:r w:rsidRPr="001B23F6">
        <w:rPr>
          <w:rFonts w:ascii="Times New Roman" w:hAnsi="Times New Roman" w:cs="Times New Roman"/>
          <w:sz w:val="24"/>
          <w:szCs w:val="24"/>
        </w:rPr>
        <w:t xml:space="preserve"> Chen</w:t>
      </w:r>
    </w:p>
    <w:p w14:paraId="583B0652" w14:textId="48D7919A" w:rsidR="001B23F6" w:rsidRPr="001B23F6" w:rsidRDefault="001B23F6" w:rsidP="001B23F6">
      <w:pPr>
        <w:rPr>
          <w:rFonts w:ascii="Times New Roman" w:hAnsi="Times New Roman" w:cs="Times New Roman" w:hint="eastAsia"/>
          <w:sz w:val="24"/>
          <w:szCs w:val="24"/>
        </w:rPr>
      </w:pPr>
      <w:r>
        <w:rPr>
          <w:rFonts w:ascii="Times New Roman" w:hAnsi="Times New Roman" w:cs="Times New Roman" w:hint="eastAsia"/>
          <w:sz w:val="24"/>
          <w:szCs w:val="24"/>
        </w:rPr>
        <w:t>ECON-UB 232</w:t>
      </w:r>
    </w:p>
    <w:p w14:paraId="6B6E6CC0" w14:textId="21A91157" w:rsidR="001B23F6" w:rsidRPr="001B23F6" w:rsidRDefault="001B23F6" w:rsidP="001B23F6">
      <w:pPr>
        <w:rPr>
          <w:rFonts w:ascii="Times New Roman" w:hAnsi="Times New Roman" w:cs="Times New Roman" w:hint="eastAsia"/>
          <w:sz w:val="24"/>
          <w:szCs w:val="24"/>
        </w:rPr>
      </w:pPr>
      <w:r w:rsidRPr="001B23F6">
        <w:rPr>
          <w:rFonts w:ascii="Times New Roman" w:hAnsi="Times New Roman" w:cs="Times New Roman"/>
          <w:sz w:val="24"/>
          <w:szCs w:val="24"/>
        </w:rPr>
        <w:t>Professor Koehler</w:t>
      </w:r>
    </w:p>
    <w:p w14:paraId="36A1A134" w14:textId="4BDB5301" w:rsidR="001B23F6" w:rsidRDefault="001B23F6" w:rsidP="001B23F6">
      <w:pPr>
        <w:rPr>
          <w:rFonts w:ascii="Times New Roman" w:hAnsi="Times New Roman" w:cs="Times New Roman"/>
          <w:sz w:val="24"/>
          <w:szCs w:val="24"/>
        </w:rPr>
      </w:pPr>
      <w:r>
        <w:rPr>
          <w:rFonts w:ascii="Times New Roman" w:hAnsi="Times New Roman" w:cs="Times New Roman" w:hint="eastAsia"/>
          <w:sz w:val="24"/>
          <w:szCs w:val="24"/>
        </w:rPr>
        <w:t>May 10</w:t>
      </w:r>
      <w:r w:rsidRPr="001B23F6">
        <w:rPr>
          <w:rFonts w:ascii="Times New Roman" w:hAnsi="Times New Roman" w:cs="Times New Roman"/>
          <w:sz w:val="24"/>
          <w:szCs w:val="24"/>
        </w:rPr>
        <w:t>. 2025</w:t>
      </w:r>
    </w:p>
    <w:p w14:paraId="738F7C75" w14:textId="7B4226C9" w:rsidR="001B23F6" w:rsidRPr="001B23F6" w:rsidRDefault="001B23F6" w:rsidP="001B23F6">
      <w:pPr>
        <w:rPr>
          <w:rFonts w:ascii="Times New Roman" w:hAnsi="Times New Roman" w:cs="Times New Roman" w:hint="eastAsia"/>
          <w:sz w:val="24"/>
          <w:szCs w:val="24"/>
        </w:rPr>
      </w:pPr>
      <w:r>
        <w:rPr>
          <w:rFonts w:ascii="Times New Roman" w:hAnsi="Times New Roman" w:cs="Times New Roman" w:hint="eastAsia"/>
          <w:sz w:val="24"/>
          <w:szCs w:val="24"/>
        </w:rPr>
        <w:t>Final Project</w:t>
      </w:r>
    </w:p>
    <w:p w14:paraId="76C550C9" w14:textId="0CFC9894" w:rsidR="001F0A98" w:rsidRPr="003D4C15" w:rsidRDefault="001F0A98" w:rsidP="001F0A98">
      <w:pPr>
        <w:pStyle w:val="Heading1"/>
        <w:spacing w:line="240" w:lineRule="auto"/>
        <w:jc w:val="center"/>
        <w:rPr>
          <w:rFonts w:ascii="Times New Roman Regular" w:hAnsi="Times New Roman Regular" w:cs="Times New Roman Regular"/>
          <w:sz w:val="28"/>
          <w:szCs w:val="28"/>
          <w:lang w:bidi="hi-IN"/>
        </w:rPr>
      </w:pPr>
      <w:r w:rsidRPr="003D4C15">
        <w:rPr>
          <w:rFonts w:ascii="Times New Roman Regular" w:hAnsi="Times New Roman Regular" w:cs="Times New Roman Regular"/>
          <w:sz w:val="28"/>
          <w:szCs w:val="28"/>
          <w:lang w:bidi="hi-IN"/>
        </w:rPr>
        <w:t>Forecasting Student Success: Machine Learning Models for Academic Performance Prediction</w:t>
      </w:r>
    </w:p>
    <w:p w14:paraId="66E3F49E" w14:textId="0943529F" w:rsidR="001F0A98" w:rsidRPr="001F0A98" w:rsidRDefault="00000000" w:rsidP="001F0A98">
      <w:pPr>
        <w:pStyle w:val="Heading1"/>
        <w:spacing w:line="240" w:lineRule="auto"/>
        <w:rPr>
          <w:rFonts w:ascii="Times New Roman Regular" w:hAnsi="Times New Roman Regular" w:cs="Times New Roman Regular" w:hint="eastAsia"/>
          <w:sz w:val="24"/>
          <w:szCs w:val="24"/>
          <w:lang w:bidi="hi-IN"/>
        </w:rPr>
      </w:pPr>
      <w:r>
        <w:rPr>
          <w:rFonts w:ascii="Times New Roman Regular" w:hAnsi="Times New Roman Regular" w:cs="Times New Roman Regular"/>
          <w:sz w:val="24"/>
          <w:szCs w:val="24"/>
          <w:lang w:bidi="hi-IN"/>
        </w:rPr>
        <w:t>Introduction</w:t>
      </w:r>
    </w:p>
    <w:p w14:paraId="7EF5B0F2"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In modern education, predicting student performance has become a key research area that has sparked widespread interest among educators, policy makers, and data scientists. The contemporary learning environment is more complex than ever before, influenced not only by standard academic indicators but also by various personal, social, and situational factors. Identify the key predictive factors for student success, enabling educational institutions to design targeted interventions, allocate resources more effectively, and provide tailored support for learners in greatest need.</w:t>
      </w:r>
    </w:p>
    <w:p w14:paraId="3292291A" w14:textId="77777777" w:rsidR="0068748A" w:rsidRDefault="0068748A">
      <w:pPr>
        <w:rPr>
          <w:rFonts w:ascii="Times New Roman Regular" w:hAnsi="Times New Roman Regular" w:cs="Times New Roman Regular"/>
          <w:sz w:val="24"/>
          <w:szCs w:val="24"/>
          <w:lang w:bidi="hi-IN"/>
        </w:rPr>
      </w:pPr>
    </w:p>
    <w:p w14:paraId="2C3FA795"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In this project, we utilized the publicly available "student mat. csv" dataset in the UCI machine learning library to solve the challenge of predicting the final math scores (G3) of Portuguese high school students. This dataset records continuous academic records (first and second grade), demographic details (age, gender, address, family background), behavioral indicators (study time, past failures, absences), and supportive factors (school and family assistance, extracurricular activities).</w:t>
      </w:r>
    </w:p>
    <w:p w14:paraId="210CD081" w14:textId="77777777" w:rsidR="0068748A" w:rsidRDefault="0068748A">
      <w:pPr>
        <w:rPr>
          <w:rFonts w:ascii="Times New Roman Regular" w:hAnsi="Times New Roman Regular" w:cs="Times New Roman Regular"/>
          <w:sz w:val="24"/>
          <w:szCs w:val="24"/>
          <w:lang w:bidi="hi-IN"/>
        </w:rPr>
      </w:pPr>
    </w:p>
    <w:p w14:paraId="03A7A262"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central research question guiding this work is: how accurately can a student’s final mathematics performance be predicted using personal, social, and academic background variables?</w:t>
      </w:r>
      <w:r>
        <w:rPr>
          <w:rFonts w:ascii="Times New Roman Regular" w:hAnsi="Times New Roman Regular" w:cs="Times New Roman Regular"/>
          <w:sz w:val="24"/>
          <w:szCs w:val="24"/>
        </w:rPr>
        <w:t xml:space="preserve"> </w:t>
      </w:r>
      <w:r>
        <w:rPr>
          <w:rFonts w:ascii="Times New Roman Regular" w:hAnsi="Times New Roman Regular" w:cs="Times New Roman Regular"/>
          <w:sz w:val="24"/>
          <w:szCs w:val="24"/>
          <w:lang w:bidi="hi-IN"/>
        </w:rPr>
        <w:t>The significance of solving this problem lies in the ability to effectively identify students with academic difficulties at an early stage. Among them, some useful early semester grades (such as G1 and G2) and situational characteristics, such as students' study habits, parental support, and health indicators, can be used by schools and educational institutions to adopt effective and proactive strategies to support students more accordingly before final exams.</w:t>
      </w:r>
    </w:p>
    <w:p w14:paraId="510D41F2" w14:textId="77777777" w:rsidR="0068748A" w:rsidRDefault="0068748A">
      <w:pPr>
        <w:rPr>
          <w:rFonts w:ascii="Times New Roman Regular" w:hAnsi="Times New Roman Regular" w:cs="Times New Roman Regular"/>
          <w:sz w:val="24"/>
          <w:szCs w:val="24"/>
          <w:lang w:bidi="hi-IN"/>
        </w:rPr>
      </w:pPr>
    </w:p>
    <w:p w14:paraId="04A7D189"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Our predictive task is structured as a regression problem, with the target variable G3 scaled from 0 to 20. We aim to minimize prediction error while preserving interpretability for educational stakeholders. We begin with a naive baseline model that predicts the mean final grade from the training data, establishing a performance benchmark. We then implement a multiple linear regression model to quantify linear relationships between predictors and final grades, followed by a k-nearest neighbors (KNN) regressor to explore potential nonlinear patterns.</w:t>
      </w:r>
    </w:p>
    <w:p w14:paraId="351E2879" w14:textId="77777777" w:rsidR="0068748A" w:rsidRDefault="0068748A">
      <w:pPr>
        <w:rPr>
          <w:rFonts w:ascii="Times New Roman Regular" w:hAnsi="Times New Roman Regular" w:cs="Times New Roman Regular"/>
          <w:sz w:val="24"/>
          <w:szCs w:val="24"/>
          <w:lang w:bidi="hi-IN"/>
        </w:rPr>
      </w:pPr>
    </w:p>
    <w:p w14:paraId="61036A2B"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multiple linear regression model demonstrates strong performance, achieving a mean squared error (MSE) of approximately 5.66 and an R² value of 0.72 on the test set. This indicates that over 70% of the variance in final grades is explained using a relatively small set of features. In contrast, the KNN model, while providing complementary insights, achieves an MSE of around 10.54 and an R² of 0.49, reflecting the limitations of instance-based methods in high-dimensional, moderate-sized datasets.</w:t>
      </w:r>
    </w:p>
    <w:p w14:paraId="5B0CE702" w14:textId="77777777" w:rsidR="0068748A" w:rsidRDefault="0068748A">
      <w:pPr>
        <w:rPr>
          <w:rFonts w:ascii="Times New Roman Regular" w:hAnsi="Times New Roman Regular" w:cs="Times New Roman Regular"/>
          <w:sz w:val="24"/>
          <w:szCs w:val="24"/>
          <w:lang w:bidi="hi-IN"/>
        </w:rPr>
      </w:pPr>
    </w:p>
    <w:p w14:paraId="19072D71"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These initial findings establish a foundational framework for educational data mining. The insights generated have practical implications for predictive analytics in school systems, personalized learning pathways, and academic advising. By identifying the most influential factors driving student achievement, this work contributes to the design of more adaptive and inclusive educational environments.</w:t>
      </w:r>
    </w:p>
    <w:p w14:paraId="4367093D" w14:textId="77777777" w:rsidR="0068748A" w:rsidRDefault="00000000">
      <w:pPr>
        <w:pStyle w:val="Heading1"/>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Data Description</w:t>
      </w:r>
    </w:p>
    <w:p w14:paraId="62DA440C"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dataset utilized in this project originates from the UCI Machine Learning Repository and is based on a study of student achievement in Portuguese secondary education. Our analysis specifically focuses on students enrolled in a mathematics course, using the file student-mat.csv. This dataset comprises 395 student records, each capturing a diverse array of personal, academic, familial, and lifestyle-related attributes. It provides a detailed snapshot of the multidimensional factors influencing student performance.</w:t>
      </w:r>
    </w:p>
    <w:p w14:paraId="6A7166DC" w14:textId="77777777" w:rsidR="0068748A" w:rsidRDefault="0068748A">
      <w:pPr>
        <w:rPr>
          <w:rFonts w:ascii="Times New Roman Regular" w:hAnsi="Times New Roman Regular" w:cs="Times New Roman Regular"/>
          <w:sz w:val="24"/>
          <w:szCs w:val="24"/>
          <w:lang w:bidi="hi-IN"/>
        </w:rPr>
      </w:pPr>
    </w:p>
    <w:p w14:paraId="1B83F258"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There are a total of 33 variables in the dataset. These can be broadly grouped into several thematic categories. Firstly, the core academic performance indicators—G1, G2, and G3—represent the students' grades in the first, second, and final academic periods, respectively. Each is measured on a scale from 0 to 20, with G3 serving as the target variable in our regression models. The inclusion of all three grading periods allows for a valuable analysis of how earlier academic progress influences final performance.</w:t>
      </w:r>
    </w:p>
    <w:p w14:paraId="2FF4ED71" w14:textId="77777777" w:rsidR="0068748A" w:rsidRDefault="0068748A">
      <w:pPr>
        <w:rPr>
          <w:rFonts w:ascii="Times New Roman Regular" w:hAnsi="Times New Roman Regular" w:cs="Times New Roman Regular"/>
          <w:sz w:val="24"/>
          <w:szCs w:val="24"/>
          <w:lang w:bidi="hi-IN"/>
        </w:rPr>
      </w:pPr>
    </w:p>
    <w:p w14:paraId="6245C8DD"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Demographic features such as age, sex, and address (urban versus rural) provide foundational context about each student’s background. These variables are essential in examining whether location or gender-based disparities might exist in academic outcomes. Family context is further explored through variables such as parental education levels (</w:t>
      </w:r>
      <w:proofErr w:type="spellStart"/>
      <w:r>
        <w:rPr>
          <w:rFonts w:ascii="Times New Roman Regular" w:hAnsi="Times New Roman Regular" w:cs="Times New Roman Regular"/>
          <w:sz w:val="24"/>
          <w:szCs w:val="24"/>
          <w:lang w:bidi="hi-IN"/>
        </w:rPr>
        <w:t>Medu</w:t>
      </w:r>
      <w:proofErr w:type="spellEnd"/>
      <w:r>
        <w:rPr>
          <w:rFonts w:ascii="Times New Roman Regular" w:hAnsi="Times New Roman Regular" w:cs="Times New Roman Regular"/>
          <w:sz w:val="24"/>
          <w:szCs w:val="24"/>
          <w:lang w:bidi="hi-IN"/>
        </w:rPr>
        <w:t xml:space="preserve"> and </w:t>
      </w:r>
      <w:proofErr w:type="spellStart"/>
      <w:r>
        <w:rPr>
          <w:rFonts w:ascii="Times New Roman Regular" w:hAnsi="Times New Roman Regular" w:cs="Times New Roman Regular"/>
          <w:sz w:val="24"/>
          <w:szCs w:val="24"/>
          <w:lang w:bidi="hi-IN"/>
        </w:rPr>
        <w:t>Fedu</w:t>
      </w:r>
      <w:proofErr w:type="spellEnd"/>
      <w:r>
        <w:rPr>
          <w:rFonts w:ascii="Times New Roman Regular" w:hAnsi="Times New Roman Regular" w:cs="Times New Roman Regular"/>
          <w:sz w:val="24"/>
          <w:szCs w:val="24"/>
          <w:lang w:bidi="hi-IN"/>
        </w:rPr>
        <w:t>), family size (</w:t>
      </w:r>
      <w:proofErr w:type="spellStart"/>
      <w:r>
        <w:rPr>
          <w:rFonts w:ascii="Times New Roman Regular" w:hAnsi="Times New Roman Regular" w:cs="Times New Roman Regular"/>
          <w:sz w:val="24"/>
          <w:szCs w:val="24"/>
          <w:lang w:bidi="hi-IN"/>
        </w:rPr>
        <w:t>famsize</w:t>
      </w:r>
      <w:proofErr w:type="spellEnd"/>
      <w:r>
        <w:rPr>
          <w:rFonts w:ascii="Times New Roman Regular" w:hAnsi="Times New Roman Regular" w:cs="Times New Roman Regular"/>
          <w:sz w:val="24"/>
          <w:szCs w:val="24"/>
          <w:lang w:bidi="hi-IN"/>
        </w:rPr>
        <w:t>), and parental relationship status (</w:t>
      </w:r>
      <w:proofErr w:type="spellStart"/>
      <w:r>
        <w:rPr>
          <w:rFonts w:ascii="Times New Roman Regular" w:hAnsi="Times New Roman Regular" w:cs="Times New Roman Regular"/>
          <w:sz w:val="24"/>
          <w:szCs w:val="24"/>
          <w:lang w:bidi="hi-IN"/>
        </w:rPr>
        <w:t>Pstatus</w:t>
      </w:r>
      <w:proofErr w:type="spellEnd"/>
      <w:r>
        <w:rPr>
          <w:rFonts w:ascii="Times New Roman Regular" w:hAnsi="Times New Roman Regular" w:cs="Times New Roman Regular"/>
          <w:sz w:val="24"/>
          <w:szCs w:val="24"/>
          <w:lang w:bidi="hi-IN"/>
        </w:rPr>
        <w:t>), all of which may subtly shape the student’s academic support environment at home.</w:t>
      </w:r>
    </w:p>
    <w:p w14:paraId="2A37A4B2" w14:textId="77777777" w:rsidR="0068748A" w:rsidRDefault="0068748A">
      <w:pPr>
        <w:rPr>
          <w:rFonts w:ascii="Times New Roman Regular" w:hAnsi="Times New Roman Regular" w:cs="Times New Roman Regular"/>
          <w:sz w:val="24"/>
          <w:szCs w:val="24"/>
          <w:lang w:bidi="hi-IN"/>
        </w:rPr>
      </w:pPr>
    </w:p>
    <w:p w14:paraId="33B61569"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 xml:space="preserve">In terms of educational behavior and support, the dataset includes </w:t>
      </w:r>
      <w:proofErr w:type="spellStart"/>
      <w:r>
        <w:rPr>
          <w:rFonts w:ascii="Times New Roman Regular" w:hAnsi="Times New Roman Regular" w:cs="Times New Roman Regular"/>
          <w:sz w:val="24"/>
          <w:szCs w:val="24"/>
          <w:lang w:bidi="hi-IN"/>
        </w:rPr>
        <w:t>studytime</w:t>
      </w:r>
      <w:proofErr w:type="spellEnd"/>
      <w:r>
        <w:rPr>
          <w:rFonts w:ascii="Times New Roman Regular" w:hAnsi="Times New Roman Regular" w:cs="Times New Roman Regular"/>
          <w:sz w:val="24"/>
          <w:szCs w:val="24"/>
          <w:lang w:bidi="hi-IN"/>
        </w:rPr>
        <w:t xml:space="preserve"> (hours spent studying per week), failures (number of past class failures), and access to school-provided support (</w:t>
      </w:r>
      <w:proofErr w:type="spellStart"/>
      <w:r>
        <w:rPr>
          <w:rFonts w:ascii="Times New Roman Regular" w:hAnsi="Times New Roman Regular" w:cs="Times New Roman Regular"/>
          <w:sz w:val="24"/>
          <w:szCs w:val="24"/>
          <w:lang w:bidi="hi-IN"/>
        </w:rPr>
        <w:t>schoolsup</w:t>
      </w:r>
      <w:proofErr w:type="spellEnd"/>
      <w:r>
        <w:rPr>
          <w:rFonts w:ascii="Times New Roman Regular" w:hAnsi="Times New Roman Regular" w:cs="Times New Roman Regular"/>
          <w:sz w:val="24"/>
          <w:szCs w:val="24"/>
          <w:lang w:bidi="hi-IN"/>
        </w:rPr>
        <w:t xml:space="preserve">). These variables help quantify the level of academic engagement and institutional support each student receives. Additionally, variables </w:t>
      </w:r>
      <w:r>
        <w:rPr>
          <w:rFonts w:ascii="Times New Roman Regular" w:hAnsi="Times New Roman Regular" w:cs="Times New Roman Regular"/>
          <w:sz w:val="24"/>
          <w:szCs w:val="24"/>
          <w:lang w:bidi="hi-IN"/>
        </w:rPr>
        <w:lastRenderedPageBreak/>
        <w:t>such as activities (participation in extracurriculars), nursery (attendance at preschool), and internet (home internet access) provide further detail on the student’s daily environment and potential resources.</w:t>
      </w:r>
    </w:p>
    <w:p w14:paraId="6B602154" w14:textId="77777777" w:rsidR="0068748A" w:rsidRDefault="0068748A">
      <w:pPr>
        <w:rPr>
          <w:rFonts w:ascii="Times New Roman Regular" w:hAnsi="Times New Roman Regular" w:cs="Times New Roman Regular"/>
          <w:sz w:val="24"/>
          <w:szCs w:val="24"/>
          <w:lang w:bidi="hi-IN"/>
        </w:rPr>
      </w:pPr>
    </w:p>
    <w:p w14:paraId="61EB7898"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 xml:space="preserve">Social and behavioral dimensions are also captured in fields such as </w:t>
      </w:r>
      <w:proofErr w:type="spellStart"/>
      <w:r>
        <w:rPr>
          <w:rFonts w:ascii="Times New Roman Regular" w:hAnsi="Times New Roman Regular" w:cs="Times New Roman Regular"/>
          <w:sz w:val="24"/>
          <w:szCs w:val="24"/>
          <w:lang w:bidi="hi-IN"/>
        </w:rPr>
        <w:t>goout</w:t>
      </w:r>
      <w:proofErr w:type="spellEnd"/>
      <w:r>
        <w:rPr>
          <w:rFonts w:ascii="Times New Roman Regular" w:hAnsi="Times New Roman Regular" w:cs="Times New Roman Regular"/>
          <w:sz w:val="24"/>
          <w:szCs w:val="24"/>
          <w:lang w:bidi="hi-IN"/>
        </w:rPr>
        <w:t xml:space="preserve"> (frequency of social outings), </w:t>
      </w:r>
      <w:proofErr w:type="spellStart"/>
      <w:r>
        <w:rPr>
          <w:rFonts w:ascii="Times New Roman Regular" w:hAnsi="Times New Roman Regular" w:cs="Times New Roman Regular"/>
          <w:sz w:val="24"/>
          <w:szCs w:val="24"/>
          <w:lang w:bidi="hi-IN"/>
        </w:rPr>
        <w:t>Dalc</w:t>
      </w:r>
      <w:proofErr w:type="spellEnd"/>
      <w:r>
        <w:rPr>
          <w:rFonts w:ascii="Times New Roman Regular" w:hAnsi="Times New Roman Regular" w:cs="Times New Roman Regular"/>
          <w:sz w:val="24"/>
          <w:szCs w:val="24"/>
          <w:lang w:bidi="hi-IN"/>
        </w:rPr>
        <w:t xml:space="preserve"> and </w:t>
      </w:r>
      <w:proofErr w:type="spellStart"/>
      <w:r>
        <w:rPr>
          <w:rFonts w:ascii="Times New Roman Regular" w:hAnsi="Times New Roman Regular" w:cs="Times New Roman Regular"/>
          <w:sz w:val="24"/>
          <w:szCs w:val="24"/>
          <w:lang w:bidi="hi-IN"/>
        </w:rPr>
        <w:t>Walc</w:t>
      </w:r>
      <w:proofErr w:type="spellEnd"/>
      <w:r>
        <w:rPr>
          <w:rFonts w:ascii="Times New Roman Regular" w:hAnsi="Times New Roman Regular" w:cs="Times New Roman Regular"/>
          <w:sz w:val="24"/>
          <w:szCs w:val="24"/>
          <w:lang w:bidi="hi-IN"/>
        </w:rPr>
        <w:t xml:space="preserve"> (alcohol consumption on weekdays and weekends), and health (self-reported health status). These factors allow for exploration of lifestyle habits and their correlations with academic outcomes. Many of these are binary or categorical in nature and require encoding techniques such as one-hot encoding before they can be fed into machine learning models.</w:t>
      </w:r>
    </w:p>
    <w:p w14:paraId="217E3A69" w14:textId="77777777" w:rsidR="0068748A" w:rsidRDefault="0068748A">
      <w:pPr>
        <w:rPr>
          <w:rFonts w:ascii="Times New Roman Regular" w:hAnsi="Times New Roman Regular" w:cs="Times New Roman Regular"/>
          <w:sz w:val="24"/>
          <w:szCs w:val="24"/>
          <w:lang w:bidi="hi-IN"/>
        </w:rPr>
      </w:pPr>
    </w:p>
    <w:p w14:paraId="029383CC"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One of the advantages of this dataset is its cleanliness. The dataset has no missing values, allowing us to conduct data analysis directly. Moreover, the absence of impairment techniques would make our analysis results more authentic and reliable. In addition, in the scenario of early detection systems for students in simulated education, the correlation between continuous academic records (G1 and G2) leading to the final grade (G3) is particularly valuable. The early detection nature of this model allows educators or teachers can detect students might have academic issues at an early stage and act accordingly.</w:t>
      </w:r>
    </w:p>
    <w:p w14:paraId="7033DEAE" w14:textId="77777777" w:rsidR="0068748A" w:rsidRDefault="0068748A">
      <w:pPr>
        <w:rPr>
          <w:rFonts w:ascii="Times New Roman Regular" w:hAnsi="Times New Roman Regular" w:cs="Times New Roman Regular"/>
          <w:sz w:val="24"/>
          <w:szCs w:val="24"/>
          <w:lang w:bidi="hi-IN"/>
        </w:rPr>
      </w:pPr>
    </w:p>
    <w:p w14:paraId="10F2B48C"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interestingness of this dataset is that it offers some possibility to explore the interplay between personal circumstances and academic performance. By combining statistical and machine learning methods, this project seeks not only to build accurate predictive models but also to uncover meaningful patterns that can inform educational policy and student support strategies.</w:t>
      </w:r>
    </w:p>
    <w:p w14:paraId="4A052883" w14:textId="77777777" w:rsidR="0068748A" w:rsidRDefault="00000000">
      <w:pPr>
        <w:pStyle w:val="Heading1"/>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Exploratory Data Analysis (EDA)</w:t>
      </w:r>
    </w:p>
    <w:p w14:paraId="42F018A2"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In this section, we perform a deeper, question-driven exploration of the data to surface the most relevant patterns that will inform our modeling strategy. We focus on three key questions:</w:t>
      </w:r>
    </w:p>
    <w:p w14:paraId="0FEDE009" w14:textId="77777777" w:rsidR="0068748A" w:rsidRDefault="00000000">
      <w:pPr>
        <w:pStyle w:val="Heading2"/>
        <w:rPr>
          <w:rFonts w:ascii="Times New Roman Regular" w:hAnsi="Times New Roman Regular" w:cs="Times New Roman Regular"/>
          <w:sz w:val="24"/>
          <w:szCs w:val="24"/>
        </w:rPr>
      </w:pPr>
      <w:r>
        <w:rPr>
          <w:rFonts w:ascii="Times New Roman Regular" w:hAnsi="Times New Roman Regular" w:cs="Times New Roman Regular"/>
          <w:sz w:val="24"/>
          <w:szCs w:val="24"/>
        </w:rPr>
        <w:t>1. How strongly do earlier grades predict final performance, and is that relationship linear?</w:t>
      </w:r>
    </w:p>
    <w:p w14:paraId="33B8834D"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br/>
        <w:t>We start by quantifying and visualizing the relationship between the first-period grade (G1), second-period grade (G2), and final grade (G3). Although simple correlations indicate strong positive associations (G2–G3 ≈ 0.85), a scatterplot with a fitted regression line can reveal any non-linearity or heteroscedasticity.</w:t>
      </w:r>
    </w:p>
    <w:p w14:paraId="4891E622"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lastRenderedPageBreak/>
        <w:drawing>
          <wp:inline distT="0" distB="0" distL="0" distR="0" wp14:anchorId="1285AF1F" wp14:editId="2D9C0690">
            <wp:extent cx="52387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38750" cy="1609725"/>
                    </a:xfrm>
                    <a:prstGeom prst="rect">
                      <a:avLst/>
                    </a:prstGeom>
                  </pic:spPr>
                </pic:pic>
              </a:graphicData>
            </a:graphic>
          </wp:inline>
        </w:drawing>
      </w:r>
    </w:p>
    <w:p w14:paraId="203672EE"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And the scatterplot is:</w:t>
      </w:r>
    </w:p>
    <w:p w14:paraId="63E3E05D"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drawing>
          <wp:inline distT="0" distB="0" distL="0" distR="0" wp14:anchorId="55B49508" wp14:editId="0BC64221">
            <wp:extent cx="4157345" cy="4178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63935" cy="4184990"/>
                    </a:xfrm>
                    <a:prstGeom prst="rect">
                      <a:avLst/>
                    </a:prstGeom>
                  </pic:spPr>
                </pic:pic>
              </a:graphicData>
            </a:graphic>
          </wp:inline>
        </w:drawing>
      </w:r>
    </w:p>
    <w:p w14:paraId="382329B3"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By examining the residuals of this fit, we can also check whether the relationship flattens at high or low grades, indicating diminishing returns or floor effects.</w:t>
      </w:r>
    </w:p>
    <w:p w14:paraId="380390AB"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drawing>
          <wp:inline distT="0" distB="0" distL="0" distR="0" wp14:anchorId="4FE3A6E2" wp14:editId="6B85FD19">
            <wp:extent cx="449580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95800" cy="1162050"/>
                    </a:xfrm>
                    <a:prstGeom prst="rect">
                      <a:avLst/>
                    </a:prstGeom>
                  </pic:spPr>
                </pic:pic>
              </a:graphicData>
            </a:graphic>
          </wp:inline>
        </w:drawing>
      </w:r>
    </w:p>
    <w:p w14:paraId="7BD1C563"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lastRenderedPageBreak/>
        <w:t>The histogram plot is:</w:t>
      </w:r>
    </w:p>
    <w:p w14:paraId="398E5BEE" w14:textId="77777777" w:rsidR="0068748A" w:rsidRDefault="00000000">
      <w:pPr>
        <w:widowControl/>
        <w:spacing w:before="100" w:beforeAutospacing="1" w:after="100" w:afterAutospacing="1"/>
        <w:ind w:firstLineChars="300" w:firstLine="720"/>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drawing>
          <wp:inline distT="0" distB="0" distL="0" distR="0" wp14:anchorId="0E4B8F7D" wp14:editId="03CC5501">
            <wp:extent cx="4078605"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86491" cy="3308459"/>
                    </a:xfrm>
                    <a:prstGeom prst="rect">
                      <a:avLst/>
                    </a:prstGeom>
                  </pic:spPr>
                </pic:pic>
              </a:graphicData>
            </a:graphic>
          </wp:inline>
        </w:drawing>
      </w:r>
    </w:p>
    <w:p w14:paraId="256981C5" w14:textId="77777777" w:rsidR="0068748A" w:rsidRDefault="00000000">
      <w:pPr>
        <w:pStyle w:val="Heading2"/>
        <w:rPr>
          <w:rFonts w:ascii="Times New Roman Regular" w:hAnsi="Times New Roman Regular" w:cs="Times New Roman Regular"/>
          <w:sz w:val="24"/>
          <w:szCs w:val="24"/>
        </w:rPr>
      </w:pPr>
      <w:r>
        <w:rPr>
          <w:rFonts w:ascii="Times New Roman Regular" w:hAnsi="Times New Roman Regular" w:cs="Times New Roman Regular"/>
          <w:sz w:val="24"/>
          <w:szCs w:val="24"/>
        </w:rPr>
        <w:t>2. What is the impact of academic setbacks (failures, absences) on final grades?</w:t>
      </w:r>
    </w:p>
    <w:p w14:paraId="5BA420E8" w14:textId="2C2A1A19" w:rsidR="0068748A" w:rsidRDefault="001F0A98">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drawing>
          <wp:anchor distT="0" distB="0" distL="114300" distR="114300" simplePos="0" relativeHeight="251658240" behindDoc="0" locked="0" layoutInCell="1" allowOverlap="1" wp14:anchorId="50E5A961" wp14:editId="6739D453">
            <wp:simplePos x="0" y="0"/>
            <wp:positionH relativeFrom="column">
              <wp:posOffset>21590</wp:posOffset>
            </wp:positionH>
            <wp:positionV relativeFrom="paragraph">
              <wp:posOffset>1250315</wp:posOffset>
            </wp:positionV>
            <wp:extent cx="4234180" cy="30530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34180" cy="3053080"/>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Regular" w:eastAsia="SimSun" w:hAnsi="Times New Roman Regular" w:cs="Times New Roman Regular"/>
          <w:kern w:val="0"/>
          <w:sz w:val="24"/>
          <w:szCs w:val="24"/>
          <w:lang w:bidi="hi-IN"/>
        </w:rPr>
        <w:br/>
        <w:t>Students with past failures or high absence counts often underperform. To quantify this, we compare distributions of G3 by failure count and absence quartiles, and test whether mean differences are statistically significant.</w:t>
      </w:r>
    </w:p>
    <w:p w14:paraId="428F42EA" w14:textId="01BF8A52"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lastRenderedPageBreak/>
        <w:drawing>
          <wp:inline distT="0" distB="0" distL="0" distR="0" wp14:anchorId="30779A29" wp14:editId="7761DA8D">
            <wp:extent cx="4255770" cy="3068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59701" cy="3071675"/>
                    </a:xfrm>
                    <a:prstGeom prst="rect">
                      <a:avLst/>
                    </a:prstGeom>
                  </pic:spPr>
                </pic:pic>
              </a:graphicData>
            </a:graphic>
          </wp:inline>
        </w:drawing>
      </w:r>
    </w:p>
    <w:p w14:paraId="0D06F4A9" w14:textId="77777777" w:rsidR="0068748A" w:rsidRDefault="00000000">
      <w:pPr>
        <w:pStyle w:val="Heading2"/>
        <w:rPr>
          <w:rFonts w:ascii="Times New Roman Regular" w:hAnsi="Times New Roman Regular" w:cs="Times New Roman Regular"/>
          <w:sz w:val="24"/>
          <w:szCs w:val="24"/>
        </w:rPr>
      </w:pPr>
      <w:r>
        <w:rPr>
          <w:rFonts w:ascii="Times New Roman Regular" w:hAnsi="Times New Roman Regular" w:cs="Times New Roman Regular"/>
          <w:sz w:val="24"/>
          <w:szCs w:val="24"/>
        </w:rPr>
        <w:t>3. How do support factors (family relationship, school support) moderate academic outcomes?</w:t>
      </w:r>
    </w:p>
    <w:p w14:paraId="5EE4AF37" w14:textId="29E947B4" w:rsidR="0068748A" w:rsidRDefault="001F0A98">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drawing>
          <wp:anchor distT="0" distB="0" distL="114300" distR="114300" simplePos="0" relativeHeight="251659264" behindDoc="0" locked="0" layoutInCell="1" allowOverlap="1" wp14:anchorId="000A5441" wp14:editId="5CEF588E">
            <wp:simplePos x="0" y="0"/>
            <wp:positionH relativeFrom="column">
              <wp:posOffset>10795</wp:posOffset>
            </wp:positionH>
            <wp:positionV relativeFrom="paragraph">
              <wp:posOffset>952409</wp:posOffset>
            </wp:positionV>
            <wp:extent cx="4855210" cy="35934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55210" cy="3593465"/>
                    </a:xfrm>
                    <a:prstGeom prst="rect">
                      <a:avLst/>
                    </a:prstGeom>
                  </pic:spPr>
                </pic:pic>
              </a:graphicData>
            </a:graphic>
            <wp14:sizeRelH relativeFrom="page">
              <wp14:pctWidth>0</wp14:pctWidth>
            </wp14:sizeRelH>
            <wp14:sizeRelV relativeFrom="page">
              <wp14:pctHeight>0</wp14:pctHeight>
            </wp14:sizeRelV>
          </wp:anchor>
        </w:drawing>
      </w:r>
      <w:r w:rsidR="00000000">
        <w:rPr>
          <w:rFonts w:ascii="Times New Roman Regular" w:eastAsia="SimSun" w:hAnsi="Times New Roman Regular" w:cs="Times New Roman Regular"/>
          <w:kern w:val="0"/>
          <w:sz w:val="24"/>
          <w:szCs w:val="24"/>
          <w:lang w:bidi="hi-IN"/>
        </w:rPr>
        <w:t>We examine whether students with strong family relationships (</w:t>
      </w:r>
      <w:proofErr w:type="spellStart"/>
      <w:r w:rsidR="00000000">
        <w:rPr>
          <w:rFonts w:ascii="Times New Roman Regular" w:eastAsia="SimSun" w:hAnsi="Times New Roman Regular" w:cs="Times New Roman Regular"/>
          <w:kern w:val="0"/>
          <w:sz w:val="24"/>
          <w:szCs w:val="24"/>
          <w:lang w:bidi="hi-IN"/>
        </w:rPr>
        <w:t>famrel</w:t>
      </w:r>
      <w:proofErr w:type="spellEnd"/>
      <w:r w:rsidR="00000000">
        <w:rPr>
          <w:rFonts w:ascii="Times New Roman Regular" w:eastAsia="SimSun" w:hAnsi="Times New Roman Regular" w:cs="Times New Roman Regular"/>
          <w:kern w:val="0"/>
          <w:sz w:val="24"/>
          <w:szCs w:val="24"/>
          <w:lang w:bidi="hi-IN"/>
        </w:rPr>
        <w:t>) or school support (</w:t>
      </w:r>
      <w:proofErr w:type="spellStart"/>
      <w:r w:rsidR="00000000">
        <w:rPr>
          <w:rFonts w:ascii="Times New Roman Regular" w:eastAsia="SimSun" w:hAnsi="Times New Roman Regular" w:cs="Times New Roman Regular"/>
          <w:kern w:val="0"/>
          <w:sz w:val="24"/>
          <w:szCs w:val="24"/>
          <w:lang w:bidi="hi-IN"/>
        </w:rPr>
        <w:t>schoolsup</w:t>
      </w:r>
      <w:proofErr w:type="spellEnd"/>
      <w:r w:rsidR="00000000">
        <w:rPr>
          <w:rFonts w:ascii="Times New Roman Regular" w:eastAsia="SimSun" w:hAnsi="Times New Roman Regular" w:cs="Times New Roman Regular"/>
          <w:kern w:val="0"/>
          <w:sz w:val="24"/>
          <w:szCs w:val="24"/>
          <w:lang w:bidi="hi-IN"/>
        </w:rPr>
        <w:t>) show different performance trajectories. A violin plot or interaction plot helps visualize this:</w:t>
      </w:r>
    </w:p>
    <w:p w14:paraId="0622B730" w14:textId="4E04D196"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noProof/>
          <w:kern w:val="0"/>
          <w:sz w:val="24"/>
          <w:szCs w:val="24"/>
          <w:lang w:bidi="hi-IN"/>
        </w:rPr>
        <w:lastRenderedPageBreak/>
        <w:drawing>
          <wp:inline distT="0" distB="0" distL="0" distR="0" wp14:anchorId="19E11342" wp14:editId="6AAC8498">
            <wp:extent cx="4855210" cy="35934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55474" cy="3593599"/>
                    </a:xfrm>
                    <a:prstGeom prst="rect">
                      <a:avLst/>
                    </a:prstGeom>
                  </pic:spPr>
                </pic:pic>
              </a:graphicData>
            </a:graphic>
          </wp:inline>
        </w:drawing>
      </w:r>
    </w:p>
    <w:p w14:paraId="7CDA569E"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These targeted analyses reveal nuanced patterns—such as the possibility that school support has the greatest effect for students with below-average study time, indicating where interventions might be most effective.</w:t>
      </w:r>
    </w:p>
    <w:p w14:paraId="5F39F5B7" w14:textId="77777777" w:rsidR="0068748A" w:rsidRDefault="00000000">
      <w:pPr>
        <w:pStyle w:val="Heading2"/>
        <w:rPr>
          <w:rFonts w:ascii="Times New Roman Regular" w:hAnsi="Times New Roman Regular" w:cs="Times New Roman Regular"/>
          <w:sz w:val="24"/>
          <w:szCs w:val="24"/>
        </w:rPr>
      </w:pPr>
      <w:r>
        <w:rPr>
          <w:rFonts w:ascii="Times New Roman Regular" w:hAnsi="Times New Roman Regular" w:cs="Times New Roman Regular"/>
          <w:sz w:val="24"/>
          <w:szCs w:val="24"/>
        </w:rPr>
        <w:t>Synthesis of EDA Insights</w:t>
      </w:r>
    </w:p>
    <w:p w14:paraId="4D945328" w14:textId="77777777" w:rsidR="0068748A" w:rsidRDefault="00000000">
      <w:pPr>
        <w:widowControl/>
        <w:numPr>
          <w:ilvl w:val="0"/>
          <w:numId w:val="1"/>
        </w:numPr>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The G2–G3 relationship is strong and near-linear, justifying the inclusion of both in regression models and suggesting possible multicollinearity concerns.</w:t>
      </w:r>
    </w:p>
    <w:p w14:paraId="4E471207" w14:textId="77777777" w:rsidR="0068748A" w:rsidRDefault="00000000">
      <w:pPr>
        <w:widowControl/>
        <w:numPr>
          <w:ilvl w:val="0"/>
          <w:numId w:val="1"/>
        </w:numPr>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Even a single past failure is associated with a statistically significant drop in final grade, emphasizing the need to treat failures as a key predictor (possibly with non-linear encoding).</w:t>
      </w:r>
    </w:p>
    <w:p w14:paraId="178B70FC" w14:textId="77777777" w:rsidR="0068748A" w:rsidRDefault="00000000">
      <w:pPr>
        <w:widowControl/>
        <w:numPr>
          <w:ilvl w:val="0"/>
          <w:numId w:val="1"/>
        </w:numPr>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 xml:space="preserve">Support mechanisms like </w:t>
      </w:r>
      <w:proofErr w:type="spellStart"/>
      <w:r>
        <w:rPr>
          <w:rFonts w:ascii="Times New Roman Regular" w:eastAsia="SimSun" w:hAnsi="Times New Roman Regular" w:cs="Times New Roman Regular"/>
          <w:kern w:val="0"/>
          <w:sz w:val="24"/>
          <w:szCs w:val="24"/>
          <w:lang w:bidi="hi-IN"/>
        </w:rPr>
        <w:t>schoolsup</w:t>
      </w:r>
      <w:proofErr w:type="spellEnd"/>
      <w:r>
        <w:rPr>
          <w:rFonts w:ascii="Times New Roman Regular" w:eastAsia="SimSun" w:hAnsi="Times New Roman Regular" w:cs="Times New Roman Regular"/>
          <w:kern w:val="0"/>
          <w:sz w:val="24"/>
          <w:szCs w:val="24"/>
          <w:lang w:bidi="hi-IN"/>
        </w:rPr>
        <w:t xml:space="preserve"> interact with study habits, indicating that targeted support for low-</w:t>
      </w:r>
      <w:proofErr w:type="spellStart"/>
      <w:r>
        <w:rPr>
          <w:rFonts w:ascii="Times New Roman Regular" w:eastAsia="SimSun" w:hAnsi="Times New Roman Regular" w:cs="Times New Roman Regular"/>
          <w:kern w:val="0"/>
          <w:sz w:val="24"/>
          <w:szCs w:val="24"/>
          <w:lang w:bidi="hi-IN"/>
        </w:rPr>
        <w:t>studytime</w:t>
      </w:r>
      <w:proofErr w:type="spellEnd"/>
      <w:r>
        <w:rPr>
          <w:rFonts w:ascii="Times New Roman Regular" w:eastAsia="SimSun" w:hAnsi="Times New Roman Regular" w:cs="Times New Roman Regular"/>
          <w:kern w:val="0"/>
          <w:sz w:val="24"/>
          <w:szCs w:val="24"/>
          <w:lang w:bidi="hi-IN"/>
        </w:rPr>
        <w:t xml:space="preserve"> students could yield the greatest performance gains.</w:t>
      </w:r>
    </w:p>
    <w:p w14:paraId="5B7A303D" w14:textId="77777777" w:rsidR="0068748A" w:rsidRDefault="00000000">
      <w:pPr>
        <w:widowControl/>
        <w:spacing w:before="100" w:beforeAutospacing="1" w:after="100" w:afterAutospacing="1"/>
        <w:jc w:val="left"/>
        <w:rPr>
          <w:rFonts w:ascii="Times New Roman Regular" w:eastAsia="SimSun" w:hAnsi="Times New Roman Regular" w:cs="Times New Roman Regular"/>
          <w:kern w:val="0"/>
          <w:sz w:val="24"/>
          <w:szCs w:val="24"/>
          <w:lang w:bidi="hi-IN"/>
        </w:rPr>
      </w:pPr>
      <w:r>
        <w:rPr>
          <w:rFonts w:ascii="Times New Roman Regular" w:eastAsia="SimSun" w:hAnsi="Times New Roman Regular" w:cs="Times New Roman Regular"/>
          <w:kern w:val="0"/>
          <w:sz w:val="24"/>
          <w:szCs w:val="24"/>
          <w:lang w:bidi="hi-IN"/>
        </w:rPr>
        <w:t xml:space="preserve">These findings directly inform our modeling choices: including polynomial or interaction terms for failures and </w:t>
      </w:r>
      <w:proofErr w:type="spellStart"/>
      <w:r>
        <w:rPr>
          <w:rFonts w:ascii="Times New Roman Regular" w:eastAsia="SimSun" w:hAnsi="Times New Roman Regular" w:cs="Times New Roman Regular"/>
          <w:kern w:val="0"/>
          <w:sz w:val="24"/>
          <w:szCs w:val="24"/>
          <w:lang w:bidi="hi-IN"/>
        </w:rPr>
        <w:t>studytime</w:t>
      </w:r>
      <w:proofErr w:type="spellEnd"/>
      <w:r>
        <w:rPr>
          <w:rFonts w:ascii="Times New Roman Regular" w:eastAsia="SimSun" w:hAnsi="Times New Roman Regular" w:cs="Times New Roman Regular"/>
          <w:kern w:val="0"/>
          <w:sz w:val="24"/>
          <w:szCs w:val="24"/>
          <w:lang w:bidi="hi-IN"/>
        </w:rPr>
        <w:t>, regularizing correlated grade variables, and exploring tree‐based splits that capture heterogeneous support effects.</w:t>
      </w:r>
    </w:p>
    <w:p w14:paraId="799972F1" w14:textId="77777777" w:rsidR="0068748A" w:rsidRDefault="00000000">
      <w:pPr>
        <w:pStyle w:val="Heading1"/>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Models and Methods</w:t>
      </w:r>
    </w:p>
    <w:p w14:paraId="0EDB7F24"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 xml:space="preserve">To predict the final mathematics grades (G3) of high school students, this project implements and compares five distinct regression models: a baseline model, linear </w:t>
      </w:r>
      <w:r>
        <w:rPr>
          <w:rFonts w:ascii="Times New Roman Regular" w:hAnsi="Times New Roman Regular" w:cs="Times New Roman Regular"/>
          <w:sz w:val="24"/>
          <w:szCs w:val="24"/>
          <w:lang w:bidi="hi-IN"/>
        </w:rPr>
        <w:lastRenderedPageBreak/>
        <w:t>regression, k-nearest neighbors (KNN), decision tree regression, and random forest regression. The purpose of using a variety of models is to assess not only predictive performance but also interpretability and robustness to different types of features.</w:t>
      </w:r>
    </w:p>
    <w:p w14:paraId="15A937A9" w14:textId="77777777" w:rsidR="0068748A" w:rsidRDefault="0068748A">
      <w:pPr>
        <w:rPr>
          <w:rFonts w:ascii="Times New Roman Regular" w:hAnsi="Times New Roman Regular" w:cs="Times New Roman Regular"/>
          <w:sz w:val="24"/>
          <w:szCs w:val="24"/>
          <w:lang w:bidi="hi-IN"/>
        </w:rPr>
      </w:pPr>
    </w:p>
    <w:p w14:paraId="17C90EFC"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 xml:space="preserve">We begin by splitting the dataset into training and testing sets using an 80-20 ratio. Prior to modeling, all categorical variables are transformed using one-hot encoding to ensure compatibility with scikit-learn pipelines. Numerical features are standardized using </w:t>
      </w:r>
      <w:proofErr w:type="spellStart"/>
      <w:r>
        <w:rPr>
          <w:rFonts w:ascii="Times New Roman Regular" w:hAnsi="Times New Roman Regular" w:cs="Times New Roman Regular"/>
          <w:sz w:val="24"/>
          <w:szCs w:val="24"/>
          <w:lang w:bidi="hi-IN"/>
        </w:rPr>
        <w:t>StandardScaler</w:t>
      </w:r>
      <w:proofErr w:type="spellEnd"/>
      <w:r>
        <w:rPr>
          <w:rFonts w:ascii="Times New Roman Regular" w:hAnsi="Times New Roman Regular" w:cs="Times New Roman Regular"/>
          <w:sz w:val="24"/>
          <w:szCs w:val="24"/>
          <w:lang w:bidi="hi-IN"/>
        </w:rPr>
        <w:t xml:space="preserve"> to improve model stability and fairness during distance-based and tree-based learning. The feature matrix excludes the target variable (G3), which serves as the output to be predicted.</w:t>
      </w:r>
    </w:p>
    <w:p w14:paraId="1750A30E" w14:textId="77777777" w:rsidR="0068748A" w:rsidRDefault="0068748A">
      <w:pPr>
        <w:rPr>
          <w:rFonts w:ascii="Times New Roman Regular" w:hAnsi="Times New Roman Regular" w:cs="Times New Roman Regular"/>
          <w:sz w:val="24"/>
          <w:szCs w:val="24"/>
          <w:lang w:bidi="hi-IN"/>
        </w:rPr>
      </w:pPr>
    </w:p>
    <w:p w14:paraId="0B8C0AD5"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baseline model predicts the mean of the training set as the output for all test instances. Although simplistic, this model provides a benchmark for evaluating the added value of more complex algorithms.</w:t>
      </w:r>
    </w:p>
    <w:p w14:paraId="16885071" w14:textId="77777777" w:rsidR="0068748A" w:rsidRDefault="0068748A">
      <w:pPr>
        <w:rPr>
          <w:rFonts w:ascii="Times New Roman Regular" w:hAnsi="Times New Roman Regular" w:cs="Times New Roman Regular"/>
          <w:sz w:val="24"/>
          <w:szCs w:val="24"/>
          <w:lang w:bidi="hi-IN"/>
        </w:rPr>
      </w:pPr>
    </w:p>
    <w:p w14:paraId="0682C856"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linear regression model captures linear relationships between the independent variables and the final grade. The coefficients it provides help explain the degree and direction of influence of each feature. In our implementation, this model is constructed using a pipeline that combines feature scaling and linear regression from scikit learn. On the other hand, the k-nearest neighbor (KNN) model is a non-parametric method that predicts a student's final grade based on the average score of the k closest training samples in the feature space. We use grid search with cross validation to identify the optimal value of k that minimizes mean square error (MSE). Standardization is crucial here because KNN relies on Euclidean distance.</w:t>
      </w:r>
    </w:p>
    <w:p w14:paraId="624C3114" w14:textId="77777777" w:rsidR="0068748A" w:rsidRDefault="0068748A">
      <w:pPr>
        <w:rPr>
          <w:rFonts w:ascii="Times New Roman Regular" w:hAnsi="Times New Roman Regular" w:cs="Times New Roman Regular"/>
          <w:sz w:val="24"/>
          <w:szCs w:val="24"/>
          <w:lang w:bidi="hi-IN"/>
        </w:rPr>
      </w:pPr>
    </w:p>
    <w:p w14:paraId="2003C20E"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For the decision tree regression model, this project is implemented by building a tree. It recursively splits the original dataset into subsets that become increasingly homogeneous relative to the target variable. At the same time, we also applied grid search to adjust the tree depth and the minimum number of samples per leaf. This model also allows for visualization of the learned tree structure and extraction of feature importance, providing great convenience for our subsequent analysis.</w:t>
      </w:r>
    </w:p>
    <w:p w14:paraId="4B385B3E" w14:textId="77777777" w:rsidR="0068748A" w:rsidRDefault="0068748A">
      <w:pPr>
        <w:rPr>
          <w:rFonts w:ascii="Times New Roman Regular" w:hAnsi="Times New Roman Regular" w:cs="Times New Roman Regular"/>
          <w:sz w:val="24"/>
          <w:szCs w:val="24"/>
          <w:lang w:bidi="hi-IN"/>
        </w:rPr>
      </w:pPr>
    </w:p>
    <w:p w14:paraId="4C11304A"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Finally, we trained a random forest regressor, which is a collection of multiple decision trees. Each subtree in this forest is trained on a random subset of data and features, and the final prediction value is obtained by taking the average output of all trees. It is obvious that compared to a single decision tree, this model is often more accurate and more robust to overfitting. We attempted to perform some performance optimizations, such as adjusting the number and maximum depth of estimators through cross validation.</w:t>
      </w:r>
    </w:p>
    <w:p w14:paraId="4A766DC2" w14:textId="77777777" w:rsidR="0068748A" w:rsidRDefault="0068748A">
      <w:pPr>
        <w:rPr>
          <w:rFonts w:ascii="Times New Roman Regular" w:hAnsi="Times New Roman Regular" w:cs="Times New Roman Regular"/>
          <w:sz w:val="24"/>
          <w:szCs w:val="24"/>
          <w:lang w:bidi="hi-IN"/>
        </w:rPr>
      </w:pPr>
    </w:p>
    <w:p w14:paraId="3C5D9460"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 xml:space="preserve">In this experiment, the above models were evaluated based on two main indicators: mean squared error (MSE) to measure the average square difference between predicted and actual scores, and R-squared (R ²) to reflect the proportion of variance in the final score explained by the model. Simple models such as linear regression provide very </w:t>
      </w:r>
      <w:r>
        <w:rPr>
          <w:rFonts w:ascii="Times New Roman Regular" w:hAnsi="Times New Roman Regular" w:cs="Times New Roman Regular"/>
          <w:sz w:val="24"/>
          <w:szCs w:val="24"/>
          <w:lang w:bidi="hi-IN"/>
        </w:rPr>
        <w:lastRenderedPageBreak/>
        <w:t>intuitive explanations, while more complex models such as random forests can better reveal some nonlinear relationships.</w:t>
      </w:r>
    </w:p>
    <w:p w14:paraId="6D120C1A" w14:textId="77777777" w:rsidR="0068748A" w:rsidRDefault="00000000">
      <w:pPr>
        <w:pStyle w:val="Heading1"/>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Results and Interpretation</w:t>
      </w:r>
    </w:p>
    <w:p w14:paraId="68672A7E"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analysis aimed to predict students’ final grades using five different regression models, each rooted in distinct theoretical approaches to learning from data. The performance of these models varied, reflecting both their structural assumptions and their ability to generalize from the available features.</w:t>
      </w:r>
    </w:p>
    <w:p w14:paraId="58D616F0" w14:textId="77777777" w:rsidR="0068748A" w:rsidRDefault="0068748A">
      <w:pPr>
        <w:rPr>
          <w:rFonts w:ascii="Times New Roman Regular" w:hAnsi="Times New Roman Regular" w:cs="Times New Roman Regular"/>
          <w:sz w:val="24"/>
          <w:szCs w:val="24"/>
          <w:lang w:bidi="hi-IN"/>
        </w:rPr>
      </w:pPr>
    </w:p>
    <w:p w14:paraId="283AD5FF"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baseline model, which predicts the average final grade (G3) for all students without considering any input features, resulted in a high mean squared error (MSE) of 20.94. This provides a benchmark against which all other models can be evaluated. Any model producing a significantly lower error indicates it has learned meaningful patterns in the data rather than defaulting to the mean.</w:t>
      </w:r>
    </w:p>
    <w:p w14:paraId="7430652F" w14:textId="77777777" w:rsidR="0068748A" w:rsidRDefault="0068748A">
      <w:pPr>
        <w:rPr>
          <w:rFonts w:ascii="Times New Roman Regular" w:hAnsi="Times New Roman Regular" w:cs="Times New Roman Regular"/>
          <w:sz w:val="24"/>
          <w:szCs w:val="24"/>
          <w:lang w:bidi="hi-IN"/>
        </w:rPr>
      </w:pPr>
    </w:p>
    <w:p w14:paraId="7FA6BC33"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multiple linear regression model significantly outperformed the baseline. It achieved a training MSE of 3.47 and a testing MSE of 2.76, which corresponds to a strong explanatory power (with an implied R² of approximately 0.87). The regression coefficients revealed that the second period grade (G2) was by far the most influential predictor, followed by the first period grade (G1) and several other academic and behavioral features such as absences and parental education levels. Interestingly, variables like participation in nursery education or intentions to pursue higher education had negative coefficients, possibly due to interactions or latent factors not directly captured in the model.</w:t>
      </w:r>
    </w:p>
    <w:p w14:paraId="3A8EE198" w14:textId="77777777" w:rsidR="0068748A" w:rsidRDefault="00000000">
      <w:pPr>
        <w:ind w:firstLineChars="600" w:firstLine="1440"/>
        <w:rPr>
          <w:rFonts w:ascii="Times New Roman Regular" w:hAnsi="Times New Roman Regular" w:cs="Times New Roman Regular"/>
          <w:sz w:val="24"/>
          <w:szCs w:val="24"/>
          <w:lang w:bidi="hi-IN"/>
        </w:rPr>
      </w:pPr>
      <w:r>
        <w:rPr>
          <w:rFonts w:ascii="Times New Roman Regular" w:hAnsi="Times New Roman Regular" w:cs="Times New Roman Regular"/>
          <w:noProof/>
          <w:sz w:val="24"/>
          <w:szCs w:val="24"/>
          <w:lang w:bidi="hi-IN"/>
        </w:rPr>
        <w:lastRenderedPageBreak/>
        <w:drawing>
          <wp:inline distT="0" distB="0" distL="0" distR="0" wp14:anchorId="7767AF34" wp14:editId="5FB964FC">
            <wp:extent cx="3288665" cy="703135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92473" cy="7039081"/>
                    </a:xfrm>
                    <a:prstGeom prst="rect">
                      <a:avLst/>
                    </a:prstGeom>
                  </pic:spPr>
                </pic:pic>
              </a:graphicData>
            </a:graphic>
          </wp:inline>
        </w:drawing>
      </w:r>
    </w:p>
    <w:p w14:paraId="167161CF" w14:textId="77777777" w:rsidR="0068748A" w:rsidRDefault="00000000">
      <w:pPr>
        <w:ind w:firstLineChars="600" w:firstLine="1440"/>
        <w:rPr>
          <w:rFonts w:ascii="Times New Roman Regular" w:hAnsi="Times New Roman Regular" w:cs="Times New Roman Regular"/>
          <w:sz w:val="24"/>
          <w:szCs w:val="24"/>
          <w:lang w:bidi="hi-IN"/>
        </w:rPr>
      </w:pPr>
      <w:r>
        <w:rPr>
          <w:rFonts w:ascii="Times New Roman Regular" w:hAnsi="Times New Roman Regular" w:cs="Times New Roman Regular"/>
          <w:noProof/>
          <w:sz w:val="24"/>
          <w:szCs w:val="24"/>
          <w:lang w:bidi="hi-IN"/>
        </w:rPr>
        <w:lastRenderedPageBreak/>
        <w:drawing>
          <wp:inline distT="0" distB="0" distL="0" distR="0" wp14:anchorId="66640491" wp14:editId="26101388">
            <wp:extent cx="2209800" cy="5686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9800" cy="5686425"/>
                    </a:xfrm>
                    <a:prstGeom prst="rect">
                      <a:avLst/>
                    </a:prstGeom>
                  </pic:spPr>
                </pic:pic>
              </a:graphicData>
            </a:graphic>
          </wp:inline>
        </w:drawing>
      </w:r>
    </w:p>
    <w:p w14:paraId="16C1F0A8" w14:textId="77777777" w:rsidR="0068748A" w:rsidRDefault="0068748A">
      <w:pPr>
        <w:ind w:firstLineChars="600" w:firstLine="1440"/>
        <w:rPr>
          <w:rFonts w:ascii="Times New Roman Regular" w:hAnsi="Times New Roman Regular" w:cs="Times New Roman Regular"/>
          <w:sz w:val="24"/>
          <w:szCs w:val="24"/>
          <w:lang w:bidi="hi-IN"/>
        </w:rPr>
      </w:pPr>
    </w:p>
    <w:p w14:paraId="293A2830"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In contrast, the k-nearest neighbors (KNN) regression model yielded a testing MSE of 7.15 and a training MSE of 5.62. Its performance lagged behind the linear model, suggesting that local similarity in the feature space did not translate into more accurate grade predictions. The KNN model, being non-parametric, is sensitive to feature scaling and dimensionality. With many categorical variables encoded into high-dimensional vectors, the distance-based nature of KNN may be weakened. Still, G2 and G1 again emerged as dominant features.</w:t>
      </w:r>
    </w:p>
    <w:p w14:paraId="37247408" w14:textId="77777777" w:rsidR="0068748A" w:rsidRDefault="0068748A">
      <w:pPr>
        <w:rPr>
          <w:rFonts w:ascii="Times New Roman Regular" w:hAnsi="Times New Roman Regular" w:cs="Times New Roman Regular"/>
          <w:sz w:val="24"/>
          <w:szCs w:val="24"/>
          <w:lang w:bidi="hi-IN"/>
        </w:rPr>
      </w:pPr>
    </w:p>
    <w:p w14:paraId="0C843266" w14:textId="77777777" w:rsidR="0068748A" w:rsidRDefault="00000000">
      <w:pPr>
        <w:ind w:firstLineChars="800" w:firstLine="1920"/>
        <w:rPr>
          <w:rFonts w:ascii="Times New Roman Regular" w:hAnsi="Times New Roman Regular" w:cs="Times New Roman Regular"/>
          <w:sz w:val="24"/>
          <w:szCs w:val="24"/>
          <w:lang w:bidi="hi-IN"/>
        </w:rPr>
      </w:pPr>
      <w:r>
        <w:rPr>
          <w:rFonts w:ascii="Times New Roman Regular" w:hAnsi="Times New Roman Regular" w:cs="Times New Roman Regular"/>
          <w:noProof/>
          <w:sz w:val="24"/>
          <w:szCs w:val="24"/>
          <w:lang w:bidi="hi-IN"/>
        </w:rPr>
        <w:lastRenderedPageBreak/>
        <w:drawing>
          <wp:inline distT="0" distB="0" distL="0" distR="0" wp14:anchorId="51CA0E9D" wp14:editId="4F9F7E71">
            <wp:extent cx="310515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05150" cy="2857500"/>
                    </a:xfrm>
                    <a:prstGeom prst="rect">
                      <a:avLst/>
                    </a:prstGeom>
                  </pic:spPr>
                </pic:pic>
              </a:graphicData>
            </a:graphic>
          </wp:inline>
        </w:drawing>
      </w:r>
    </w:p>
    <w:p w14:paraId="468E1E37"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decision tree regression model performed much better, achieving a testing MSE of 1.90 and an R² score of 0.90. By recursively splitting the feature space based on the most informative variables, the model identified G2 as the overwhelmingly dominant predictor, followed by absences and age, with most other features excluded from the tree entirely. This underscores the model's strength in identifying hierarchical, non-linear relationships.</w:t>
      </w:r>
    </w:p>
    <w:p w14:paraId="5529EF6F" w14:textId="77777777" w:rsidR="0068748A" w:rsidRDefault="0068748A">
      <w:pPr>
        <w:rPr>
          <w:rFonts w:ascii="Times New Roman Regular" w:hAnsi="Times New Roman Regular" w:cs="Times New Roman Regular"/>
          <w:sz w:val="24"/>
          <w:szCs w:val="24"/>
          <w:lang w:bidi="hi-IN"/>
        </w:rPr>
      </w:pPr>
    </w:p>
    <w:p w14:paraId="44D34BCB"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decision tree diagram is:</w:t>
      </w:r>
    </w:p>
    <w:p w14:paraId="790F75BF"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noProof/>
          <w:sz w:val="24"/>
          <w:szCs w:val="24"/>
          <w:lang w:bidi="hi-IN"/>
        </w:rPr>
        <w:drawing>
          <wp:inline distT="0" distB="0" distL="0" distR="0" wp14:anchorId="34C293FC" wp14:editId="27B409B5">
            <wp:extent cx="5553075" cy="2671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57573" cy="2673737"/>
                    </a:xfrm>
                    <a:prstGeom prst="rect">
                      <a:avLst/>
                    </a:prstGeom>
                  </pic:spPr>
                </pic:pic>
              </a:graphicData>
            </a:graphic>
          </wp:inline>
        </w:drawing>
      </w:r>
    </w:p>
    <w:p w14:paraId="612519C5" w14:textId="77777777" w:rsidR="0068748A" w:rsidRDefault="0068748A">
      <w:pPr>
        <w:rPr>
          <w:rFonts w:ascii="Times New Roman Regular" w:hAnsi="Times New Roman Regular" w:cs="Times New Roman Regular"/>
          <w:sz w:val="24"/>
          <w:szCs w:val="24"/>
          <w:lang w:bidi="hi-IN"/>
        </w:rPr>
      </w:pPr>
    </w:p>
    <w:p w14:paraId="675A7E4B"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feature importance of the decision tree is:</w:t>
      </w:r>
    </w:p>
    <w:p w14:paraId="15ABFA63" w14:textId="77777777" w:rsidR="0068748A" w:rsidRDefault="00000000">
      <w:pPr>
        <w:ind w:firstLineChars="600" w:firstLine="1440"/>
        <w:rPr>
          <w:rFonts w:ascii="Times New Roman Regular" w:hAnsi="Times New Roman Regular" w:cs="Times New Roman Regular"/>
          <w:sz w:val="24"/>
          <w:szCs w:val="24"/>
          <w:lang w:bidi="hi-IN"/>
        </w:rPr>
      </w:pPr>
      <w:r>
        <w:rPr>
          <w:rFonts w:ascii="Times New Roman Regular" w:hAnsi="Times New Roman Regular" w:cs="Times New Roman Regular"/>
          <w:noProof/>
          <w:sz w:val="24"/>
          <w:szCs w:val="24"/>
          <w:lang w:bidi="hi-IN"/>
        </w:rPr>
        <w:lastRenderedPageBreak/>
        <w:drawing>
          <wp:inline distT="0" distB="0" distL="0" distR="0" wp14:anchorId="40E53274" wp14:editId="33CD73D8">
            <wp:extent cx="2981325" cy="2162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81325" cy="2162175"/>
                    </a:xfrm>
                    <a:prstGeom prst="rect">
                      <a:avLst/>
                    </a:prstGeom>
                  </pic:spPr>
                </pic:pic>
              </a:graphicData>
            </a:graphic>
          </wp:inline>
        </w:drawing>
      </w:r>
    </w:p>
    <w:p w14:paraId="01B1541A" w14:textId="77777777" w:rsidR="0068748A" w:rsidRDefault="0068748A">
      <w:pPr>
        <w:rPr>
          <w:rFonts w:ascii="Times New Roman Regular" w:hAnsi="Times New Roman Regular" w:cs="Times New Roman Regular"/>
          <w:sz w:val="24"/>
          <w:szCs w:val="24"/>
          <w:lang w:bidi="hi-IN"/>
        </w:rPr>
      </w:pPr>
    </w:p>
    <w:p w14:paraId="0AF41C66"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random forest regression model emerged as the best-performing approach. With an optimized configuration of 100 trees and a max depth of 7, it achieved a training MSE of 0.51 and a testing MSE of 1.28, corresponding to an R² of 0.93. This model effectively combined the strengths of many shallow decision trees, capturing complex patterns while avoiding overfitting. G2 remained the most important feature, but absences, age, and behavioral indicators like activities and paid classes also contributed modestly, as shown below.</w:t>
      </w:r>
    </w:p>
    <w:p w14:paraId="51F23C50" w14:textId="77777777" w:rsidR="0068748A" w:rsidRDefault="0068748A">
      <w:pPr>
        <w:rPr>
          <w:rFonts w:ascii="Times New Roman Regular" w:hAnsi="Times New Roman Regular" w:cs="Times New Roman Regular"/>
          <w:sz w:val="24"/>
          <w:szCs w:val="24"/>
          <w:lang w:bidi="hi-IN"/>
        </w:rPr>
      </w:pPr>
    </w:p>
    <w:p w14:paraId="5500AFEE"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noProof/>
          <w:sz w:val="24"/>
          <w:szCs w:val="24"/>
          <w:lang w:bidi="hi-IN"/>
        </w:rPr>
        <w:drawing>
          <wp:inline distT="0" distB="0" distL="0" distR="0" wp14:anchorId="6BE1E7EE" wp14:editId="548B73B8">
            <wp:extent cx="5274310" cy="27076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2707640"/>
                    </a:xfrm>
                    <a:prstGeom prst="rect">
                      <a:avLst/>
                    </a:prstGeom>
                  </pic:spPr>
                </pic:pic>
              </a:graphicData>
            </a:graphic>
          </wp:inline>
        </w:drawing>
      </w:r>
    </w:p>
    <w:p w14:paraId="166A1714" w14:textId="77777777" w:rsidR="0068748A" w:rsidRDefault="0068748A">
      <w:pPr>
        <w:rPr>
          <w:rFonts w:ascii="Times New Roman Regular" w:hAnsi="Times New Roman Regular" w:cs="Times New Roman Regular"/>
          <w:sz w:val="24"/>
          <w:szCs w:val="24"/>
          <w:lang w:bidi="hi-IN"/>
        </w:rPr>
      </w:pPr>
    </w:p>
    <w:p w14:paraId="7F041707"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Across all models, a consistent pattern emerged: academic performance in previous periods—especially G2—was the most reliable indicator of final grades. Socio-demographic and lifestyle factors appeared less influential or inconsistently significant across models. This suggests that, while such background variables provide context, they are not the primary drivers of academic outcomes in this dataset. The results align with theoretical expectations: linear models offer transparency and efficiency when assumptions hold, while tree-based ensembles like random forests excel in capturing non-linear relationships and interactions—though at the cost of interpretability.</w:t>
      </w:r>
    </w:p>
    <w:p w14:paraId="5AF473A8" w14:textId="77777777" w:rsidR="0068748A" w:rsidRDefault="0068748A">
      <w:pPr>
        <w:rPr>
          <w:rFonts w:ascii="Times New Roman Regular" w:hAnsi="Times New Roman Regular" w:cs="Times New Roman Regular"/>
          <w:sz w:val="24"/>
          <w:szCs w:val="24"/>
          <w:lang w:bidi="hi-IN"/>
        </w:rPr>
      </w:pPr>
    </w:p>
    <w:p w14:paraId="6F05E77E"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lastRenderedPageBreak/>
        <w:t xml:space="preserve">In conclusion, the study highlights the trade-offs between simplicity, interpretability, and predictive performance (Figure 1). </w:t>
      </w:r>
    </w:p>
    <w:p w14:paraId="508EC974" w14:textId="77777777" w:rsidR="0068748A" w:rsidRDefault="0068748A">
      <w:pPr>
        <w:rPr>
          <w:rFonts w:ascii="Times New Roman Regular" w:hAnsi="Times New Roman Regular" w:cs="Times New Roman Regular"/>
          <w:sz w:val="24"/>
          <w:szCs w:val="24"/>
          <w:lang w:bidi="hi-IN"/>
        </w:rPr>
      </w:pPr>
    </w:p>
    <w:p w14:paraId="10D34A93"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noProof/>
          <w:sz w:val="24"/>
          <w:szCs w:val="24"/>
          <w:lang w:bidi="hi-IN"/>
        </w:rPr>
        <w:drawing>
          <wp:inline distT="0" distB="0" distL="0" distR="0" wp14:anchorId="04E34705" wp14:editId="1E2830E2">
            <wp:extent cx="5274310" cy="27514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2751455"/>
                    </a:xfrm>
                    <a:prstGeom prst="rect">
                      <a:avLst/>
                    </a:prstGeom>
                  </pic:spPr>
                </pic:pic>
              </a:graphicData>
            </a:graphic>
          </wp:inline>
        </w:drawing>
      </w:r>
    </w:p>
    <w:p w14:paraId="14E09E4E" w14:textId="77777777" w:rsidR="0068748A" w:rsidRDefault="0068748A">
      <w:pPr>
        <w:rPr>
          <w:rFonts w:ascii="Times New Roman Regular" w:hAnsi="Times New Roman Regular" w:cs="Times New Roman Regular"/>
          <w:sz w:val="24"/>
          <w:szCs w:val="24"/>
          <w:lang w:bidi="hi-IN"/>
        </w:rPr>
      </w:pPr>
    </w:p>
    <w:p w14:paraId="0825D2F5"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Each model offers a unique lens through which student performance can be understood and predicted, with the random forest proving most effective at balancing complexity and accuracy.</w:t>
      </w:r>
    </w:p>
    <w:p w14:paraId="2E1AB275" w14:textId="77777777" w:rsidR="0068748A" w:rsidRDefault="0068748A">
      <w:pPr>
        <w:rPr>
          <w:rFonts w:ascii="Times New Roman Regular" w:hAnsi="Times New Roman Regular" w:cs="Times New Roman Regular"/>
          <w:sz w:val="24"/>
          <w:szCs w:val="24"/>
          <w:lang w:bidi="hi-IN"/>
        </w:rPr>
      </w:pPr>
    </w:p>
    <w:p w14:paraId="513D07D9" w14:textId="77777777" w:rsidR="0068748A" w:rsidRDefault="00000000">
      <w:pPr>
        <w:widowControl/>
        <w:spacing w:before="100" w:beforeAutospacing="1" w:after="100" w:afterAutospacing="1"/>
        <w:jc w:val="left"/>
        <w:outlineLvl w:val="1"/>
        <w:rPr>
          <w:rFonts w:ascii="Times New Roman Regular" w:eastAsia="SimSun" w:hAnsi="Times New Roman Regular" w:cs="Times New Roman Regular"/>
          <w:b/>
          <w:bCs/>
          <w:kern w:val="0"/>
          <w:sz w:val="24"/>
          <w:szCs w:val="24"/>
          <w:lang w:bidi="hi-IN"/>
        </w:rPr>
      </w:pPr>
      <w:r>
        <w:rPr>
          <w:rFonts w:ascii="Times New Roman Regular" w:eastAsia="SimSun" w:hAnsi="Times New Roman Regular" w:cs="Times New Roman Regular"/>
          <w:b/>
          <w:bCs/>
          <w:kern w:val="0"/>
          <w:sz w:val="24"/>
          <w:szCs w:val="24"/>
          <w:lang w:bidi="hi-IN"/>
        </w:rPr>
        <w:t>Conclusion and Next Steps</w:t>
      </w:r>
    </w:p>
    <w:p w14:paraId="2D62E567"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This study applied and compared several regression models—including a baseline predictor, linear regression, K-Nearest Neighbors (KNN), decision tree, and random forest—to predict students’ final grades using demographic and academic features. The baseline model provided a reference MSE of approximately 20.94, against which all other models showed considerable improvement. Among the models tested, the random forest regressor demonstrated the highest predictive accuracy, achieving the lowest test MSE (1.28) and the highest R² score (0.93), indicating it captured a substantial amount of variance in the target variable.</w:t>
      </w:r>
    </w:p>
    <w:p w14:paraId="46076487" w14:textId="77777777" w:rsidR="0068748A" w:rsidRDefault="0068748A">
      <w:pPr>
        <w:rPr>
          <w:rFonts w:ascii="Times New Roman Regular" w:hAnsi="Times New Roman Regular" w:cs="Times New Roman Regular"/>
          <w:sz w:val="24"/>
          <w:szCs w:val="24"/>
          <w:lang w:bidi="hi-IN"/>
        </w:rPr>
      </w:pPr>
    </w:p>
    <w:p w14:paraId="24A86D28"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The results consistently highlighted the importance of prior academic performance, especially the G2 (second period grade) and G1 (first period grade) features, as strong predictors of final grades. In addition, variables such as absences, age, and failures also emerged as relevant factors, though their impact varied slightly across models. This aligns with educational research suggesting that continuous assessment and engagement are critical indicators of student success.</w:t>
      </w:r>
    </w:p>
    <w:p w14:paraId="6C705066" w14:textId="77777777" w:rsidR="0068748A" w:rsidRDefault="0068748A">
      <w:pPr>
        <w:rPr>
          <w:rFonts w:ascii="Times New Roman Regular" w:hAnsi="Times New Roman Regular" w:cs="Times New Roman Regular"/>
          <w:sz w:val="24"/>
          <w:szCs w:val="24"/>
          <w:lang w:bidi="hi-IN"/>
        </w:rPr>
      </w:pPr>
    </w:p>
    <w:p w14:paraId="2BC95417"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 xml:space="preserve">However, while tree-based models like the decision tree and random forest achieved strong results, they also carry the risk of overfitting, particularly when model complexity is not carefully tuned. The simpler linear regression model offered more interpretability, though with slightly lower accuracy, making it a reasonable alternative </w:t>
      </w:r>
      <w:r>
        <w:rPr>
          <w:rFonts w:ascii="Times New Roman Regular" w:hAnsi="Times New Roman Regular" w:cs="Times New Roman Regular"/>
          <w:sz w:val="24"/>
          <w:szCs w:val="24"/>
          <w:lang w:bidi="hi-IN"/>
        </w:rPr>
        <w:lastRenderedPageBreak/>
        <w:t>in situations where explainability is prioritized over predictive power.</w:t>
      </w:r>
    </w:p>
    <w:p w14:paraId="65ABB392" w14:textId="77777777" w:rsidR="0068748A" w:rsidRDefault="0068748A">
      <w:pPr>
        <w:rPr>
          <w:rFonts w:ascii="Times New Roman Regular" w:hAnsi="Times New Roman Regular" w:cs="Times New Roman Regular"/>
          <w:sz w:val="24"/>
          <w:szCs w:val="24"/>
          <w:lang w:bidi="hi-IN"/>
        </w:rPr>
      </w:pPr>
    </w:p>
    <w:p w14:paraId="0714D13E" w14:textId="77777777" w:rsidR="0068748A" w:rsidRDefault="00000000">
      <w:pPr>
        <w:rPr>
          <w:rFonts w:ascii="Times New Roman Regular" w:hAnsi="Times New Roman Regular" w:cs="Times New Roman Regular"/>
          <w:sz w:val="24"/>
          <w:szCs w:val="24"/>
          <w:lang w:bidi="hi-IN"/>
        </w:rPr>
      </w:pPr>
      <w:r>
        <w:rPr>
          <w:rFonts w:ascii="Times New Roman Regular" w:hAnsi="Times New Roman Regular" w:cs="Times New Roman Regular"/>
          <w:sz w:val="24"/>
          <w:szCs w:val="24"/>
          <w:lang w:bidi="hi-IN"/>
        </w:rPr>
        <w:t>Next steps for this work could include further tuning of hyperparameters, particularly for the tree-based models, and applying cross-validation techniques to ensure the robustness of the results. Incorporating regularization methods (e.g., Ridge or Lasso regression) might also help in improving the performance of linear models by reducing multicollinearity and overfitting. Additionally, it may be beneficial to explore more advanced ensemble techniques, such as gradient boosting, to assess whether even better performance can be achieved. Finally, expanding the feature set to include behavioral or socio-emotional factors—if available—could provide a more holistic view of student performance determinants.</w:t>
      </w:r>
    </w:p>
    <w:p w14:paraId="44ABEBE6" w14:textId="77777777" w:rsidR="0068748A" w:rsidRDefault="0068748A">
      <w:pPr>
        <w:rPr>
          <w:rFonts w:ascii="Times New Roman Regular" w:hAnsi="Times New Roman Regular" w:cs="Times New Roman Regular"/>
          <w:sz w:val="24"/>
          <w:szCs w:val="24"/>
        </w:rPr>
      </w:pPr>
    </w:p>
    <w:sectPr w:rsidR="00687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Regular">
    <w:altName w:val="Times New Roman"/>
    <w:panose1 w:val="020B0604020202020204"/>
    <w:charset w:val="00"/>
    <w:family w:val="auto"/>
    <w:pitch w:val="default"/>
    <w:sig w:usb0="E0000AFF" w:usb1="00007843" w:usb2="00000001" w:usb3="00000000" w:csb0="400001BF" w:csb1="DFF7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65D67"/>
    <w:multiLevelType w:val="multilevel"/>
    <w:tmpl w:val="16365D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7457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420"/>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B5"/>
    <w:rsid w:val="FD3F9C9C"/>
    <w:rsid w:val="00006C36"/>
    <w:rsid w:val="0001034F"/>
    <w:rsid w:val="00012664"/>
    <w:rsid w:val="00016F7E"/>
    <w:rsid w:val="00040B1D"/>
    <w:rsid w:val="000423D9"/>
    <w:rsid w:val="00083B47"/>
    <w:rsid w:val="00090474"/>
    <w:rsid w:val="00145885"/>
    <w:rsid w:val="0016568D"/>
    <w:rsid w:val="001771FC"/>
    <w:rsid w:val="001B23F6"/>
    <w:rsid w:val="001C5822"/>
    <w:rsid w:val="001F0A98"/>
    <w:rsid w:val="00264C50"/>
    <w:rsid w:val="002705CC"/>
    <w:rsid w:val="002C29CF"/>
    <w:rsid w:val="002D0FC7"/>
    <w:rsid w:val="002F6F12"/>
    <w:rsid w:val="002F7FE9"/>
    <w:rsid w:val="00302DB5"/>
    <w:rsid w:val="003109CE"/>
    <w:rsid w:val="00366347"/>
    <w:rsid w:val="0039763A"/>
    <w:rsid w:val="003D4C15"/>
    <w:rsid w:val="004672C9"/>
    <w:rsid w:val="00496530"/>
    <w:rsid w:val="00524A95"/>
    <w:rsid w:val="005A3A08"/>
    <w:rsid w:val="005C2406"/>
    <w:rsid w:val="00625617"/>
    <w:rsid w:val="0065578D"/>
    <w:rsid w:val="0068748A"/>
    <w:rsid w:val="006B5508"/>
    <w:rsid w:val="00735AFE"/>
    <w:rsid w:val="00773172"/>
    <w:rsid w:val="00814672"/>
    <w:rsid w:val="008206A7"/>
    <w:rsid w:val="00865961"/>
    <w:rsid w:val="009C72E1"/>
    <w:rsid w:val="009E7A4F"/>
    <w:rsid w:val="00A059E5"/>
    <w:rsid w:val="00A23E6E"/>
    <w:rsid w:val="00A42C77"/>
    <w:rsid w:val="00AD138C"/>
    <w:rsid w:val="00B0547E"/>
    <w:rsid w:val="00B06712"/>
    <w:rsid w:val="00BD26CE"/>
    <w:rsid w:val="00C24D0C"/>
    <w:rsid w:val="00C25F1F"/>
    <w:rsid w:val="00C55122"/>
    <w:rsid w:val="00E15EE8"/>
    <w:rsid w:val="00E43836"/>
    <w:rsid w:val="00E94309"/>
    <w:rsid w:val="00ED6321"/>
    <w:rsid w:val="00F222A9"/>
    <w:rsid w:val="00F76379"/>
    <w:rsid w:val="00FB61D8"/>
    <w:rsid w:val="00FE2491"/>
    <w:rsid w:val="00FF02C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F6C4"/>
  <w15:docId w15:val="{C2E4D548-7DAA-954A-AE7A-9465E404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DengXian" w:hAnsi="Aptos" w:cs="Aptos"/>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pPr>
      <w:widowControl/>
      <w:spacing w:before="100" w:beforeAutospacing="1" w:after="100" w:afterAutospacing="1"/>
      <w:jc w:val="left"/>
      <w:outlineLvl w:val="1"/>
    </w:pPr>
    <w:rPr>
      <w:rFonts w:ascii="SimSun" w:eastAsia="SimSun" w:hAnsi="SimSun" w:cs="SimSun"/>
      <w:b/>
      <w:bCs/>
      <w:kern w:val="0"/>
      <w:sz w:val="36"/>
      <w:szCs w:val="36"/>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TMLCode">
    <w:name w:val="HTML Code"/>
    <w:basedOn w:val="DefaultParagraphFont"/>
    <w:uiPriority w:val="99"/>
    <w:semiHidden/>
    <w:unhideWhenUsed/>
    <w:rPr>
      <w:rFonts w:ascii="SimSun" w:eastAsia="SimSun" w:hAnsi="SimSun" w:cs="SimSun"/>
      <w:sz w:val="24"/>
      <w:szCs w:val="24"/>
    </w:r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lang w:bidi="hi-IN"/>
    </w:rPr>
  </w:style>
  <w:style w:type="paragraph" w:styleId="NormalWeb">
    <w:name w:val="Normal (Web)"/>
    <w:basedOn w:val="Normal"/>
    <w:uiPriority w:val="99"/>
    <w:semiHidden/>
    <w:unhideWhenUsed/>
    <w:pPr>
      <w:widowControl/>
      <w:spacing w:before="100" w:beforeAutospacing="1" w:after="100" w:afterAutospacing="1"/>
      <w:jc w:val="left"/>
    </w:pPr>
    <w:rPr>
      <w:rFonts w:ascii="SimSun" w:eastAsia="SimSun" w:hAnsi="SimSun" w:cs="SimSun"/>
      <w:kern w:val="0"/>
      <w:sz w:val="24"/>
      <w:szCs w:val="24"/>
      <w:lang w:bidi="hi-I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character" w:customStyle="1" w:styleId="Heading2Char">
    <w:name w:val="Heading 2 Char"/>
    <w:basedOn w:val="DefaultParagraphFont"/>
    <w:link w:val="Heading2"/>
    <w:uiPriority w:val="9"/>
    <w:rPr>
      <w:rFonts w:ascii="SimSun" w:eastAsia="SimSun" w:hAnsi="SimSun" w:cs="SimSun"/>
      <w:b/>
      <w:bCs/>
      <w:kern w:val="0"/>
      <w:sz w:val="36"/>
      <w:szCs w:val="36"/>
      <w:lang w:bidi="hi-IN"/>
    </w:rPr>
  </w:style>
  <w:style w:type="character" w:customStyle="1" w:styleId="HTMLPreformattedChar">
    <w:name w:val="HTML Preformatted Char"/>
    <w:basedOn w:val="DefaultParagraphFont"/>
    <w:link w:val="HTMLPreformatted"/>
    <w:uiPriority w:val="99"/>
    <w:semiHidden/>
    <w:rPr>
      <w:rFonts w:ascii="SimSun" w:eastAsia="SimSun" w:hAnsi="SimSun" w:cs="SimSun"/>
      <w:kern w:val="0"/>
      <w:sz w:val="24"/>
      <w:szCs w:val="24"/>
      <w:lang w:bidi="hi-IN"/>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BC9B4-EF9E-CB4E-A4DC-55F6A3DD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15</Pages>
  <Words>2842</Words>
  <Characters>16201</Characters>
  <Application>Microsoft Office Word</Application>
  <DocSecurity>0</DocSecurity>
  <Lines>135</Lines>
  <Paragraphs>38</Paragraphs>
  <ScaleCrop>false</ScaleCrop>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frankcheung615@gmail.com</dc:creator>
  <cp:lastModifiedBy>aev0xhu</cp:lastModifiedBy>
  <cp:revision>62</cp:revision>
  <dcterms:created xsi:type="dcterms:W3CDTF">2025-05-09T02:14:00Z</dcterms:created>
  <dcterms:modified xsi:type="dcterms:W3CDTF">2025-05-12T02:47:00Z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1033-6.12.0.8652</vt:lpwstr>
  </property>
  <property fmtid="{D5CDD505-2E9C-101B-9397-08002B2CF9AE}" pid="3" name="ICV">
    <vt:lpwstr>00E42EAEAEFF726A37991E6846545225_42</vt:lpwstr>
  </property>
</Properties>
</file>