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My name is Jesse Lesperance, and I am the Director of Security for SentiLink, a leader in detecting synthetic identity fraud and identity theft, where I lead the physical and cybersecurity functions.  Prior to SentiLink I have served in a combination of information and physical security roles across major organizations, as well as startups.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There are a few reasons I am interested in serving on the SF Bay Area IMA Board of Directors.  First and foremost, I want to help foster and grow the SF Bay Area Infragard community.  Collaboration is at the heart of InfraGard’s purpose, and building a larger membership body will help drive more collaboration.  Membership numbers alone will not suffice in driving the level of collaboration that is desired, there is also a need to ensure the membership body is taking an active role in the InfraGard program.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leads to the next reason I would like to serve on the board. As a member that takes advantage of the many opportunities for attending training and events through the InfraGard program, I would like to help get more events for the SF Bay Area IMA on the calendar.  I currently serve as the Programs Director for the (ISC)2 East Bay Chapter and organize multiple cybersecurity meetup groups, and would utilize those skills and connections to help facilitate more local chapter events for members.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have mostly worked in the Information Technology and Healthcare(Tech) sectors from an information security aspect, where I specialized in protecting the data and infrastructure supporting those fields.  I have most recently moved into a FinTech company that helps prevent financial fraud and abuse, and now work to protect that infrastructure along with the resources of Financial Institutions.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With my background in working across various critical infrastructure sectors, I would utilize my network to identify individuals that would benefit from partnering with InfraGard and that would provide additional value to the program via their collaboration.  Growing the community and fostering a more active membership base is key to the success of InfraGard, especially the SF Bay Area IMA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