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E3A5F"/>
          <w:sz w:val="56"/>
          <w:szCs w:val="56"/>
        </w:rPr>
        <w:t xml:space="preserve">CognitiveSync</w:t>
      </w:r>
    </w:p>
    <w:p>
      <w:pPr>
        <w:spacing w:before="0" w:after="80"/>
      </w:pPr>
      <w:r>
        <w:rPr>
          <w:rFonts w:ascii="Arial" w:cs="Arial" w:eastAsia="Arial" w:hAnsi="Arial"/>
          <w:color w:val="2E75B6"/>
          <w:sz w:val="32"/>
          <w:szCs w:val="32"/>
        </w:rPr>
        <w:t xml:space="preserve">Product Requirements Document (PRD)</w:t>
      </w:r>
    </w:p>
    <w:p>
      <w:pPr>
        <w:spacing w:before="0" w:after="40"/>
      </w:pPr>
      <w:r>
        <w:rPr>
          <w:rFonts w:ascii="Arial" w:cs="Arial" w:eastAsia="Arial" w:hAnsi="Arial"/>
          <w:color w:val="555555"/>
          <w:sz w:val="22"/>
          <w:szCs w:val="22"/>
        </w:rPr>
        <w:t xml:space="preserve">Version 1.0  |  Unisys Innovation Program Y17</w:t>
      </w:r>
    </w:p>
    <w:p>
      <w:pPr>
        <w:spacing w:before="0" w:after="480"/>
      </w:pPr>
      <w:r>
        <w:rPr>
          <w:rFonts w:ascii="Arial" w:cs="Arial" w:eastAsia="Arial" w:hAnsi="Arial"/>
          <w:i/>
          <w:iCs/>
          <w:color w:val="888888"/>
          <w:sz w:val="22"/>
          <w:szCs w:val="22"/>
        </w:rPr>
        <w:t xml:space="preserve">Classification: Confidential</w:t>
      </w:r>
    </w:p>
    <w:p>
      <w:pPr>
        <w:pStyle w:val="Heading1"/>
        <w:pBdr>
          <w:bottom w:val="single" w:color="2E75B6" w:sz="6" w:space="1"/>
        </w:pBdr>
        <w:spacing w:before="360" w:after="120"/>
      </w:pPr>
      <w:r>
        <w:rPr>
          <w:rFonts w:ascii="Arial" w:cs="Arial" w:eastAsia="Arial" w:hAnsi="Arial"/>
          <w:b/>
          <w:bCs/>
          <w:color w:val="1E3A5F"/>
          <w:sz w:val="32"/>
          <w:szCs w:val="32"/>
        </w:rPr>
        <w:t xml:space="preserve">1. Executive Summary</w:t>
      </w:r>
    </w:p>
    <w:p>
      <w:pPr>
        <w:spacing w:before="60" w:after="60"/>
      </w:pPr>
      <w:r>
        <w:rPr>
          <w:rFonts w:ascii="Arial" w:cs="Arial" w:eastAsia="Arial" w:hAnsi="Arial"/>
          <w:sz w:val="22"/>
          <w:szCs w:val="22"/>
        </w:rPr>
        <w:t xml:space="preserve">CognitiveSync is a privacy-first enterprise platform that predicts workforce burnout risk using passive behavioral metadata collected from existing workplace tools — Microsoft Graph, Slack, and GitHub. It eliminates the need for surveys or self-reporting by extracting non-invasive collaboration signals, modeling employees as nodes in a dynamic graph, and applying a Graph Neural Network (GNN) to predict both individual burnout risk and cascade effects across teams.</w:t>
      </w:r>
    </w:p>
    <w:p>
      <w:pPr>
        <w:spacing w:before="80" w:after="80"/>
      </w:pPr>
      <w:r>
        <w:t xml:space="preserve"/>
      </w:r>
    </w:p>
    <w:p>
      <w:pPr>
        <w:spacing w:before="60" w:after="60"/>
      </w:pPr>
      <w:r>
        <w:rPr>
          <w:rFonts w:ascii="Arial" w:cs="Arial" w:eastAsia="Arial" w:hAnsi="Arial"/>
          <w:sz w:val="22"/>
          <w:szCs w:val="22"/>
        </w:rPr>
        <w:t xml:space="preserve">Outputs are delivered to HR through a Power BI dashboard and a proactive MS Teams bot. The system is designed for on-premises or private Azure deployment, ensuring all raw data processing occurs within organizational boundaries.</w:t>
      </w:r>
    </w:p>
    <w:p>
      <w:pPr>
        <w:spacing w:before="80" w:after="80"/>
      </w:pPr>
      <w:r>
        <w:t xml:space="preserve"/>
      </w:r>
    </w:p>
    <w:p>
      <w:pPr>
        <w:pStyle w:val="Heading1"/>
        <w:pBdr>
          <w:bottom w:val="single" w:color="2E75B6" w:sz="6" w:space="1"/>
        </w:pBdr>
        <w:spacing w:before="360" w:after="120"/>
      </w:pPr>
      <w:r>
        <w:rPr>
          <w:rFonts w:ascii="Arial" w:cs="Arial" w:eastAsia="Arial" w:hAnsi="Arial"/>
          <w:b/>
          <w:bCs/>
          <w:color w:val="1E3A5F"/>
          <w:sz w:val="32"/>
          <w:szCs w:val="32"/>
        </w:rPr>
        <w:t xml:space="preserve">2. Problem Statement</w:t>
      </w:r>
    </w:p>
    <w:p>
      <w:pPr>
        <w:pStyle w:val="Heading2"/>
        <w:spacing w:before="240" w:after="80"/>
      </w:pPr>
      <w:r>
        <w:rPr>
          <w:rFonts w:ascii="Arial" w:cs="Arial" w:eastAsia="Arial" w:hAnsi="Arial"/>
          <w:b/>
          <w:bCs/>
          <w:color w:val="2E75B6"/>
          <w:sz w:val="26"/>
          <w:szCs w:val="26"/>
        </w:rPr>
        <w:t xml:space="preserve">2.1 The Burnout Crisis</w:t>
      </w:r>
    </w:p>
    <w:p>
      <w:pPr>
        <w:spacing w:before="60" w:after="60"/>
      </w:pPr>
      <w:r>
        <w:rPr>
          <w:rFonts w:ascii="Arial" w:cs="Arial" w:eastAsia="Arial" w:hAnsi="Arial"/>
          <w:sz w:val="22"/>
          <w:szCs w:val="22"/>
        </w:rPr>
        <w:t xml:space="preserve">Workforce burnout is one of the most underdetected and costly challenges in modern enterprises. Studies consistently show that burnout leads to significant productivity loss, high attrition, increased healthcare costs, and cascading team dysfunction. Despite this, most organizations only recognize burnout after it has already caused damage.</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2.2 Gaps in Existing Solutions</w:t>
      </w:r>
    </w:p>
    <w:p>
      <w:pPr>
        <w:pStyle w:val="ListParagraph"/>
        <w:numPr>
          <w:ilvl w:val="0"/>
          <w:numId w:val="2"/>
        </w:numPr>
        <w:spacing w:before="40" w:after="40"/>
      </w:pPr>
      <w:r>
        <w:rPr>
          <w:rFonts w:ascii="Arial" w:cs="Arial" w:eastAsia="Arial" w:hAnsi="Arial"/>
          <w:b w:val="false"/>
          <w:bCs w:val="false"/>
          <w:sz w:val="22"/>
          <w:szCs w:val="22"/>
        </w:rPr>
        <w:t xml:space="preserve">Survey-dependent tools suffer from low participation rates and social desirability bias</w:t>
      </w:r>
    </w:p>
    <w:p>
      <w:pPr>
        <w:pStyle w:val="ListParagraph"/>
        <w:numPr>
          <w:ilvl w:val="0"/>
          <w:numId w:val="2"/>
        </w:numPr>
        <w:spacing w:before="40" w:after="40"/>
      </w:pPr>
      <w:r>
        <w:rPr>
          <w:rFonts w:ascii="Arial" w:cs="Arial" w:eastAsia="Arial" w:hAnsi="Arial"/>
          <w:b w:val="false"/>
          <w:bCs w:val="false"/>
          <w:sz w:val="22"/>
          <w:szCs w:val="22"/>
        </w:rPr>
        <w:t xml:space="preserve">Reactive HR processes respond to symptoms rather than predict root causes</w:t>
      </w:r>
    </w:p>
    <w:p>
      <w:pPr>
        <w:pStyle w:val="ListParagraph"/>
        <w:numPr>
          <w:ilvl w:val="0"/>
          <w:numId w:val="2"/>
        </w:numPr>
        <w:spacing w:before="40" w:after="40"/>
      </w:pPr>
      <w:r>
        <w:rPr>
          <w:rFonts w:ascii="Arial" w:cs="Arial" w:eastAsia="Arial" w:hAnsi="Arial"/>
          <w:b w:val="false"/>
          <w:bCs w:val="false"/>
          <w:sz w:val="22"/>
          <w:szCs w:val="22"/>
        </w:rPr>
        <w:t xml:space="preserve">Existing tools treat burnout as an individual problem — ignoring network-level cascade effects</w:t>
      </w:r>
    </w:p>
    <w:p>
      <w:pPr>
        <w:pStyle w:val="ListParagraph"/>
        <w:numPr>
          <w:ilvl w:val="0"/>
          <w:numId w:val="2"/>
        </w:numPr>
        <w:spacing w:before="40" w:after="40"/>
      </w:pPr>
      <w:r>
        <w:rPr>
          <w:rFonts w:ascii="Arial" w:cs="Arial" w:eastAsia="Arial" w:hAnsi="Arial"/>
          <w:b w:val="false"/>
          <w:bCs w:val="false"/>
          <w:sz w:val="22"/>
          <w:szCs w:val="22"/>
        </w:rPr>
        <w:t xml:space="preserve">Privacy concerns prevent widespread adoption of behavioral monitoring tools</w:t>
      </w:r>
    </w:p>
    <w:p>
      <w:pPr>
        <w:pStyle w:val="ListParagraph"/>
        <w:numPr>
          <w:ilvl w:val="0"/>
          <w:numId w:val="2"/>
        </w:numPr>
        <w:spacing w:before="40" w:after="40"/>
      </w:pPr>
      <w:r>
        <w:rPr>
          <w:rFonts w:ascii="Arial" w:cs="Arial" w:eastAsia="Arial" w:hAnsi="Arial"/>
          <w:b w:val="false"/>
          <w:bCs w:val="false"/>
          <w:sz w:val="22"/>
          <w:szCs w:val="22"/>
        </w:rPr>
        <w:t xml:space="preserve">No existing solution models collaboration dependencies as a predictive signal</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2.3 Opportunity</w:t>
      </w:r>
    </w:p>
    <w:p>
      <w:pPr>
        <w:spacing w:before="60" w:after="60"/>
      </w:pPr>
      <w:r>
        <w:rPr>
          <w:rFonts w:ascii="Arial" w:cs="Arial" w:eastAsia="Arial" w:hAnsi="Arial"/>
          <w:sz w:val="22"/>
          <w:szCs w:val="22"/>
        </w:rPr>
        <w:t xml:space="preserve">Enterprises already generate rich behavioral metadata through daily tool usage. CognitiveSync repurposes this existing signal stream into a predictive engine without introducing new surveillance infrastructure.</w:t>
      </w:r>
    </w:p>
    <w:p>
      <w:pPr>
        <w:spacing w:before="80" w:after="80"/>
      </w:pPr>
      <w:r>
        <w:t xml:space="preserve"/>
      </w:r>
    </w:p>
    <w:p>
      <w:pPr>
        <w:pStyle w:val="Heading1"/>
        <w:pBdr>
          <w:bottom w:val="single" w:color="2E75B6" w:sz="6" w:space="1"/>
        </w:pBdr>
        <w:spacing w:before="360" w:after="120"/>
      </w:pPr>
      <w:r>
        <w:rPr>
          <w:rFonts w:ascii="Arial" w:cs="Arial" w:eastAsia="Arial" w:hAnsi="Arial"/>
          <w:b/>
          <w:bCs/>
          <w:color w:val="1E3A5F"/>
          <w:sz w:val="32"/>
          <w:szCs w:val="32"/>
        </w:rPr>
        <w:t xml:space="preserve">3. Goals and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G-01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 individual burnout risk with 48hr rolling updates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accuracy &gt; 80% on validation set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G-02</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Detect cascade burnout propagation across collaboration networks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Cascade detection precision &gt; 75%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G-03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 actionable HR outputs — not just risk scores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 satisfaction score &gt; 4/5 in pilot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G-04</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Maintain full privacy compliance — zero PII exposure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Zero raw data exits org boundary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G-05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 on-prem and private Azure deployment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time &lt; 4 hours on reference hardware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G-06</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Achieve manager-level access controls to protect employee trust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Zero individual scores visible to managers</w:t>
            </w:r>
          </w:p>
        </w:tc>
      </w:tr>
    </w:tbl>
    <w:p>
      <w:pPr>
        <w:spacing w:before="80" w:after="80"/>
      </w:pPr>
      <w:r>
        <w:t xml:space="preserve"/>
      </w:r>
    </w:p>
    <w:p>
      <w:pPr>
        <w:pStyle w:val="Heading1"/>
        <w:pBdr>
          <w:bottom w:val="single" w:color="2E75B6" w:sz="6" w:space="1"/>
        </w:pBdr>
        <w:spacing w:before="360" w:after="120"/>
      </w:pPr>
      <w:r>
        <w:rPr>
          <w:rFonts w:ascii="Arial" w:cs="Arial" w:eastAsia="Arial" w:hAnsi="Arial"/>
          <w:b/>
          <w:bCs/>
          <w:color w:val="1E3A5F"/>
          <w:sz w:val="32"/>
          <w:szCs w:val="32"/>
        </w:rPr>
        <w:t xml:space="preserve">4. Target Users</w:t>
      </w:r>
    </w:p>
    <w:p>
      <w:pPr>
        <w:pStyle w:val="Heading2"/>
        <w:spacing w:before="240" w:after="80"/>
      </w:pPr>
      <w:r>
        <w:rPr>
          <w:rFonts w:ascii="Arial" w:cs="Arial" w:eastAsia="Arial" w:hAnsi="Arial"/>
          <w:b/>
          <w:bCs/>
          <w:color w:val="2E75B6"/>
          <w:sz w:val="26"/>
          <w:szCs w:val="26"/>
        </w:rPr>
        <w:t xml:space="preserve">4.1 Primary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 Administrator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Manages workforce health programs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 warning on burnout risk clusters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HR Analyst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Analyzes workforce data and trends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Drill-down into risk scores and trend 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IT/Security Admin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Manages deployment and data governance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logs, RBAC controls, data isolation</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4.2 Secondary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Limited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Manager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Oversees team workload and delivery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Workload redistribution suggestions only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Org Leadership</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Strategic workforce planning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Aggregated org-level burnout trend dashboards</w:t>
            </w:r>
          </w:p>
        </w:tc>
      </w:tr>
    </w:tbl>
    <w:p>
      <w:pPr>
        <w:spacing w:before="80" w:after="80"/>
      </w:pPr>
      <w:r>
        <w:t xml:space="preserve"/>
      </w:r>
    </w:p>
    <w:p>
      <w:pPr>
        <w:pStyle w:val="Heading1"/>
        <w:pBdr>
          <w:bottom w:val="single" w:color="2E75B6" w:sz="6" w:space="1"/>
        </w:pBdr>
        <w:spacing w:before="360" w:after="120"/>
      </w:pPr>
      <w:r>
        <w:rPr>
          <w:rFonts w:ascii="Arial" w:cs="Arial" w:eastAsia="Arial" w:hAnsi="Arial"/>
          <w:b/>
          <w:bCs/>
          <w:color w:val="1E3A5F"/>
          <w:sz w:val="32"/>
          <w:szCs w:val="32"/>
        </w:rPr>
        <w:t xml:space="preserve">5. Scope</w:t>
      </w:r>
    </w:p>
    <w:p>
      <w:pPr>
        <w:pStyle w:val="Heading2"/>
        <w:spacing w:before="240" w:after="80"/>
      </w:pPr>
      <w:r>
        <w:rPr>
          <w:rFonts w:ascii="Arial" w:cs="Arial" w:eastAsia="Arial" w:hAnsi="Arial"/>
          <w:b/>
          <w:bCs/>
          <w:color w:val="2E75B6"/>
          <w:sz w:val="26"/>
          <w:szCs w:val="26"/>
        </w:rPr>
        <w:t xml:space="preserve">5.1 In Scope — MVP (V1)</w:t>
      </w:r>
    </w:p>
    <w:p>
      <w:pPr>
        <w:pStyle w:val="ListParagraph"/>
        <w:numPr>
          <w:ilvl w:val="0"/>
          <w:numId w:val="2"/>
        </w:numPr>
        <w:spacing w:before="40" w:after="40"/>
      </w:pPr>
      <w:r>
        <w:rPr>
          <w:rFonts w:ascii="Arial" w:cs="Arial" w:eastAsia="Arial" w:hAnsi="Arial"/>
          <w:b w:val="false"/>
          <w:bCs w:val="false"/>
          <w:sz w:val="22"/>
          <w:szCs w:val="22"/>
        </w:rPr>
        <w:t xml:space="preserve">Microsoft Graph API integration — meeting load, calendar density, after-hours activity, response latency</w:t>
      </w:r>
    </w:p>
    <w:p>
      <w:pPr>
        <w:pStyle w:val="ListParagraph"/>
        <w:numPr>
          <w:ilvl w:val="0"/>
          <w:numId w:val="2"/>
        </w:numPr>
        <w:spacing w:before="40" w:after="40"/>
      </w:pPr>
      <w:r>
        <w:rPr>
          <w:rFonts w:ascii="Arial" w:cs="Arial" w:eastAsia="Arial" w:hAnsi="Arial"/>
          <w:b w:val="false"/>
          <w:bCs w:val="false"/>
          <w:sz w:val="22"/>
          <w:szCs w:val="22"/>
        </w:rPr>
        <w:t xml:space="preserve">Slack Events API integration — message volume, response times, after-hours activity</w:t>
      </w:r>
    </w:p>
    <w:p>
      <w:pPr>
        <w:pStyle w:val="ListParagraph"/>
        <w:numPr>
          <w:ilvl w:val="0"/>
          <w:numId w:val="2"/>
        </w:numPr>
        <w:spacing w:before="40" w:after="40"/>
      </w:pPr>
      <w:r>
        <w:rPr>
          <w:rFonts w:ascii="Arial" w:cs="Arial" w:eastAsia="Arial" w:hAnsi="Arial"/>
          <w:b w:val="false"/>
          <w:bCs w:val="false"/>
          <w:sz w:val="22"/>
          <w:szCs w:val="22"/>
        </w:rPr>
        <w:t xml:space="preserve">GitHub REST/GraphQL API integration — commit frequency, PR review load, late-night commits</w:t>
      </w:r>
    </w:p>
    <w:p>
      <w:pPr>
        <w:pStyle w:val="ListParagraph"/>
        <w:numPr>
          <w:ilvl w:val="0"/>
          <w:numId w:val="2"/>
        </w:numPr>
        <w:spacing w:before="40" w:after="40"/>
      </w:pPr>
      <w:r>
        <w:rPr>
          <w:rFonts w:ascii="Arial" w:cs="Arial" w:eastAsia="Arial" w:hAnsi="Arial"/>
          <w:b w:val="false"/>
          <w:bCs w:val="false"/>
          <w:sz w:val="22"/>
          <w:szCs w:val="22"/>
        </w:rPr>
        <w:t xml:space="preserve">Anonymization engine — PII stripped at ingestion, pseudonymous IDs assigned</w:t>
      </w:r>
    </w:p>
    <w:p>
      <w:pPr>
        <w:pStyle w:val="ListParagraph"/>
        <w:numPr>
          <w:ilvl w:val="0"/>
          <w:numId w:val="2"/>
        </w:numPr>
        <w:spacing w:before="40" w:after="40"/>
      </w:pPr>
      <w:r>
        <w:rPr>
          <w:rFonts w:ascii="Arial" w:cs="Arial" w:eastAsia="Arial" w:hAnsi="Arial"/>
          <w:b w:val="false"/>
          <w:bCs w:val="false"/>
          <w:sz w:val="22"/>
          <w:szCs w:val="22"/>
        </w:rPr>
        <w:t xml:space="preserve">Employee collaboration graph construction — nodes, edges, 48hr rolling refresh</w:t>
      </w:r>
    </w:p>
    <w:p>
      <w:pPr>
        <w:pStyle w:val="ListParagraph"/>
        <w:numPr>
          <w:ilvl w:val="0"/>
          <w:numId w:val="2"/>
        </w:numPr>
        <w:spacing w:before="40" w:after="40"/>
      </w:pPr>
      <w:r>
        <w:rPr>
          <w:rFonts w:ascii="Arial" w:cs="Arial" w:eastAsia="Arial" w:hAnsi="Arial"/>
          <w:b w:val="false"/>
          <w:bCs w:val="false"/>
          <w:sz w:val="22"/>
          <w:szCs w:val="22"/>
        </w:rPr>
        <w:t xml:space="preserve">GNN burnout prediction engine — individual risk scores with confidence intervals</w:t>
      </w:r>
    </w:p>
    <w:p>
      <w:pPr>
        <w:pStyle w:val="ListParagraph"/>
        <w:numPr>
          <w:ilvl w:val="0"/>
          <w:numId w:val="2"/>
        </w:numPr>
        <w:spacing w:before="40" w:after="40"/>
      </w:pPr>
      <w:r>
        <w:rPr>
          <w:rFonts w:ascii="Arial" w:cs="Arial" w:eastAsia="Arial" w:hAnsi="Arial"/>
          <w:b w:val="false"/>
          <w:bCs w:val="false"/>
          <w:sz w:val="22"/>
          <w:szCs w:val="22"/>
        </w:rPr>
        <w:t xml:space="preserve">Cascade propagation model — neighbor-level risk spread computation</w:t>
      </w:r>
    </w:p>
    <w:p>
      <w:pPr>
        <w:pStyle w:val="ListParagraph"/>
        <w:numPr>
          <w:ilvl w:val="0"/>
          <w:numId w:val="2"/>
        </w:numPr>
        <w:spacing w:before="40" w:after="40"/>
      </w:pPr>
      <w:r>
        <w:rPr>
          <w:rFonts w:ascii="Arial" w:cs="Arial" w:eastAsia="Arial" w:hAnsi="Arial"/>
          <w:b w:val="false"/>
          <w:bCs w:val="false"/>
          <w:sz w:val="22"/>
          <w:szCs w:val="22"/>
        </w:rPr>
        <w:t xml:space="preserve">Power BI dashboard — risk heatmap, cascade map, trend lines</w:t>
      </w:r>
    </w:p>
    <w:p>
      <w:pPr>
        <w:pStyle w:val="ListParagraph"/>
        <w:numPr>
          <w:ilvl w:val="0"/>
          <w:numId w:val="2"/>
        </w:numPr>
        <w:spacing w:before="40" w:after="40"/>
      </w:pPr>
      <w:r>
        <w:rPr>
          <w:rFonts w:ascii="Arial" w:cs="Arial" w:eastAsia="Arial" w:hAnsi="Arial"/>
          <w:b w:val="false"/>
          <w:bCs w:val="false"/>
          <w:sz w:val="22"/>
          <w:szCs w:val="22"/>
        </w:rPr>
        <w:t xml:space="preserve">MS Teams bot — HR alerts and workload redistribution recommendations</w:t>
      </w:r>
    </w:p>
    <w:p>
      <w:pPr>
        <w:pStyle w:val="ListParagraph"/>
        <w:numPr>
          <w:ilvl w:val="0"/>
          <w:numId w:val="2"/>
        </w:numPr>
        <w:spacing w:before="40" w:after="40"/>
      </w:pPr>
      <w:r>
        <w:rPr>
          <w:rFonts w:ascii="Arial" w:cs="Arial" w:eastAsia="Arial" w:hAnsi="Arial"/>
          <w:b w:val="false"/>
          <w:bCs w:val="false"/>
          <w:sz w:val="22"/>
          <w:szCs w:val="22"/>
        </w:rPr>
        <w:t xml:space="preserve">RBAC middleware — HR vs manager visibility enforcement</w:t>
      </w:r>
    </w:p>
    <w:p>
      <w:pPr>
        <w:pStyle w:val="ListParagraph"/>
        <w:numPr>
          <w:ilvl w:val="0"/>
          <w:numId w:val="2"/>
        </w:numPr>
        <w:spacing w:before="40" w:after="40"/>
      </w:pPr>
      <w:r>
        <w:rPr>
          <w:rFonts w:ascii="Arial" w:cs="Arial" w:eastAsia="Arial" w:hAnsi="Arial"/>
          <w:b w:val="false"/>
          <w:bCs w:val="false"/>
          <w:sz w:val="22"/>
          <w:szCs w:val="22"/>
        </w:rPr>
        <w:t xml:space="preserve">On-prem and private Azure deployment support</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5.2 Out of Scope — V2</w:t>
      </w:r>
    </w:p>
    <w:p>
      <w:pPr>
        <w:pStyle w:val="ListParagraph"/>
        <w:numPr>
          <w:ilvl w:val="0"/>
          <w:numId w:val="2"/>
        </w:numPr>
        <w:spacing w:before="40" w:after="40"/>
      </w:pPr>
      <w:r>
        <w:rPr>
          <w:rFonts w:ascii="Arial" w:cs="Arial" w:eastAsia="Arial" w:hAnsi="Arial"/>
          <w:b w:val="false"/>
          <w:bCs w:val="false"/>
          <w:sz w:val="22"/>
          <w:szCs w:val="22"/>
        </w:rPr>
        <w:t xml:space="preserve">Wearable data integration (HRV, sleep signals)</w:t>
      </w:r>
    </w:p>
    <w:p>
      <w:pPr>
        <w:pStyle w:val="ListParagraph"/>
        <w:numPr>
          <w:ilvl w:val="0"/>
          <w:numId w:val="2"/>
        </w:numPr>
        <w:spacing w:before="40" w:after="40"/>
      </w:pPr>
      <w:r>
        <w:rPr>
          <w:rFonts w:ascii="Arial" w:cs="Arial" w:eastAsia="Arial" w:hAnsi="Arial"/>
          <w:b w:val="false"/>
          <w:bCs w:val="false"/>
          <w:sz w:val="22"/>
          <w:szCs w:val="22"/>
        </w:rPr>
        <w:t xml:space="preserve">Real-time streaming ingestion (Kafka/Flink pipeline)</w:t>
      </w:r>
    </w:p>
    <w:p>
      <w:pPr>
        <w:pStyle w:val="ListParagraph"/>
        <w:numPr>
          <w:ilvl w:val="0"/>
          <w:numId w:val="2"/>
        </w:numPr>
        <w:spacing w:before="40" w:after="40"/>
      </w:pPr>
      <w:r>
        <w:rPr>
          <w:rFonts w:ascii="Arial" w:cs="Arial" w:eastAsia="Arial" w:hAnsi="Arial"/>
          <w:b w:val="false"/>
          <w:bCs w:val="false"/>
          <w:sz w:val="22"/>
          <w:szCs w:val="22"/>
        </w:rPr>
        <w:t xml:space="preserve">Native mobile application</w:t>
      </w:r>
    </w:p>
    <w:p>
      <w:pPr>
        <w:pStyle w:val="ListParagraph"/>
        <w:numPr>
          <w:ilvl w:val="0"/>
          <w:numId w:val="2"/>
        </w:numPr>
        <w:spacing w:before="40" w:after="40"/>
      </w:pPr>
      <w:r>
        <w:rPr>
          <w:rFonts w:ascii="Arial" w:cs="Arial" w:eastAsia="Arial" w:hAnsi="Arial"/>
          <w:b w:val="false"/>
          <w:bCs w:val="false"/>
          <w:sz w:val="22"/>
          <w:szCs w:val="22"/>
        </w:rPr>
        <w:t xml:space="preserve">Multi-tenant SaaS deployment</w:t>
      </w:r>
    </w:p>
    <w:p>
      <w:pPr>
        <w:pStyle w:val="ListParagraph"/>
        <w:numPr>
          <w:ilvl w:val="0"/>
          <w:numId w:val="2"/>
        </w:numPr>
        <w:spacing w:before="40" w:after="40"/>
      </w:pPr>
      <w:r>
        <w:rPr>
          <w:rFonts w:ascii="Arial" w:cs="Arial" w:eastAsia="Arial" w:hAnsi="Arial"/>
          <w:b w:val="false"/>
          <w:bCs w:val="false"/>
          <w:sz w:val="22"/>
          <w:szCs w:val="22"/>
        </w:rPr>
        <w:t xml:space="preserve">Zoom / Google Workspace / Jira integrations</w:t>
      </w:r>
    </w:p>
    <w:p>
      <w:pPr>
        <w:spacing w:before="80" w:after="80"/>
      </w:pPr>
      <w:r>
        <w:t xml:space="preserve"/>
      </w:r>
    </w:p>
    <w:p>
      <w:pPr>
        <w:pStyle w:val="Heading1"/>
        <w:pBdr>
          <w:bottom w:val="single" w:color="2E75B6" w:sz="6" w:space="1"/>
        </w:pBdr>
        <w:spacing w:before="360" w:after="120"/>
      </w:pPr>
      <w:r>
        <w:rPr>
          <w:rFonts w:ascii="Arial" w:cs="Arial" w:eastAsia="Arial" w:hAnsi="Arial"/>
          <w:b/>
          <w:bCs/>
          <w:color w:val="1E3A5F"/>
          <w:sz w:val="32"/>
          <w:szCs w:val="32"/>
        </w:rPr>
        <w:t xml:space="preserve">6. Functional Requirements</w:t>
      </w:r>
    </w:p>
    <w:p>
      <w:pPr>
        <w:pStyle w:val="Heading2"/>
        <w:spacing w:before="240" w:after="80"/>
      </w:pPr>
      <w:r>
        <w:rPr>
          <w:rFonts w:ascii="Arial" w:cs="Arial" w:eastAsia="Arial" w:hAnsi="Arial"/>
          <w:b/>
          <w:bCs/>
          <w:color w:val="2E75B6"/>
          <w:sz w:val="26"/>
          <w:szCs w:val="26"/>
        </w:rPr>
        <w:t xml:space="preserve">6.1 Data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200"/>
        <w:gridCol w:w="216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SHALL ingest Microsoft Graph metadata via OAuth 2.0 with admin consent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FR-02</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SHALL ingest Slack workspace metadata via Slack Events API</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FR-03</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SHALL ingest GitHub organization activity via GitHub REST/GraphQL API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FR-04</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SHALL support optional wearable data ingestion via configurable adapter (V2)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Nice to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FR-05</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SHALL refresh all data sources on a configurable schedule (default: 48hr)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6.2 Privacy &amp; Anonymization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200"/>
        <w:gridCol w:w="216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FR-06</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SHALL strip PII from all raw signals at ingestion before any storage or processing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FR-07</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SHALL assign pseudonymous IDs and maintain mapping in an isolated encrypted volume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FR-08</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SHALL never persist raw API payloads to disk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FR-09</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SHALL support configurable data retention policies per org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Should Have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6.3 Graph Modeling &amp;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200"/>
        <w:gridCol w:w="216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FR-10</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SHALL construct employee collaboration graph with nodes (employees) and edges (interaction intensity)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FR-11</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SHALL update graph every 48 hours using rolling window of behavioral signals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FR-12</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SHALL output individual burnout risk score (0-100) with confidence interval per node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FR-13</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SHALL compute cascade propagation risk across graph neighbors for nodes above threshold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FR-14</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SHALL version and store models in a model registry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Have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6.4 Output &amp;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200"/>
        <w:gridCol w:w="216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FR-15</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SHALL deliver risk heatmap, cascade visualization, and trend lines to Power BI dashboard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FR-16</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SHALL send proactive HR alerts via MS Teams bot when risk exceeds configurable threshold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FR-17</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SHALL generate workload redistribution recommendations alongside risk alerts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FR-18</w:t>
            </w:r>
          </w:p>
        </w:tc>
        <w:tc>
          <w:tcPr>
            <w:tcW w:type="dxa" w:w="6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SHALL restrict individual risk score visibility to HR roles only — managers receive redistribution suggestions only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FR-19</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 admin SHALL be able to configure risk threshold triggers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bl>
    <w:p>
      <w:pPr>
        <w:spacing w:before="80" w:after="80"/>
      </w:pPr>
      <w:r>
        <w:t xml:space="preserve"/>
      </w:r>
    </w:p>
    <w:p>
      <w:pPr>
        <w:pStyle w:val="Heading1"/>
        <w:pBdr>
          <w:bottom w:val="single" w:color="2E75B6" w:sz="6" w:space="1"/>
        </w:pBdr>
        <w:spacing w:before="360" w:after="120"/>
      </w:pPr>
      <w:r>
        <w:rPr>
          <w:rFonts w:ascii="Arial" w:cs="Arial" w:eastAsia="Arial" w:hAnsi="Arial"/>
          <w:b/>
          <w:bCs/>
          <w:color w:val="1E3A5F"/>
          <w:sz w:val="32"/>
          <w:szCs w:val="32"/>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 refresh and scoring pipeline completes within 2 hours for orgs up to 5,000 employees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NFR-02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supports up to 10,000 employee nodes without architectural changes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raw PII persisted beyond in-memory processing window</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NFR-04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Security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API tokens encrypted at rest; secrets managed via Vault or Azure Key Vault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available 99.5% uptime (excluding scheduled maintenance)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NFR-06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Auditability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data access and model scoring events logged with timestamps and actor IDs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stack deployable via Docker Compose or Helm chart in under 4 hours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NFR-08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Explainability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GNN predictions accompanied by top contributing features per node</w:t>
            </w:r>
          </w:p>
        </w:tc>
      </w:tr>
    </w:tbl>
    <w:p>
      <w:pPr>
        <w:spacing w:before="80" w:after="80"/>
      </w:pPr>
      <w:r>
        <w:t xml:space="preserve"/>
      </w:r>
    </w:p>
    <w:p>
      <w:pPr>
        <w:pStyle w:val="Heading1"/>
        <w:pBdr>
          <w:bottom w:val="single" w:color="2E75B6" w:sz="6" w:space="1"/>
        </w:pBdr>
        <w:spacing w:before="360" w:after="120"/>
      </w:pPr>
      <w:r>
        <w:rPr>
          <w:rFonts w:ascii="Arial" w:cs="Arial" w:eastAsia="Arial" w:hAnsi="Arial"/>
          <w:b/>
          <w:bCs/>
          <w:color w:val="1E3A5F"/>
          <w:sz w:val="32"/>
          <w:szCs w:val="32"/>
        </w:rPr>
        <w:t xml:space="preserve">8. Technical Constraints</w:t>
      </w:r>
    </w:p>
    <w:p>
      <w:pPr>
        <w:pStyle w:val="ListParagraph"/>
        <w:numPr>
          <w:ilvl w:val="0"/>
          <w:numId w:val="2"/>
        </w:numPr>
        <w:spacing w:before="40" w:after="40"/>
      </w:pPr>
      <w:r>
        <w:rPr>
          <w:rFonts w:ascii="Arial" w:cs="Arial" w:eastAsia="Arial" w:hAnsi="Arial"/>
          <w:b w:val="false"/>
          <w:bCs w:val="false"/>
          <w:sz w:val="22"/>
          <w:szCs w:val="22"/>
        </w:rPr>
        <w:t xml:space="preserve">Deployment must remain entirely within organizational network boundary</w:t>
      </w:r>
    </w:p>
    <w:p>
      <w:pPr>
        <w:pStyle w:val="ListParagraph"/>
        <w:numPr>
          <w:ilvl w:val="0"/>
          <w:numId w:val="2"/>
        </w:numPr>
        <w:spacing w:before="40" w:after="40"/>
      </w:pPr>
      <w:r>
        <w:rPr>
          <w:rFonts w:ascii="Arial" w:cs="Arial" w:eastAsia="Arial" w:hAnsi="Arial"/>
          <w:b w:val="false"/>
          <w:bCs w:val="false"/>
          <w:sz w:val="22"/>
          <w:szCs w:val="22"/>
        </w:rPr>
        <w:t xml:space="preserve">No employee behavioral data may be transmitted to external APIs or cloud services post-ingestion</w:t>
      </w:r>
    </w:p>
    <w:p>
      <w:pPr>
        <w:pStyle w:val="ListParagraph"/>
        <w:numPr>
          <w:ilvl w:val="0"/>
          <w:numId w:val="2"/>
        </w:numPr>
        <w:spacing w:before="40" w:after="40"/>
      </w:pPr>
      <w:r>
        <w:rPr>
          <w:rFonts w:ascii="Arial" w:cs="Arial" w:eastAsia="Arial" w:hAnsi="Arial"/>
          <w:b w:val="false"/>
          <w:bCs w:val="false"/>
          <w:sz w:val="22"/>
          <w:szCs w:val="22"/>
        </w:rPr>
        <w:t xml:space="preserve">GNN model must operate on pseudonymized feature vectors only — never on identifiable data</w:t>
      </w:r>
    </w:p>
    <w:p>
      <w:pPr>
        <w:pStyle w:val="ListParagraph"/>
        <w:numPr>
          <w:ilvl w:val="0"/>
          <w:numId w:val="2"/>
        </w:numPr>
        <w:spacing w:before="40" w:after="40"/>
      </w:pPr>
      <w:r>
        <w:rPr>
          <w:rFonts w:ascii="Arial" w:cs="Arial" w:eastAsia="Arial" w:hAnsi="Arial"/>
          <w:b w:val="false"/>
          <w:bCs w:val="false"/>
          <w:sz w:val="22"/>
          <w:szCs w:val="22"/>
        </w:rPr>
        <w:t xml:space="preserve">Manager access must be enforced at API layer — not just UI layer</w:t>
      </w:r>
    </w:p>
    <w:p>
      <w:pPr>
        <w:pStyle w:val="ListParagraph"/>
        <w:numPr>
          <w:ilvl w:val="0"/>
          <w:numId w:val="2"/>
        </w:numPr>
        <w:spacing w:before="40" w:after="40"/>
      </w:pPr>
      <w:r>
        <w:rPr>
          <w:rFonts w:ascii="Arial" w:cs="Arial" w:eastAsia="Arial" w:hAnsi="Arial"/>
          <w:b w:val="false"/>
          <w:bCs w:val="false"/>
          <w:sz w:val="22"/>
          <w:szCs w:val="22"/>
        </w:rPr>
        <w:t xml:space="preserve">Must support air-gapped on-prem environments (no internet dependency post-setup)</w:t>
      </w:r>
    </w:p>
    <w:p>
      <w:pPr>
        <w:spacing w:before="80" w:after="80"/>
      </w:pPr>
      <w:r>
        <w:t xml:space="preserve"/>
      </w:r>
    </w:p>
    <w:p>
      <w:pPr>
        <w:pStyle w:val="Heading1"/>
        <w:pBdr>
          <w:bottom w:val="single" w:color="2E75B6" w:sz="6" w:space="1"/>
        </w:pBdr>
        <w:spacing w:before="360" w:after="120"/>
      </w:pPr>
      <w:r>
        <w:rPr>
          <w:rFonts w:ascii="Arial" w:cs="Arial" w:eastAsia="Arial" w:hAnsi="Arial"/>
          <w:b/>
          <w:bCs/>
          <w:color w:val="1E3A5F"/>
          <w:sz w:val="32"/>
          <w:szCs w:val="32"/>
        </w:rPr>
        <w:t xml:space="preserve">9. Assumptions &amp; Dependencies</w:t>
      </w:r>
    </w:p>
    <w:p>
      <w:pPr>
        <w:pStyle w:val="Heading2"/>
        <w:spacing w:before="240" w:after="80"/>
      </w:pPr>
      <w:r>
        <w:rPr>
          <w:rFonts w:ascii="Arial" w:cs="Arial" w:eastAsia="Arial" w:hAnsi="Arial"/>
          <w:b/>
          <w:bCs/>
          <w:color w:val="2E75B6"/>
          <w:sz w:val="26"/>
          <w:szCs w:val="26"/>
        </w:rPr>
        <w:t xml:space="preserve">9.1 Assumptions</w:t>
      </w:r>
    </w:p>
    <w:p>
      <w:pPr>
        <w:pStyle w:val="ListParagraph"/>
        <w:numPr>
          <w:ilvl w:val="0"/>
          <w:numId w:val="2"/>
        </w:numPr>
        <w:spacing w:before="40" w:after="40"/>
      </w:pPr>
      <w:r>
        <w:rPr>
          <w:rFonts w:ascii="Arial" w:cs="Arial" w:eastAsia="Arial" w:hAnsi="Arial"/>
          <w:b w:val="false"/>
          <w:bCs w:val="false"/>
          <w:sz w:val="22"/>
          <w:szCs w:val="22"/>
        </w:rPr>
        <w:t xml:space="preserve">Target organization has Microsoft 365 with admin consent capability for Graph API</w:t>
      </w:r>
    </w:p>
    <w:p>
      <w:pPr>
        <w:pStyle w:val="ListParagraph"/>
        <w:numPr>
          <w:ilvl w:val="0"/>
          <w:numId w:val="2"/>
        </w:numPr>
        <w:spacing w:before="40" w:after="40"/>
      </w:pPr>
      <w:r>
        <w:rPr>
          <w:rFonts w:ascii="Arial" w:cs="Arial" w:eastAsia="Arial" w:hAnsi="Arial"/>
          <w:b w:val="false"/>
          <w:bCs w:val="false"/>
          <w:sz w:val="22"/>
          <w:szCs w:val="22"/>
        </w:rPr>
        <w:t xml:space="preserve">Slack and GitHub are active tools within the target organization</w:t>
      </w:r>
    </w:p>
    <w:p>
      <w:pPr>
        <w:pStyle w:val="ListParagraph"/>
        <w:numPr>
          <w:ilvl w:val="0"/>
          <w:numId w:val="2"/>
        </w:numPr>
        <w:spacing w:before="40" w:after="40"/>
      </w:pPr>
      <w:r>
        <w:rPr>
          <w:rFonts w:ascii="Arial" w:cs="Arial" w:eastAsia="Arial" w:hAnsi="Arial"/>
          <w:b w:val="false"/>
          <w:bCs w:val="false"/>
          <w:sz w:val="22"/>
          <w:szCs w:val="22"/>
        </w:rPr>
        <w:t xml:space="preserve">HR has authority to access anonymized risk data under applicable employment law</w:t>
      </w:r>
    </w:p>
    <w:p>
      <w:pPr>
        <w:pStyle w:val="ListParagraph"/>
        <w:numPr>
          <w:ilvl w:val="0"/>
          <w:numId w:val="2"/>
        </w:numPr>
        <w:spacing w:before="40" w:after="40"/>
      </w:pPr>
      <w:r>
        <w:rPr>
          <w:rFonts w:ascii="Arial" w:cs="Arial" w:eastAsia="Arial" w:hAnsi="Arial"/>
          <w:b w:val="false"/>
          <w:bCs w:val="false"/>
          <w:sz w:val="22"/>
          <w:szCs w:val="22"/>
        </w:rPr>
        <w:t xml:space="preserve">Minimum 3 months of historical data available for initial model training</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9.2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Graph API — admin consent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requires org-level approval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Slack Events API — workspace token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External API</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 — admin setup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API — org 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standard OAuth flow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PyTorch Geometric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ML Library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 — open source, stable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BI Embedded / REST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requires Power BI Pro license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MS Teams Bot Framework SDK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Messaging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 — well-documented</w:t>
            </w:r>
          </w:p>
        </w:tc>
      </w:tr>
    </w:tbl>
    <w:p>
      <w:pPr>
        <w:spacing w:before="80" w:after="80"/>
      </w:pPr>
      <w:r>
        <w:t xml:space="preserve"/>
      </w:r>
    </w:p>
    <w:p>
      <w:pPr>
        <w:pStyle w:val="Heading1"/>
        <w:pBdr>
          <w:bottom w:val="single" w:color="2E75B6" w:sz="6" w:space="1"/>
        </w:pBdr>
        <w:spacing w:before="360" w:after="120"/>
      </w:pPr>
      <w:r>
        <w:rPr>
          <w:rFonts w:ascii="Arial" w:cs="Arial" w:eastAsia="Arial" w:hAnsi="Arial"/>
          <w:b/>
          <w:bCs/>
          <w:color w:val="1E3A5F"/>
          <w:sz w:val="32"/>
          <w:szCs w:val="32"/>
        </w:rPr>
        <w:t xml:space="preserve">10. Success Criteria</w:t>
      </w:r>
    </w:p>
    <w:p>
      <w:pPr>
        <w:spacing w:before="60" w:after="60"/>
      </w:pPr>
      <w:r>
        <w:rPr>
          <w:rFonts w:ascii="Arial" w:cs="Arial" w:eastAsia="Arial" w:hAnsi="Arial"/>
          <w:sz w:val="22"/>
          <w:szCs w:val="22"/>
        </w:rPr>
        <w:t xml:space="preserve">The MVP is considered successful when all of the following conditions are met:</w:t>
      </w:r>
    </w:p>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All three data source integrations (MS Graph, Slack, GitHub) operational with synthetic/mock data</w:t>
      </w:r>
    </w:p>
    <w:p>
      <w:pPr>
        <w:pStyle w:val="ListParagraph"/>
        <w:numPr>
          <w:ilvl w:val="0"/>
          <w:numId w:val="2"/>
        </w:numPr>
        <w:spacing w:before="40" w:after="40"/>
      </w:pPr>
      <w:r>
        <w:rPr>
          <w:rFonts w:ascii="Arial" w:cs="Arial" w:eastAsia="Arial" w:hAnsi="Arial"/>
          <w:b w:val="false"/>
          <w:bCs w:val="false"/>
          <w:sz w:val="22"/>
          <w:szCs w:val="22"/>
        </w:rPr>
        <w:t xml:space="preserve">GNN model produces burnout risk scores on a simulated employee graph of at least 100 nodes</w:t>
      </w:r>
    </w:p>
    <w:p>
      <w:pPr>
        <w:pStyle w:val="ListParagraph"/>
        <w:numPr>
          <w:ilvl w:val="0"/>
          <w:numId w:val="2"/>
        </w:numPr>
        <w:spacing w:before="40" w:after="40"/>
      </w:pPr>
      <w:r>
        <w:rPr>
          <w:rFonts w:ascii="Arial" w:cs="Arial" w:eastAsia="Arial" w:hAnsi="Arial"/>
          <w:b w:val="false"/>
          <w:bCs w:val="false"/>
          <w:sz w:val="22"/>
          <w:szCs w:val="22"/>
        </w:rPr>
        <w:t xml:space="preserve">Cascade propagation logic correctly identifies at-risk neighbors in demo scenarios</w:t>
      </w:r>
    </w:p>
    <w:p>
      <w:pPr>
        <w:pStyle w:val="ListParagraph"/>
        <w:numPr>
          <w:ilvl w:val="0"/>
          <w:numId w:val="2"/>
        </w:numPr>
        <w:spacing w:before="40" w:after="40"/>
      </w:pPr>
      <w:r>
        <w:rPr>
          <w:rFonts w:ascii="Arial" w:cs="Arial" w:eastAsia="Arial" w:hAnsi="Arial"/>
          <w:b w:val="false"/>
          <w:bCs w:val="false"/>
          <w:sz w:val="22"/>
          <w:szCs w:val="22"/>
        </w:rPr>
        <w:t xml:space="preserve">Power BI dashboard renders heatmap and cascade visualization from model output</w:t>
      </w:r>
    </w:p>
    <w:p>
      <w:pPr>
        <w:pStyle w:val="ListParagraph"/>
        <w:numPr>
          <w:ilvl w:val="0"/>
          <w:numId w:val="2"/>
        </w:numPr>
        <w:spacing w:before="40" w:after="40"/>
      </w:pPr>
      <w:r>
        <w:rPr>
          <w:rFonts w:ascii="Arial" w:cs="Arial" w:eastAsia="Arial" w:hAnsi="Arial"/>
          <w:b w:val="false"/>
          <w:bCs w:val="false"/>
          <w:sz w:val="22"/>
          <w:szCs w:val="22"/>
        </w:rPr>
        <w:t xml:space="preserve">MS Teams bot delivers a test alert to a designated HR channel</w:t>
      </w:r>
    </w:p>
    <w:p>
      <w:pPr>
        <w:pStyle w:val="ListParagraph"/>
        <w:numPr>
          <w:ilvl w:val="0"/>
          <w:numId w:val="2"/>
        </w:numPr>
        <w:spacing w:before="40" w:after="40"/>
      </w:pPr>
      <w:r>
        <w:rPr>
          <w:rFonts w:ascii="Arial" w:cs="Arial" w:eastAsia="Arial" w:hAnsi="Arial"/>
          <w:b w:val="false"/>
          <w:bCs w:val="false"/>
          <w:sz w:val="22"/>
          <w:szCs w:val="22"/>
        </w:rPr>
        <w:t xml:space="preserve">RBAC enforcement verified — manager role cannot access individual scores via API</w:t>
      </w:r>
    </w:p>
    <w:p>
      <w:pPr>
        <w:pStyle w:val="ListParagraph"/>
        <w:numPr>
          <w:ilvl w:val="0"/>
          <w:numId w:val="2"/>
        </w:numPr>
        <w:spacing w:before="40" w:after="40"/>
      </w:pPr>
      <w:r>
        <w:rPr>
          <w:rFonts w:ascii="Arial" w:cs="Arial" w:eastAsia="Arial" w:hAnsi="Arial"/>
          <w:b w:val="false"/>
          <w:bCs w:val="false"/>
          <w:sz w:val="22"/>
          <w:szCs w:val="22"/>
        </w:rPr>
        <w:t xml:space="preserve">Full stack deployable via Docker Compose in a clean environment</w:t>
      </w:r>
    </w:p>
    <w:p>
      <w:pPr>
        <w:spacing w:before="80" w:after="80"/>
      </w:pPr>
      <w:r>
        <w:t xml:space="preserve"/>
      </w:r>
    </w:p>
    <w:p>
      <w:pPr>
        <w:pStyle w:val="Heading1"/>
        <w:pBdr>
          <w:bottom w:val="single" w:color="2E75B6" w:sz="6" w:space="1"/>
        </w:pBdr>
        <w:spacing w:before="360" w:after="120"/>
      </w:pPr>
      <w:r>
        <w:rPr>
          <w:rFonts w:ascii="Arial" w:cs="Arial" w:eastAsia="Arial" w:hAnsi="Arial"/>
          <w:b/>
          <w:bCs/>
          <w:color w:val="1E3A5F"/>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2026-03-21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 Santhosh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draft — Unisys Innovation Program Y17 submission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888888"/>
        <w:sz w:val="18"/>
        <w:szCs w:val="18"/>
      </w:rPr>
      <w:t xml:space="preserve">Confidential — Unisys Innovation Program Submission</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b/>
        <w:bCs/>
        <w:color w:val="1E3A5F"/>
        <w:sz w:val="20"/>
        <w:szCs w:val="20"/>
      </w:rPr>
      <w:t xml:space="preserve">CognitiveSync</w:t>
    </w:r>
    <w:r>
      <w:rPr>
        <w:rFonts w:ascii="Arial" w:cs="Arial" w:eastAsia="Arial" w:hAnsi="Arial"/>
        <w:color w:val="666666"/>
        <w:sz w:val="20"/>
        <w:szCs w:val="20"/>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2026-03-21T07:23:39.782Z</dcterms:created>
  <dcterms:modified xsi:type="dcterms:W3CDTF">2026-03-21T07:23:39.783Z</dcterms:modified>
</cp:coreProperties>
</file>

<file path=docProps/custom.xml><?xml version="1.0" encoding="utf-8"?>
<Properties xmlns="http://schemas.openxmlformats.org/officeDocument/2006/custom-properties" xmlns:vt="http://schemas.openxmlformats.org/officeDocument/2006/docPropsVTypes"/>
</file>