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80" w:after="120"/>
      </w:pPr>
      <w:r>
        <w:rPr>
          <w:rFonts w:ascii="Arial" w:cs="Arial" w:eastAsia="Arial" w:hAnsi="Arial"/>
          <w:b/>
          <w:bCs/>
          <w:color w:val="1E3A5F"/>
          <w:sz w:val="56"/>
          <w:szCs w:val="56"/>
        </w:rPr>
        <w:t xml:space="preserve">CognitiveSync</w:t>
      </w:r>
    </w:p>
    <w:p>
      <w:pPr>
        <w:spacing w:before="0" w:after="80"/>
      </w:pPr>
      <w:r>
        <w:rPr>
          <w:rFonts w:ascii="Arial" w:cs="Arial" w:eastAsia="Arial" w:hAnsi="Arial"/>
          <w:color w:val="2E75B6"/>
          <w:sz w:val="32"/>
          <w:szCs w:val="32"/>
        </w:rPr>
        <w:t xml:space="preserve">TECH_STACK.md</w:t>
      </w:r>
    </w:p>
    <w:p>
      <w:pPr>
        <w:spacing w:before="0" w:after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Version 1.0  |  Unisys Innovation Program Y17</w:t>
      </w:r>
    </w:p>
    <w:p>
      <w:pPr>
        <w:spacing w:before="0" w:after="480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Classification: Confidential</w:t>
      </w:r>
    </w:p>
    <w:p>
      <w:pPr>
        <w:pStyle w:val="Heading1"/>
        <w:pBdr>
          <w:bottom w:val="single" w:color="2E75B6" w:sz="6" w:space="1"/>
        </w:pBdr>
        <w:spacing w:before="360" w:after="12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1. Master Technology Stack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The following table provides a complete view of every technology selected for CognitiveSync, organized by layer and function.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2400"/>
        <w:gridCol w:w="1200"/>
        <w:gridCol w:w="15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License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Language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Primary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Python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3.11+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PSF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 Framework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REST Service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FastAPI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0.111+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 Server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ASGI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Uvicorn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0.29+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BSD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 Validation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Schema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Pydantic v2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2.x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ML Framework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GNN Training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PyTorch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2.2+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BSD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GNN Library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Graph Learning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PyTorch Geometric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2.5+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Graph Processing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In-memory Graph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NetworkX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3.x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BSD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 Processing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Vectors + Arrays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NumPy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1.26+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BSD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 Processing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Feature Engineering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Pandas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2.x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BSD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DB ORM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PostgreSQL Access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SQLAlchemy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2.x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DB Driver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PostgreSQL Driver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asyncpg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0.29+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Apache 2.0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Database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Feature Store + Audit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PostgreSQL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16+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PostgreSQL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Scheduler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Pipeline Orchestration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APScheduler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3.x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 — MS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Azure AD OAuth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MSAL Python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1.28+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 — Slack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Slack API Client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slack-sdk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3.x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 — GitHub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GitHub API Client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PyGithub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2.x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LGPL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 — JWT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Token Validation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python-jose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3.x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Encryption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AES-256 at rest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cryptography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42+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Apache 2.0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Secrets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Secrets Management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HashiCorp Vault / Azure Key Vault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MPL / Microsoft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Output — BI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Dashboard Push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Power BI REST API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Microsoft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Output — Chat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Teams Bot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Bot Framework SDK (Python)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4.x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Containerization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Container Runtime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Docker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26+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Apache 2.0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Orchestration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Container Orchestration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Kubernetes + Helm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1.29+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Apache 2.0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Reverse Proxy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TLS Termination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Nginx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1.25+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BSD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Testing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Unit + Integration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pytest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8.x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Testing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Async Tests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pytest-asyncio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0.23+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Apache 2.0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Testing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 Mocking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httpx + respx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BSD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Linting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Code Quality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ruff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0.4+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Type Checking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Static Analysis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mypy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1.9+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Packaging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Dependency Management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uv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0.1+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MIT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before="360" w:after="12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2. Language — Python 3.11+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Python is the primary and only language for CognitiveSync. All components — ingestion, graph modeling, GNN training, inference, API, and output connectors — are implemented in Python.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2.1 Justification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Dominant ecosystem for ML/GNN frameworks — PyTorch, PyTorch Geometric have no viable equivalent in other languages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Native async support (asyncio) enables high-throughput API and ingestion pipeline without thread overhead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First-class SDKs available for all three data sources: MSAL (MS Graph), slack-sdk (Slack), PyGithub (GitHub)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uv as package manager ensures fast, reproducible dependency resolution — superior to pip for complex ML dependency trees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2.2 Version Rationale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Python 3.11 selected for performance improvements (10-60% faster than 3.10 on typical workloads)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3.12+ avoided — PyTorch Geometric compatibility issues on early 3.12 releases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Pinned in .python-version file for uv reproducibility</w:t>
      </w:r>
    </w:p>
    <w:p>
      <w:pPr>
        <w:spacing w:before="80" w:after="8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before="360" w:after="12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3. API Layer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3.1 FastAPI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FastAPI is the REST framework for the CognitiveSync internal API service.</w:t>
      </w:r>
    </w:p>
    <w:p>
      <w:pPr>
        <w:spacing w:before="80" w:after="80"/>
      </w:pPr>
      <w:r>
        <w:t xml:space="preserve"/>
      </w:r>
    </w:p>
    <w:p>
      <w:pPr>
        <w:pStyle w:val="Heading3"/>
        <w:spacing w:before="180" w:after="60"/>
      </w:pPr>
      <w:r>
        <w:rPr>
          <w:rFonts w:ascii="Arial" w:cs="Arial" w:eastAsia="Arial" w:hAnsi="Arial"/>
          <w:b/>
          <w:bCs/>
          <w:color w:val="1E3A5F"/>
          <w:sz w:val="23"/>
          <w:szCs w:val="23"/>
        </w:rPr>
        <w:t xml:space="preserve">Why FastAPI over Flask / Django REST Framework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200"/>
        <w:gridCol w:w="2200"/>
        <w:gridCol w:w="21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Criterion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FastAPI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Flask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Django REST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Async support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Native (asyncio)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Requires extensions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Limited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 schema gen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OpenAPI + Swagger built-in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Manual / extension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Manual / extension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Performance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Top tier (Starlette base)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Moderate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Moderate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Type safety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Pydantic v2 native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Manual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Manual / DRF serializers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Learning curve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Solo dev fit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Excellent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Good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Overkill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3.2 Pydantic v2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All request and response schemas defined as Pydantic models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v2 selected for 5-50x validation speed improvement over v1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Strict mode enabled for all score and cascade response models — prevents silent type coercion</w:t>
      </w:r>
    </w:p>
    <w:p>
      <w:pPr>
        <w:spacing w:before="80" w:after="8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before="360" w:after="12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4. Machine Learning Stack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4.1 PyTorch 2.2+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PyTorch is the deep learning backbone for GNN model definition, training, and inference.</w:t>
      </w:r>
    </w:p>
    <w:p>
      <w:pPr>
        <w:spacing w:before="80" w:after="80"/>
      </w:pPr>
      <w:r>
        <w:t xml:space="preserve"/>
      </w:r>
    </w:p>
    <w:p>
      <w:pPr>
        <w:pStyle w:val="Heading3"/>
        <w:spacing w:before="180" w:after="60"/>
      </w:pPr>
      <w:r>
        <w:rPr>
          <w:rFonts w:ascii="Arial" w:cs="Arial" w:eastAsia="Arial" w:hAnsi="Arial"/>
          <w:b/>
          <w:bCs/>
          <w:color w:val="1E3A5F"/>
          <w:sz w:val="23"/>
          <w:szCs w:val="23"/>
        </w:rPr>
        <w:t xml:space="preserve">Why PyTorch over TensorFlow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PyTorch Geometric (PyG) — the industry-standard GNN library — is PyTorch-native with no TensorFlow equivalent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Dynamic computation graph essential for variable-size org graphs between training runs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Better CUDA memory management on 8GB VRAM (RTX 4060) via PyTorch 2.x torch.compile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Significantly larger GNN research community — faster access to reference implementations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4.2 PyTorch Geometric (PyG) 2.5+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PyG provides the graph data structures, GAT layer implementations, and mini-batch DataLoader used in CognitiveSync's GNN engine.</w:t>
      </w:r>
    </w:p>
    <w:p>
      <w:pPr>
        <w:spacing w:before="80" w:after="80"/>
      </w:pPr>
      <w:r>
        <w:t xml:space="preserve"/>
      </w:r>
    </w:p>
    <w:p>
      <w:pPr>
        <w:pStyle w:val="Heading3"/>
        <w:spacing w:before="180" w:after="60"/>
      </w:pPr>
      <w:r>
        <w:rPr>
          <w:rFonts w:ascii="Arial" w:cs="Arial" w:eastAsia="Arial" w:hAnsi="Arial"/>
          <w:b/>
          <w:bCs/>
          <w:color w:val="1E3A5F"/>
          <w:sz w:val="23"/>
          <w:szCs w:val="23"/>
        </w:rPr>
        <w:t xml:space="preserve">Key PyG Components Used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rPr>
          <w:tblHeader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PyG Component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Usage in CognitiveSync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torch_geometric.data.Data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Graph data container — node features, edge index, edge weights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torch_geometric.nn.GATConv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Graph Attention Convolution layers — core of burnout prediction model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torch_geometric.loader.DataLoader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Mini-batch training — enables training on graphs larger than VRAM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torch_geometric.utils.to_networkx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Graph export for cascade propagation module and visualization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torch_geometric.transforms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Feature normalization preprocessing transforms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4.3 NetworkX 3.x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In-memory graph construction and manipulation for MVP (pre-Neo4j)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Used by cascade propagation module for neighbor traversal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Graph export to PyG Data objects via torch_geometric.utils.from_networkx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V2 roadmap: replaced by Neo4j for persistent graph storage at scale</w:t>
      </w:r>
    </w:p>
    <w:p>
      <w:pPr>
        <w:spacing w:before="80" w:after="8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before="360" w:after="12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5. Data Layer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5.1 PostgreSQL 16+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PostgreSQL serves as the primary relational store for CognitiveSync — hosting the feature store, scoring history, and audit log in separate schemas.</w:t>
      </w:r>
    </w:p>
    <w:p>
      <w:pPr>
        <w:spacing w:before="80" w:after="80"/>
      </w:pPr>
      <w:r>
        <w:t xml:space="preserve"/>
      </w:r>
    </w:p>
    <w:p>
      <w:pPr>
        <w:pStyle w:val="Heading3"/>
        <w:spacing w:before="180" w:after="60"/>
      </w:pPr>
      <w:r>
        <w:rPr>
          <w:rFonts w:ascii="Arial" w:cs="Arial" w:eastAsia="Arial" w:hAnsi="Arial"/>
          <w:b/>
          <w:bCs/>
          <w:color w:val="1E3A5F"/>
          <w:sz w:val="23"/>
          <w:szCs w:val="23"/>
        </w:rPr>
        <w:t xml:space="preserve">Schema Overview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600"/>
        <w:gridCol w:w="39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Schema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Tables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features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employee_features, feature_windows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Pseudonymized behavioral vectors per 48hr window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scores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burnout_scores, cascade_scores, score_runs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GNN output history and cascade maps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audit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access_events, scoring_events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audit trail for compliance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config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org_config, threshold_config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Per-org configuration and alert thresholds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5.2 SQLAlchemy 2.x + asyncpg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SQLAlchemy 2.x async ORM — all DB operations fully async, no blocking calls in FastAPI handlers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asyncpg as the underlying PostgreSQL driver — highest throughput async PostgreSQL driver available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Alembic for schema migrations — versioned, rollback-capable</w:t>
      </w:r>
    </w:p>
    <w:p>
      <w:pPr>
        <w:spacing w:before="80" w:after="8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before="360" w:after="12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6. Ingestion &amp; Scheduling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6.1 APScheduler 3.x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APScheduler manages the 48-hour rolling pipeline refresh as a persistent background job within the scheduler container.</w:t>
      </w:r>
    </w:p>
    <w:p>
      <w:pPr>
        <w:spacing w:before="80" w:after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Job store: PostgreSQL (persists job state across container restarts)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Executor: asyncio — non-blocking job execution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Job: full pipeline run — fetch → anonymize → extract → upsert → graph rebuild → GNN inference → output push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Configurable interval via REFRESH_INTERVAL_HOURS environment variable</w:t>
      </w:r>
    </w:p>
    <w:p>
      <w:pPr>
        <w:spacing w:before="80" w:after="80"/>
      </w:pPr>
      <w:r>
        <w:t xml:space="preserve"/>
      </w:r>
    </w:p>
    <w:p>
      <w:pPr>
        <w:pStyle w:val="Heading3"/>
        <w:spacing w:before="180" w:after="60"/>
      </w:pPr>
      <w:r>
        <w:rPr>
          <w:rFonts w:ascii="Arial" w:cs="Arial" w:eastAsia="Arial" w:hAnsi="Arial"/>
          <w:b/>
          <w:bCs/>
          <w:color w:val="1E3A5F"/>
          <w:sz w:val="23"/>
          <w:szCs w:val="23"/>
        </w:rPr>
        <w:t xml:space="preserve">Why APScheduler over Airflow (MVP)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3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Criterion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APScheduler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Airflow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Deployment complexity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Single container, zero ops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Separate scheduler + worker + webserver + DB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Solo dev overhead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Minimal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Feature needs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Cron + interval jobs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DAG dependencies, backfills, SLAs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Resource consumption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256MB RAM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2+ GB RAM minimum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V2 migration path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Replace with Airflow when team scales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N/A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before="360" w:after="12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7. Authentication &amp; Security Libraries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7.1 MSAL Python (Microsoft Authentication Library)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Handles Azure AD OAuth 2.0 token acquisition for MS Graph API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Client credentials flow for daemon/service access (no user interaction required)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Token caching in-memory — automatic refresh before expiry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7.2 slack-sdk 3.x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Official Slack Python SDK — handles OAuth token management and Events API webhook verification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Async client (AsyncWebClient) used throughout ingestion pipeline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7.3 PyGithub 2.x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GitHub REST API client — organization-level read access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Rate limit handling built-in — automatic backoff on 429 responses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7.4 python-jose 3.x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JWT token generation and validation for internal FastAPI authentication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RS256 algorithm — asymmetric signing, public key distributed to all services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Claims: sub (pseudo_id or service_id), role, org_id, exp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7.5 cryptography 42+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AES-256-GCM encryption for the ID mapping store volume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PBKDF2HMAC key derivation from master secret (stored in Vault)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Used by anonymization engine for pseudonymous UUID generation salt storage</w:t>
      </w:r>
    </w:p>
    <w:p>
      <w:pPr>
        <w:spacing w:before="80" w:after="8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before="360" w:after="12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8. Output Stack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8.1 Power BI REST API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Push datasets endpoint used to stream scoring results to Power BI after each pipeline run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No Power BI SDK required — standard HTTP POST via httpx async client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Dataset schema: pseudo_id, burnout_score, cascade_risk, top_features, window_end, team_id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Power BI Desktop (free) for dashboard development; Power BI Embedded for enterprise demo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8.2 Microsoft Bot Framework SDK 4.x (Python)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Teams bot built using Bot Framework SDK — activity handler pattern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Adaptive Cards used for structured HR alert messages — rich formatting, action buttons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Bot registered via Azure Bot Service (free tier for development)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Webhook endpoint exposed via cognitiveSync-bot container on port 3978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Proactive messaging used for threshold-triggered alerts — bot initiates without user prompt</w:t>
      </w:r>
    </w:p>
    <w:p>
      <w:pPr>
        <w:spacing w:before="80" w:after="8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before="360" w:after="12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9. DevOps &amp; Deployment Stack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9.1 Docker 26+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Each component runs in an isolated container — api, scheduler, db, audit-db, bot, proxy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Multi-stage Dockerfiles — builder stage for dependencies, slim runtime stage for production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Base image: python:3.11-slim for all Python services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9.2 Docker Compose (MVP Deployment)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Single docker-compose.yml defines the full stack for on-prem single-node deployment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Named volumes for PostgreSQL data, model registry, and encrypted ID mapping store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Environment variable injection via .env file — no secrets in compose file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9.3 Kubernetes + Helm (Production Deployment)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Helm chart in deploy/helm/ defines all K8s resources — Deployments, Services, ConfigMaps, Secrets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HorizontalPodAutoscaler on API service — scales on CPU and request latency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PersistentVolumeClaims for PostgreSQL, model registry, and ID mapping store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NetworkPolicy enforces pod isolation — only proxy pod accessible from outside cluster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9.4 Nginx 1.25+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Reverse proxy and TLS termination for all external-facing endpoints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Rate limiting configured on /api/v1/scores and /api/v1/cascade-map endpoints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Upstream to FastAPI via Uvicorn on port 8000</w:t>
      </w:r>
    </w:p>
    <w:p>
      <w:pPr>
        <w:spacing w:before="80" w:after="8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before="360" w:after="12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10. Testing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600"/>
        <w:gridCol w:w="35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Tool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Scope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pytest 8.x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Primary test runner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unit and integration tests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pytest-asyncio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Async test support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FastAPI route tests, async ingestion pipeline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httpx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Async HTTP client for tests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FastAPI endpoint testing via TestClient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respx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 mocking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Mock MS Graph, Slack, GitHub API responses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factory_boy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 data factories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Synthetic employee graph and feature vector generation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pytest-cov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Coverage reporting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Minimum 80% coverage gate on core modules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before="360" w:after="12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11. Code Quality Toolchain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200"/>
        <w:gridCol w:w="33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Tool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Function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Config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ruff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Linting + formatting (replaces flake8/black/isort)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pyproject.toml — line length 100, strict mode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mypy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Static type checking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strict mode, disallow_untyped_defs = true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pre-commit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 hook enforcement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Runs ruff + mypy on every commit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11.1 pyproject.toml Structure</w:t>
      </w:r>
    </w:p>
    <w:p>
      <w:pPr>
        <w:shd w:fill="F0F4F8" w:val="clear"/>
        <w:spacing w:before="30" w:after="30"/>
        <w:ind w:left="3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[project]</w:t>
      </w:r>
    </w:p>
    <w:p>
      <w:pPr>
        <w:shd w:fill="F0F4F8" w:val="clear"/>
        <w:spacing w:before="30" w:after="30"/>
        <w:ind w:left="3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name = "cognitiveSync"</w:t>
      </w:r>
    </w:p>
    <w:p>
      <w:pPr>
        <w:shd w:fill="F0F4F8" w:val="clear"/>
        <w:spacing w:before="30" w:after="30"/>
        <w:ind w:left="3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requires-python = "&gt;=3.11"</w:t>
      </w:r>
    </w:p>
    <w:p>
      <w:pPr>
        <w:shd w:fill="F0F4F8" w:val="clear"/>
        <w:spacing w:before="30" w:after="30"/>
        <w:ind w:left="3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/>
      </w:r>
    </w:p>
    <w:p>
      <w:pPr>
        <w:shd w:fill="F0F4F8" w:val="clear"/>
        <w:spacing w:before="30" w:after="30"/>
        <w:ind w:left="3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[tool.ruff]</w:t>
      </w:r>
    </w:p>
    <w:p>
      <w:pPr>
        <w:shd w:fill="F0F4F8" w:val="clear"/>
        <w:spacing w:before="30" w:after="30"/>
        <w:ind w:left="3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line-length = 100</w:t>
      </w:r>
    </w:p>
    <w:p>
      <w:pPr>
        <w:shd w:fill="F0F4F8" w:val="clear"/>
        <w:spacing w:before="30" w:after="30"/>
        <w:ind w:left="3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select = ["E", "F", "I", "N", "UP", "ANN"]</w:t>
      </w:r>
    </w:p>
    <w:p>
      <w:pPr>
        <w:shd w:fill="F0F4F8" w:val="clear"/>
        <w:spacing w:before="30" w:after="30"/>
        <w:ind w:left="3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/>
      </w:r>
    </w:p>
    <w:p>
      <w:pPr>
        <w:shd w:fill="F0F4F8" w:val="clear"/>
        <w:spacing w:before="30" w:after="30"/>
        <w:ind w:left="3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[tool.mypy]</w:t>
      </w:r>
    </w:p>
    <w:p>
      <w:pPr>
        <w:shd w:fill="F0F4F8" w:val="clear"/>
        <w:spacing w:before="30" w:after="30"/>
        <w:ind w:left="3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strict = true</w:t>
      </w:r>
    </w:p>
    <w:p>
      <w:pPr>
        <w:shd w:fill="F0F4F8" w:val="clear"/>
        <w:spacing w:before="30" w:after="30"/>
        <w:ind w:left="3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python_version = "3.11"</w:t>
      </w:r>
    </w:p>
    <w:p>
      <w:pPr>
        <w:shd w:fill="F0F4F8" w:val="clear"/>
        <w:spacing w:before="30" w:after="30"/>
        <w:ind w:left="3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/>
      </w:r>
    </w:p>
    <w:p>
      <w:pPr>
        <w:shd w:fill="F0F4F8" w:val="clear"/>
        <w:spacing w:before="30" w:after="30"/>
        <w:ind w:left="3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[tool.pytest.ini_options]</w:t>
      </w:r>
    </w:p>
    <w:p>
      <w:pPr>
        <w:shd w:fill="F0F4F8" w:val="clear"/>
        <w:spacing w:before="30" w:after="30"/>
        <w:ind w:left="3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asyncio_mode = "auto"</w:t>
      </w:r>
    </w:p>
    <w:p>
      <w:pPr>
        <w:shd w:fill="F0F4F8" w:val="clear"/>
        <w:spacing w:before="30" w:after="30"/>
        <w:ind w:left="3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testpaths = ["tests"]</w:t>
      </w:r>
    </w:p>
    <w:p>
      <w:pPr>
        <w:spacing w:before="80" w:after="8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before="360" w:after="12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12. V2 Roadmap Stack Additions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00"/>
        <w:gridCol w:w="2600"/>
        <w:gridCol w:w="19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Replaces / Extends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Trigger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Graph DB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Neo4j 5.x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NetworkX (in-memory)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Org size &gt; 2,000 employees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Stream Ingestion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Apache Kafka + Flink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APScheduler batch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Real-time signal requirement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Wearable Adapter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Garmin Connect API + Fitbit Web API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N/A — new capability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Pilot org opt-in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Experiment Tracking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MLflow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Manual model registry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Multiple model variants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Feature Store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Feast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Custom PostgreSQL schema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Multi-org deployment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before="360" w:after="12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Document Control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800"/>
        <w:gridCol w:w="2400"/>
        <w:gridCol w:w="396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Author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Change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2026-03-21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 Santhosh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Initial draft — Unisys Innovation Program Y17 submission</w:t>
            </w:r>
          </w:p>
        </w:tc>
      </w:tr>
    </w:tbl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1"/>
      </w:pBdr>
      <w:tabs>
        <w:tab w:val="right" w:pos="9360"/>
      </w:tabs>
    </w:pPr>
    <w:r>
      <w:rPr>
        <w:rFonts w:ascii="Arial" w:cs="Arial" w:eastAsia="Arial" w:hAnsi="Arial"/>
        <w:color w:val="888888"/>
        <w:sz w:val="18"/>
        <w:szCs w:val="18"/>
      </w:rPr>
      <w:t xml:space="preserve">Confidential — Unisys Innovation Program Submission</w:t>
    </w:r>
    <w:r>
      <w:rPr>
        <w:rFonts w:ascii="Arial" w:cs="Arial" w:eastAsia="Arial" w:hAnsi="Arial"/>
        <w:color w:val="888888"/>
        <w:sz w:val="18"/>
        <w:szCs w:val="18"/>
      </w:rPr>
      <w:t xml:space="preserve">	Page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1"/>
      </w:pBdr>
      <w:tabs>
        <w:tab w:val="right" w:pos="9360"/>
      </w:tabs>
    </w:pPr>
    <w:r>
      <w:rPr>
        <w:rFonts w:ascii="Arial" w:cs="Arial" w:eastAsia="Arial" w:hAnsi="Arial"/>
        <w:b/>
        <w:bCs/>
        <w:color w:val="1E3A5F"/>
        <w:sz w:val="20"/>
        <w:szCs w:val="20"/>
      </w:rPr>
      <w:t xml:space="preserve">CognitiveSync</w:t>
    </w:r>
    <w:r>
      <w:rPr>
        <w:rFonts w:ascii="Arial" w:cs="Arial" w:eastAsia="Arial" w:hAnsi="Arial"/>
        <w:color w:val="666666"/>
        <w:sz w:val="20"/>
        <w:szCs w:val="20"/>
      </w:rPr>
      <w:t xml:space="preserve">	TECH_STACK.md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20"/>
      <w:outlineLvl w:val="0"/>
    </w:pPr>
    <w:rPr>
      <w:rFonts w:ascii="Arial" w:cs="Arial" w:eastAsia="Arial" w:hAnsi="Arial"/>
      <w:b/>
      <w:bCs/>
      <w:color w:val="1E3A5F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8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180" w:after="60"/>
      <w:outlineLvl w:val="2"/>
    </w:pPr>
    <w:rPr>
      <w:rFonts w:ascii="Arial" w:cs="Arial" w:eastAsia="Arial" w:hAnsi="Arial"/>
      <w:b/>
      <w:bCs/>
      <w:color w:val="1E3A5F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2026-03-21T07:48:17.425Z</dcterms:created>
  <dcterms:modified xsi:type="dcterms:W3CDTF">2026-03-21T07:48:17.426Z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