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before="480" w:after="80"/>
        <w:jc w:val="center"/>
      </w:pPr>
      <w:r>
        <w:rPr>
          <w:b/>
          <w:bCs/>
          <w:color w:val="6B21A8"/>
          <w:sz w:val="72"/>
          <w:szCs w:val="72"/>
        </w:rPr>
        <w:t xml:space="preserve">ResisTrack</w:t>
      </w:r>
    </w:p>
    <w:p>
      <w:pPr>
        <w:spacing w:after="80"/>
        <w:jc w:val="center"/>
      </w:pPr>
      <w:r>
        <w:rPr>
          <w:color w:val="374151"/>
          <w:sz w:val="32"/>
          <w:szCs w:val="32"/>
        </w:rPr>
        <w:t xml:space="preserve">Product Requirements Document (PRD)</w:t>
      </w:r>
    </w:p>
    <w:p>
      <w:pPr>
        <w:spacing w:after="200"/>
        <w:jc w:val="center"/>
      </w:pPr>
      <w:r>
        <w:rPr>
          <w:i/>
          <w:iCs/>
          <w:color w:val="6B7280"/>
          <w:sz w:val="24"/>
          <w:szCs w:val="24"/>
        </w:rPr>
        <w:t xml:space="preserve">AI-Powered Antimicrobial Resistance Risk Prediction &amp; Infection Control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Team Name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Curelytics</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Project Name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ResisTrack</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1.0</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Event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Impact-AI-Thon 2026</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February 18, 2026</w:t>
            </w:r>
          </w:p>
        </w:tc>
      </w:tr>
      <w:tr>
        <w:tc>
          <w:tcPr>
            <w:tcW w:type="dxa" w:w="22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Draft — For Review</w:t>
            </w:r>
          </w:p>
        </w:tc>
      </w:tr>
    </w:tbl>
    <w:p>
      <w:pPr>
        <w:spacing w:after="120"/>
      </w:pPr>
    </w:p>
    <w:p>
      <w:pPr>
        <w:pStyle w:val="Heading1"/>
        <w:pBdr>
          <w:bottom w:val="single" w:color="6B21A8" w:sz="6" w:space="2"/>
        </w:pBdr>
        <w:spacing w:before="400" w:after="160"/>
      </w:pPr>
      <w:r>
        <w:rPr>
          <w:b/>
          <w:bCs/>
          <w:color w:val="1F3864"/>
          <w:sz w:val="32"/>
          <w:szCs w:val="32"/>
        </w:rPr>
        <w:t xml:space="preserve">1. Product Overview</w:t>
      </w:r>
    </w:p>
    <w:p>
      <w:pPr>
        <w:spacing w:after="100"/>
      </w:pPr>
      <w:r>
        <w:rPr>
          <w:i w:val="false"/>
          <w:iCs w:val="false"/>
          <w:sz w:val="22"/>
          <w:szCs w:val="22"/>
        </w:rPr>
        <w:t xml:space="preserve">ResisTrack is an AI-driven clinical intelligence platform designed to predict antimicrobial resistance (AMR) risk within hours of patient admission — well before traditional culture-based results are available (which take 48–120 hours). The platform ingests longitudinal Electronic Health Record (EHR) data, vital signs, lab trends, prior antibiotic exposure history, and unstructured clinical notes to produce real-time AMR risk scores and actionable recommendations for clinicians, pharmacy teams, and infection control staff.</w:t>
      </w:r>
    </w:p>
    <w:p>
      <w:pPr>
        <w:spacing w:after="120"/>
      </w:pPr>
    </w:p>
    <w:p>
      <w:pPr>
        <w:pStyle w:val="Heading2"/>
        <w:spacing w:before="280" w:after="120"/>
      </w:pPr>
      <w:r>
        <w:rPr>
          <w:b/>
          <w:bCs/>
          <w:color w:val="6B21A8"/>
          <w:sz w:val="26"/>
          <w:szCs w:val="26"/>
        </w:rPr>
        <w:t xml:space="preserve">1.1 Problem Context</w:t>
      </w:r>
    </w:p>
    <w:p>
      <w:pPr>
        <w:spacing w:after="100"/>
      </w:pPr>
      <w:r>
        <w:rPr>
          <w:i w:val="false"/>
          <w:iCs w:val="false"/>
          <w:sz w:val="22"/>
          <w:szCs w:val="22"/>
        </w:rPr>
        <w:t xml:space="preserve">Hospitals globally rely on culture-based antimicrobial susceptibility testing, creating a 48–120 hour diagnostic gap during which clinicians are forced to prescribe broad-spectrum antibiotics without data. This drives inappropriate prescribing (&gt;20%), accelerates multi-drug resistant organism (MDRO) spread, extends patient length of stay by 2–5 days, and costs hospitals tens of thousands of dollars per resistant infection. Over 1 million deaths per year are associated with drug-resistant infections (WHO/Lancet GRAM).</w:t>
      </w:r>
    </w:p>
    <w:p>
      <w:pPr>
        <w:spacing w:after="120"/>
      </w:pPr>
    </w:p>
    <w:p>
      <w:pPr>
        <w:pStyle w:val="Heading2"/>
        <w:spacing w:before="280" w:after="120"/>
      </w:pPr>
      <w:r>
        <w:rPr>
          <w:b/>
          <w:bCs/>
          <w:color w:val="6B21A8"/>
          <w:sz w:val="26"/>
          <w:szCs w:val="26"/>
        </w:rPr>
        <w:t xml:space="preserve">1.2 Product Vision</w:t>
      </w:r>
    </w:p>
    <w:p>
      <w:pPr>
        <w:spacing w:after="100"/>
      </w:pPr>
      <w:r>
        <w:rPr>
          <w:i w:val="false"/>
          <w:iCs w:val="false"/>
          <w:sz w:val="22"/>
          <w:szCs w:val="22"/>
        </w:rPr>
        <w:t xml:space="preserve">Shift global healthcare from reactive antibiotic use to proactive precision stewardship — closing the diagnostic gap, reducing AMR mortality, and protecting hospital financial integrity.</w:t>
      </w:r>
    </w:p>
    <w:p>
      <w:pPr>
        <w:spacing w:after="120"/>
      </w:pPr>
    </w:p>
    <w:p>
      <w:pPr>
        <w:pStyle w:val="Heading1"/>
        <w:pBdr>
          <w:bottom w:val="single" w:color="6B21A8" w:sz="6" w:space="2"/>
        </w:pBdr>
        <w:spacing w:before="400" w:after="160"/>
      </w:pPr>
      <w:r>
        <w:rPr>
          <w:b/>
          <w:bCs/>
          <w:color w:val="1F3864"/>
          <w:sz w:val="32"/>
          <w:szCs w:val="32"/>
        </w:rPr>
        <w:t xml:space="preserve">2. Product Objectives &amp; Success Metrics</w:t>
      </w:r>
    </w:p>
    <w:p>
      <w:pPr>
        <w:pStyle w:val="Heading2"/>
        <w:spacing w:before="280" w:after="120"/>
      </w:pPr>
      <w:r>
        <w:rPr>
          <w:b/>
          <w:bCs/>
          <w:color w:val="6B21A8"/>
          <w:sz w:val="26"/>
          <w:szCs w:val="26"/>
        </w:rPr>
        <w:t xml:space="preserve">2.1 Primary Objectives</w:t>
      </w:r>
    </w:p>
    <w:p>
      <w:pPr>
        <w:pStyle w:val="ListParagraph"/>
        <w:numPr>
          <w:ilvl w:val="0"/>
          <w:numId w:val="2"/>
        </w:numPr>
        <w:spacing w:after="80"/>
      </w:pPr>
      <w:r>
        <w:rPr>
          <w:sz w:val="22"/>
          <w:szCs w:val="22"/>
        </w:rPr>
        <w:t xml:space="preserve">Predict AMR risk at or before 6 hours post-admission</w:t>
      </w:r>
    </w:p>
    <w:p>
      <w:pPr>
        <w:pStyle w:val="ListParagraph"/>
        <w:numPr>
          <w:ilvl w:val="0"/>
          <w:numId w:val="2"/>
        </w:numPr>
        <w:spacing w:after="80"/>
      </w:pPr>
      <w:r>
        <w:rPr>
          <w:sz w:val="22"/>
          <w:szCs w:val="22"/>
        </w:rPr>
        <w:t xml:space="preserve">Reduce inappropriate antibiotic prescribing by ≥30% in pilot hospitals</w:t>
      </w:r>
    </w:p>
    <w:p>
      <w:pPr>
        <w:pStyle w:val="ListParagraph"/>
        <w:numPr>
          <w:ilvl w:val="0"/>
          <w:numId w:val="2"/>
        </w:numPr>
        <w:spacing w:after="80"/>
      </w:pPr>
      <w:r>
        <w:rPr>
          <w:sz w:val="22"/>
          <w:szCs w:val="22"/>
        </w:rPr>
        <w:t xml:space="preserve">Reduce patient length of stay by ≥2.7 days for AMR-flagged cases</w:t>
      </w:r>
    </w:p>
    <w:p>
      <w:pPr>
        <w:pStyle w:val="ListParagraph"/>
        <w:numPr>
          <w:ilvl w:val="0"/>
          <w:numId w:val="2"/>
        </w:numPr>
        <w:spacing w:after="80"/>
      </w:pPr>
      <w:r>
        <w:rPr>
          <w:sz w:val="22"/>
          <w:szCs w:val="22"/>
        </w:rPr>
        <w:t xml:space="preserve">Cut infection surveillance manual workload by ≥85%</w:t>
      </w:r>
    </w:p>
    <w:p>
      <w:pPr>
        <w:pStyle w:val="ListParagraph"/>
        <w:numPr>
          <w:ilvl w:val="0"/>
          <w:numId w:val="2"/>
        </w:numPr>
        <w:spacing w:after="80"/>
      </w:pPr>
      <w:r>
        <w:rPr>
          <w:sz w:val="22"/>
          <w:szCs w:val="22"/>
        </w:rPr>
        <w:t xml:space="preserve">Identify hospital-wide infection trends ≥4 weeks earlier than current baseline</w:t>
      </w:r>
    </w:p>
    <w:p>
      <w:pPr>
        <w:spacing w:after="120"/>
      </w:pPr>
    </w:p>
    <w:p>
      <w:pPr>
        <w:pStyle w:val="Heading2"/>
        <w:spacing w:before="280" w:after="120"/>
      </w:pPr>
      <w:r>
        <w:rPr>
          <w:b/>
          <w:bCs/>
          <w:color w:val="6B21A8"/>
          <w:sz w:val="26"/>
          <w:szCs w:val="26"/>
        </w:rPr>
        <w:t xml:space="preserve">2.2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AMR Prediction Sensitivity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85% (true positive rate for resistant organisms)</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AMR Prediction Specificity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80% (minimize alert fatigue)</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Time-to-Risk-Score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&lt; 6 hours post-admission data ingestion</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EHR Integration Uptime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99.5% availability (SLA)</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Alert Acknowledgement Rate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 70% of high-risk alerts acted upon within 4 hours</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False Positive Rate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&lt; 20% to prevent alarm fatigue</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Model Retraining Cycle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Automated monthly retraining on new data</w:t>
            </w:r>
          </w:p>
        </w:tc>
      </w:tr>
    </w:tbl>
    <w:p>
      <w:pPr>
        <w:spacing w:after="120"/>
      </w:pPr>
    </w:p>
    <w:p>
      <w:pPr>
        <w:pStyle w:val="Heading1"/>
        <w:pBdr>
          <w:bottom w:val="single" w:color="6B21A8" w:sz="6" w:space="2"/>
        </w:pBdr>
        <w:spacing w:before="400" w:after="160"/>
      </w:pPr>
      <w:r>
        <w:rPr>
          <w:b/>
          <w:bCs/>
          <w:color w:val="1F3864"/>
          <w:sz w:val="32"/>
          <w:szCs w:val="32"/>
        </w:rPr>
        <w:t xml:space="preserve">3. Functional Requirements — What the Product MUST Do</w:t>
      </w:r>
    </w:p>
    <w:p>
      <w:pPr>
        <w:spacing w:after="100"/>
      </w:pPr>
      <w:r>
        <w:rPr>
          <w:i w:val="false"/>
          <w:iCs w:val="false"/>
          <w:sz w:val="22"/>
          <w:szCs w:val="22"/>
        </w:rPr>
        <w:t xml:space="preserve">The following table defines mandatory functional requirements for ResisTrack v1.0. 'MUST' denotes critical requirements; 'SHOULD' denotes high-priority enhancements.</w:t>
      </w:r>
    </w:p>
    <w:p>
      <w:pPr>
        <w:spacing w:after="120"/>
      </w:pPr>
    </w:p>
    <w:p>
      <w:pPr>
        <w:pStyle w:val="Heading2"/>
        <w:spacing w:before="280" w:after="120"/>
      </w:pPr>
      <w:r>
        <w:rPr>
          <w:b/>
          <w:bCs/>
          <w:color w:val="6B21A8"/>
          <w:sz w:val="26"/>
          <w:szCs w:val="26"/>
        </w:rPr>
        <w:t xml:space="preserve">3.1 Data Ingestion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200"/>
        <w:gridCol w:w="1800"/>
      </w:tblGrid>
      <w:tr>
        <w:tc>
          <w:tcPr>
            <w:tcW w:type="dxa" w:w="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Type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ingest patient EHR data via SMART on FHIR R4 from Epic and Cerner systems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Integration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support HL7 v2 to FHIR R4 transformation via Mirth Connect for legacy hospital systems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Integration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ingest structured lab results (CBC, CMP, cultures, blood cultures, urinalysis) in real-time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ingest vital signs streams (HR, BP, temp, SpO2, RR) from clinical monitoring systems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ingest prior antibiotic prescription history from pharmacy systems (LIS/RIS)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ingest unstructured clinical notes (nursing, physician, discharge summaries) for NLP processing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NLP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SHOULD ingest radiology reports and imaging metadata as supplementary risk signals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D97706"/>
                <w:sz w:val="18"/>
                <w:szCs w:val="18"/>
              </w:rPr>
              <w:t xml:space="preserve">SHOULD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support TLS 1.3 encryption and mutual authentication for all data in transit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Security</w:t>
            </w:r>
          </w:p>
        </w:tc>
      </w:tr>
    </w:tbl>
    <w:p>
      <w:pPr>
        <w:spacing w:after="120"/>
      </w:pPr>
    </w:p>
    <w:p>
      <w:pPr>
        <w:pStyle w:val="Heading2"/>
        <w:spacing w:before="280" w:after="120"/>
      </w:pPr>
      <w:r>
        <w:rPr>
          <w:b/>
          <w:bCs/>
          <w:color w:val="6B21A8"/>
          <w:sz w:val="26"/>
          <w:szCs w:val="26"/>
        </w:rPr>
        <w:t xml:space="preserve">3.2 AI/ML Risk Prediction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200"/>
        <w:gridCol w:w="1800"/>
      </w:tblGrid>
      <w:tr>
        <w:tc>
          <w:tcPr>
            <w:tcW w:type="dxa" w:w="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Type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FR-09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generate an AMR Risk Score (0–100) per patient within 6 hours of sufficient data availability</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classify patients into risk tiers: Low, Medium, High, Critical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predict resistance likelihood per antibiotic class (e.g., carbapenem, fluoroquinolone, beta-lactam)</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use XGBoost for structured tabular risk scoring on EHR features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use PyTorch CNN/RNN for temporal vital and lab trend pattern recognition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FR-14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use ClinicalBERT / BioBERT (via HuggingFace) for NLP extraction from clinical notes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NLP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FR-15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provide SHAP-based explainability output identifying top contributing risk factors per patient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Explainability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FR-16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support automated monthly model retraining pipelines on newly ingested hospital data via AWS SageMaker</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MLOps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SHOULD detect hospital-wide MDRO outbreak clusters and surface trend alerts to infection control</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D97706"/>
                <w:sz w:val="18"/>
                <w:szCs w:val="18"/>
              </w:rPr>
              <w:t xml:space="preserve">SHOULD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Analytics</w:t>
            </w:r>
          </w:p>
        </w:tc>
      </w:tr>
    </w:tbl>
    <w:p>
      <w:pPr>
        <w:spacing w:after="120"/>
      </w:pPr>
    </w:p>
    <w:p>
      <w:pPr>
        <w:pStyle w:val="Heading2"/>
        <w:spacing w:before="280" w:after="120"/>
      </w:pPr>
      <w:r>
        <w:rPr>
          <w:b/>
          <w:bCs/>
          <w:color w:val="6B21A8"/>
          <w:sz w:val="26"/>
          <w:szCs w:val="26"/>
        </w:rPr>
        <w:t xml:space="preserve">3.3 Clinical Decision Support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200"/>
        <w:gridCol w:w="1800"/>
      </w:tblGrid>
      <w:tr>
        <w:tc>
          <w:tcPr>
            <w:tcW w:type="dxa" w:w="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Type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FR-18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generate actionable antibiotic stewardship recommendations alongside each risk score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FR-19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surface alerts within the existing EHR workflow via CDS Hooks (no separate login required)</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Integration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allow clinicians to acknowledge, override, or escalate alerts with a reason code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FR-21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notify pharmacy teams of high-risk patients for prospective antibiotic review</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Notification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FR-22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notify infection control officers when Critical-tier patients are identified</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Notification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FR-23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SHOULD provide antibiogram-aware recommendations using hospital-specific resistance patterns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D97706"/>
                <w:sz w:val="18"/>
                <w:szCs w:val="18"/>
              </w:rPr>
              <w:t xml:space="preserve">SHOULD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CDS</w:t>
            </w:r>
          </w:p>
        </w:tc>
      </w:tr>
    </w:tbl>
    <w:p>
      <w:pPr>
        <w:spacing w:after="120"/>
      </w:pPr>
    </w:p>
    <w:p>
      <w:pPr>
        <w:pStyle w:val="Heading2"/>
        <w:spacing w:before="280" w:after="120"/>
      </w:pPr>
      <w:r>
        <w:rPr>
          <w:b/>
          <w:bCs/>
          <w:color w:val="6B21A8"/>
          <w:sz w:val="26"/>
          <w:szCs w:val="26"/>
        </w:rPr>
        <w:t xml:space="preserve">3.4 Data Storage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200"/>
        <w:gridCol w:w="1800"/>
      </w:tblGrid>
      <w:tr>
        <w:tc>
          <w:tcPr>
            <w:tcW w:type="dxa" w:w="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Type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FR-24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store all FHIR R4 patient records in AWS HealthLake with PHI encryption at rest (AES-256)</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FR-25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maintain audit logs for all data access events in AWS RDS (PostgreSQL)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implement role-based access control (RBAC) via AWS IAM for all platform users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FR-27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implement OAuth 2.0 authorization for all SMART on FHIR app launches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FR-28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be HIPAA-compliant in all data handling, storage, and transmission practices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FR-29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SHOULD maintain a 7-year data retention policy with automated archiving to S3 Glacier</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D97706"/>
                <w:sz w:val="18"/>
                <w:szCs w:val="18"/>
              </w:rPr>
              <w:t xml:space="preserve">SHOULD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Compliance</w:t>
            </w:r>
          </w:p>
        </w:tc>
      </w:tr>
    </w:tbl>
    <w:p>
      <w:pPr>
        <w:spacing w:after="120"/>
      </w:pPr>
    </w:p>
    <w:p>
      <w:pPr>
        <w:pStyle w:val="Heading2"/>
        <w:spacing w:before="280" w:after="120"/>
      </w:pPr>
      <w:r>
        <w:rPr>
          <w:b/>
          <w:bCs/>
          <w:color w:val="6B21A8"/>
          <w:sz w:val="26"/>
          <w:szCs w:val="26"/>
        </w:rPr>
        <w:t xml:space="preserve">3.5 Dashboards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200"/>
        <w:gridCol w:w="1800"/>
      </w:tblGrid>
      <w:tr>
        <w:tc>
          <w:tcPr>
            <w:tcW w:type="dxa" w:w="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Type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FR-30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provide a web-based clinical dashboard showing patient AMR risk scores by ward/unit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FR-31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display infection trend analytics at the hospital, unit, and patient level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Analytics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FR-32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generate automated weekly AMR stewardship reports exportable as PDF/CSV</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Reporting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FR-33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SHOULD provide a pharmacy-specific view for antibiotic utilization review</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D97706"/>
                <w:sz w:val="18"/>
                <w:szCs w:val="18"/>
              </w:rPr>
              <w:t xml:space="preserve">SHOULD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FR-34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SHOULD provide an executive dashboard with financial impact metrics (LOS savings, penalty avoidance)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D97706"/>
                <w:sz w:val="18"/>
                <w:szCs w:val="18"/>
              </w:rPr>
              <w:t xml:space="preserve">SHOULD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UI</w:t>
            </w:r>
          </w:p>
        </w:tc>
      </w:tr>
    </w:tbl>
    <w:p>
      <w:pPr>
        <w:spacing w:after="120"/>
      </w:pPr>
    </w:p>
    <w:p>
      <w:pPr>
        <w:pStyle w:val="Heading1"/>
        <w:pBdr>
          <w:bottom w:val="single" w:color="6B21A8" w:sz="6" w:space="2"/>
        </w:pBdr>
        <w:spacing w:before="400" w:after="160"/>
      </w:pPr>
      <w:r>
        <w:rPr>
          <w:b/>
          <w:bCs/>
          <w:color w:val="1F3864"/>
          <w:sz w:val="32"/>
          <w:szCs w:val="32"/>
        </w:rPr>
        <w:t xml:space="preserve">4. Constraints — What the Product MUST NOT Do</w:t>
      </w:r>
    </w:p>
    <w:p>
      <w:pPr>
        <w:spacing w:after="100"/>
      </w:pPr>
      <w:r>
        <w:rPr>
          <w:i w:val="false"/>
          <w:iCs w:val="false"/>
          <w:sz w:val="22"/>
          <w:szCs w:val="22"/>
        </w:rPr>
        <w:t xml:space="preserve">The following define hard constraints and prohibited behaviors for ResisTrack to ensure safety, compliance, and trust: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200"/>
        <w:gridCol w:w="1800"/>
      </w:tblGrid>
      <w:tr>
        <w:tc>
          <w:tcPr>
            <w:tcW w:type="dxa" w:w="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6B21A8" w:val="clear"/>
            <w:tcMar>
              <w:top w:type="dxa" w:w="80"/>
              <w:left w:type="dxa" w:w="120"/>
              <w:bottom w:type="dxa" w:w="80"/>
              <w:right w:type="dxa" w:w="120"/>
            </w:tcMar>
          </w:tcPr>
          <w:p>
            <w:r>
              <w:rPr>
                <w:b/>
                <w:bCs/>
                <w:color w:val="FFFFFF"/>
                <w:sz w:val="20"/>
                <w:szCs w:val="20"/>
              </w:rPr>
              <w:t xml:space="preserve">Type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replace clinical judgment — all outputs are decision support tools, not autonomous treatment orders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Safety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CN-02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issue antibiotic prescriptions or modify orders directly in the EHR; recommendations only</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Safety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store or process PHI outside of HIPAA-compliant AWS infrastructure (no external API calls with patient data)</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allow any user role to access patient data outside their authorized department scope (RBAC enforced)</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use model versions that have not passed clinical validation on ≥1,000 patient records before deployment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Safety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CN-06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serve predictions with a confidence score below 0.60 without a low-confidence disclosure flag to the clinician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Safety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log or expose patient identifiers in system monitoring tools (CloudWatch, logs) — use de-identified tokens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Privacy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CN-08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train or fine-tune models on data from hospitals that have not provided a signed BAA and data sharing agreement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Legal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CN-09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send PHI in notification payloads (email, SMS alerts) — notifications must contain only de-identified risk identifiers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Privacy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deploy model updates without automated regression testing against a held-out validation dataset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MLOps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MUST NOT allow public internet access to internal patient data APIs — all APIs must be VPC-internal only</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DC2626"/>
                <w:sz w:val="18"/>
                <w:szCs w:val="18"/>
              </w:rPr>
              <w:t xml:space="preserve">MUST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CN-12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SHOULD NOT generate generic alerts without patient-specific evidence — all alerts must reference specific contributing factors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b/>
                <w:bCs/>
                <w:color w:val="D97706"/>
                <w:sz w:val="18"/>
                <w:szCs w:val="18"/>
              </w:rPr>
              <w:t xml:space="preserve">SHOULD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UX</w:t>
            </w:r>
          </w:p>
        </w:tc>
      </w:tr>
    </w:tbl>
    <w:p>
      <w:pPr>
        <w:spacing w:after="120"/>
      </w:pPr>
    </w:p>
    <w:p>
      <w:pPr>
        <w:pStyle w:val="Heading1"/>
        <w:pBdr>
          <w:bottom w:val="single" w:color="6B21A8" w:sz="6" w:space="2"/>
        </w:pBdr>
        <w:spacing w:before="400" w:after="160"/>
      </w:pPr>
      <w:r>
        <w:rPr>
          <w:b/>
          <w:bCs/>
          <w:color w:val="1F3864"/>
          <w:sz w:val="32"/>
          <w:szCs w:val="32"/>
        </w:rPr>
        <w:t xml:space="preserve">5. User Personas &amp; Access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Attending Physician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Views AMR risk scores in EHR workflow via CDS Hooks. Acknowledges/overrides recommendations. Read-only access to patient-level dashboard.</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Infectious Disease (ID) Specialist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Full access to AMR risk scores, trend analytics, and SHAP explainability panel. Can annotate cases for model feedback.</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Clinical Pharmacist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Pharmacy dashboard access. Reviews antibiotic utilization, high-risk patient list. Can flag cases for stewardship intervention.</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Infection Control Officer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Hospital-wide outbreak trend dashboard. Critical-tier patient alerts. Weekly stewardship report generation.</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Hospital Administrator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Executive dashboard only. Financial impact metrics, LOS trends, CMS penalty avoidance analytics. No PHI access.</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IT/Integration Admin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Manages FHIR connection configuration, EHR system credentials, and RBAC role assignments. No patient data access.</w:t>
            </w:r>
          </w:p>
        </w:tc>
      </w:tr>
    </w:tbl>
    <w:p>
      <w:pPr>
        <w:spacing w:after="120"/>
      </w:pPr>
    </w:p>
    <w:p>
      <w:pPr>
        <w:pStyle w:val="Heading1"/>
        <w:pBdr>
          <w:bottom w:val="single" w:color="6B21A8" w:sz="6" w:space="2"/>
        </w:pBdr>
        <w:spacing w:before="400" w:after="160"/>
      </w:pPr>
      <w:r>
        <w:rPr>
          <w:b/>
          <w:bCs/>
          <w:color w:val="1F3864"/>
          <w:sz w:val="32"/>
          <w:szCs w:val="32"/>
        </w:rPr>
        <w:t xml:space="preserve">6. Non-Functional Requirements</w:t>
      </w:r>
    </w:p>
    <w:p>
      <w:pPr>
        <w:pStyle w:val="Heading2"/>
        <w:spacing w:before="280" w:after="120"/>
      </w:pPr>
      <w:r>
        <w:rPr>
          <w:b/>
          <w:bCs/>
          <w:color w:val="6B21A8"/>
          <w:sz w:val="26"/>
          <w:szCs w:val="26"/>
        </w:rPr>
        <w:t xml:space="preserve">6.1 Performance</w:t>
      </w:r>
    </w:p>
    <w:p>
      <w:pPr>
        <w:pStyle w:val="ListParagraph"/>
        <w:numPr>
          <w:ilvl w:val="0"/>
          <w:numId w:val="2"/>
        </w:numPr>
        <w:spacing w:after="80"/>
      </w:pPr>
      <w:r>
        <w:rPr>
          <w:sz w:val="22"/>
          <w:szCs w:val="22"/>
        </w:rPr>
        <w:t xml:space="preserve">AMR risk score generation latency: &lt; 2 seconds for synchronous CDS Hook queries</w:t>
      </w:r>
    </w:p>
    <w:p>
      <w:pPr>
        <w:pStyle w:val="ListParagraph"/>
        <w:numPr>
          <w:ilvl w:val="0"/>
          <w:numId w:val="2"/>
        </w:numPr>
        <w:spacing w:after="80"/>
      </w:pPr>
      <w:r>
        <w:rPr>
          <w:sz w:val="22"/>
          <w:szCs w:val="22"/>
        </w:rPr>
        <w:t xml:space="preserve">Batch scoring pipeline (nightly full census): &lt; 30 minutes for up to 1,000 active patients</w:t>
      </w:r>
    </w:p>
    <w:p>
      <w:pPr>
        <w:pStyle w:val="ListParagraph"/>
        <w:numPr>
          <w:ilvl w:val="0"/>
          <w:numId w:val="2"/>
        </w:numPr>
        <w:spacing w:after="80"/>
      </w:pPr>
      <w:r>
        <w:rPr>
          <w:sz w:val="22"/>
          <w:szCs w:val="22"/>
        </w:rPr>
        <w:t xml:space="preserve">API response time (p95): &lt; 500ms for dashboard data queries</w:t>
      </w:r>
    </w:p>
    <w:p>
      <w:pPr>
        <w:spacing w:after="120"/>
      </w:pPr>
    </w:p>
    <w:p>
      <w:pPr>
        <w:pStyle w:val="Heading2"/>
        <w:spacing w:before="280" w:after="120"/>
      </w:pPr>
      <w:r>
        <w:rPr>
          <w:b/>
          <w:bCs/>
          <w:color w:val="6B21A8"/>
          <w:sz w:val="26"/>
          <w:szCs w:val="26"/>
        </w:rPr>
        <w:t xml:space="preserve">6.2 Scalability</w:t>
      </w:r>
    </w:p>
    <w:p>
      <w:pPr>
        <w:pStyle w:val="ListParagraph"/>
        <w:numPr>
          <w:ilvl w:val="0"/>
          <w:numId w:val="2"/>
        </w:numPr>
        <w:spacing w:after="80"/>
      </w:pPr>
      <w:r>
        <w:rPr>
          <w:sz w:val="22"/>
          <w:szCs w:val="22"/>
        </w:rPr>
        <w:t xml:space="preserve">Cloud-native AWS architecture must support elastic scaling from 50 to 10,000 concurrent patients</w:t>
      </w:r>
    </w:p>
    <w:p>
      <w:pPr>
        <w:pStyle w:val="ListParagraph"/>
        <w:numPr>
          <w:ilvl w:val="0"/>
          <w:numId w:val="2"/>
        </w:numPr>
        <w:spacing w:after="80"/>
      </w:pPr>
      <w:r>
        <w:rPr>
          <w:sz w:val="22"/>
          <w:szCs w:val="22"/>
        </w:rPr>
        <w:t xml:space="preserve">Model inference must scale horizontally via SageMaker auto-scaling endpoints</w:t>
      </w:r>
    </w:p>
    <w:p>
      <w:pPr>
        <w:pStyle w:val="ListParagraph"/>
        <w:numPr>
          <w:ilvl w:val="0"/>
          <w:numId w:val="2"/>
        </w:numPr>
        <w:spacing w:after="80"/>
      </w:pPr>
      <w:r>
        <w:rPr>
          <w:sz w:val="22"/>
          <w:szCs w:val="22"/>
        </w:rPr>
        <w:t xml:space="preserve">Data pipeline must handle HL7 message rates up to 10,000 messages/hour per hospital</w:t>
      </w:r>
    </w:p>
    <w:p>
      <w:pPr>
        <w:spacing w:after="120"/>
      </w:pPr>
    </w:p>
    <w:p>
      <w:pPr>
        <w:pStyle w:val="Heading2"/>
        <w:spacing w:before="280" w:after="120"/>
      </w:pPr>
      <w:r>
        <w:rPr>
          <w:b/>
          <w:bCs/>
          <w:color w:val="6B21A8"/>
          <w:sz w:val="26"/>
          <w:szCs w:val="26"/>
        </w:rPr>
        <w:t xml:space="preserve">6.3 Reliability &amp; Availability</w:t>
      </w:r>
    </w:p>
    <w:p>
      <w:pPr>
        <w:pStyle w:val="ListParagraph"/>
        <w:numPr>
          <w:ilvl w:val="0"/>
          <w:numId w:val="2"/>
        </w:numPr>
        <w:spacing w:after="80"/>
      </w:pPr>
      <w:r>
        <w:rPr>
          <w:sz w:val="22"/>
          <w:szCs w:val="22"/>
        </w:rPr>
        <w:t xml:space="preserve">Platform uptime SLA: ≥ 99.5% (excluding planned maintenance windows)</w:t>
      </w:r>
    </w:p>
    <w:p>
      <w:pPr>
        <w:pStyle w:val="ListParagraph"/>
        <w:numPr>
          <w:ilvl w:val="0"/>
          <w:numId w:val="2"/>
        </w:numPr>
        <w:spacing w:after="80"/>
      </w:pPr>
      <w:r>
        <w:rPr>
          <w:sz w:val="22"/>
          <w:szCs w:val="22"/>
        </w:rPr>
        <w:t xml:space="preserve">Graceful degradation: If ML inference is unavailable, the system must fall back to rule-based risk flagging</w:t>
      </w:r>
    </w:p>
    <w:p>
      <w:pPr>
        <w:pStyle w:val="ListParagraph"/>
        <w:numPr>
          <w:ilvl w:val="0"/>
          <w:numId w:val="2"/>
        </w:numPr>
        <w:spacing w:after="80"/>
      </w:pPr>
      <w:r>
        <w:rPr>
          <w:sz w:val="22"/>
          <w:szCs w:val="22"/>
        </w:rPr>
        <w:t xml:space="preserve">All prediction outputs must be cached for ≥ 24 hours to ensure clinician access during outages</w:t>
      </w:r>
    </w:p>
    <w:p>
      <w:pPr>
        <w:spacing w:after="120"/>
      </w:pPr>
    </w:p>
    <w:p>
      <w:pPr>
        <w:pStyle w:val="Heading2"/>
        <w:spacing w:before="280" w:after="120"/>
      </w:pPr>
      <w:r>
        <w:rPr>
          <w:b/>
          <w:bCs/>
          <w:color w:val="6B21A8"/>
          <w:sz w:val="26"/>
          <w:szCs w:val="26"/>
        </w:rPr>
        <w:t xml:space="preserve">6.4 Regulatory Compliance</w:t>
      </w:r>
    </w:p>
    <w:p>
      <w:pPr>
        <w:pStyle w:val="ListParagraph"/>
        <w:numPr>
          <w:ilvl w:val="0"/>
          <w:numId w:val="2"/>
        </w:numPr>
        <w:spacing w:after="80"/>
      </w:pPr>
      <w:r>
        <w:rPr>
          <w:sz w:val="22"/>
          <w:szCs w:val="22"/>
        </w:rPr>
        <w:t xml:space="preserve">HIPAA Security Rule: Full compliance for all PHI handling</w:t>
      </w:r>
    </w:p>
    <w:p>
      <w:pPr>
        <w:pStyle w:val="ListParagraph"/>
        <w:numPr>
          <w:ilvl w:val="0"/>
          <w:numId w:val="2"/>
        </w:numPr>
        <w:spacing w:after="80"/>
      </w:pPr>
      <w:r>
        <w:rPr>
          <w:sz w:val="22"/>
          <w:szCs w:val="22"/>
        </w:rPr>
        <w:t xml:space="preserve">FDA PCCP Framework: Predetermined Change Control Plan documentation required for ML model updates</w:t>
      </w:r>
    </w:p>
    <w:p>
      <w:pPr>
        <w:pStyle w:val="ListParagraph"/>
        <w:numPr>
          <w:ilvl w:val="0"/>
          <w:numId w:val="2"/>
        </w:numPr>
        <w:spacing w:after="80"/>
      </w:pPr>
      <w:r>
        <w:rPr>
          <w:sz w:val="22"/>
          <w:szCs w:val="22"/>
        </w:rPr>
        <w:t xml:space="preserve">CMS HAC Reduction Program: Platform outputs must be auditable for hospital quality reporting</w:t>
      </w:r>
    </w:p>
    <w:p>
      <w:pPr>
        <w:pStyle w:val="ListParagraph"/>
        <w:numPr>
          <w:ilvl w:val="0"/>
          <w:numId w:val="2"/>
        </w:numPr>
        <w:spacing w:after="80"/>
      </w:pPr>
      <w:r>
        <w:rPr>
          <w:sz w:val="22"/>
          <w:szCs w:val="22"/>
        </w:rPr>
        <w:t xml:space="preserve">HL7 FHIR R4: Full conformance for all patient data interfaces</w:t>
      </w:r>
    </w:p>
    <w:p>
      <w:pPr>
        <w:spacing w:after="120"/>
      </w:pPr>
    </w:p>
    <w:p>
      <w:pPr>
        <w:pStyle w:val="Heading1"/>
        <w:pBdr>
          <w:bottom w:val="single" w:color="6B21A8" w:sz="6" w:space="2"/>
        </w:pBdr>
        <w:spacing w:before="400" w:after="160"/>
      </w:pPr>
      <w:r>
        <w:rPr>
          <w:b/>
          <w:bCs/>
          <w:color w:val="1F3864"/>
          <w:sz w:val="32"/>
          <w:szCs w:val="32"/>
        </w:rPr>
        <w:t xml:space="preserve">7. Out of Scope (v1.0)</w:t>
      </w:r>
    </w:p>
    <w:p>
      <w:pPr>
        <w:pStyle w:val="ListParagraph"/>
        <w:numPr>
          <w:ilvl w:val="0"/>
          <w:numId w:val="2"/>
        </w:numPr>
        <w:spacing w:after="80"/>
      </w:pPr>
      <w:r>
        <w:rPr>
          <w:sz w:val="22"/>
          <w:szCs w:val="22"/>
        </w:rPr>
        <w:t xml:space="preserve">Direct integration with automated pharmacy dispensing systems (v2.0 roadmap)</w:t>
      </w:r>
    </w:p>
    <w:p>
      <w:pPr>
        <w:pStyle w:val="ListParagraph"/>
        <w:numPr>
          <w:ilvl w:val="0"/>
          <w:numId w:val="2"/>
        </w:numPr>
        <w:spacing w:after="80"/>
      </w:pPr>
      <w:r>
        <w:rPr>
          <w:sz w:val="22"/>
          <w:szCs w:val="22"/>
        </w:rPr>
        <w:t xml:space="preserve">Patient-facing mobile application</w:t>
      </w:r>
    </w:p>
    <w:p>
      <w:pPr>
        <w:pStyle w:val="ListParagraph"/>
        <w:numPr>
          <w:ilvl w:val="0"/>
          <w:numId w:val="2"/>
        </w:numPr>
        <w:spacing w:after="80"/>
      </w:pPr>
      <w:r>
        <w:rPr>
          <w:sz w:val="22"/>
          <w:szCs w:val="22"/>
        </w:rPr>
        <w:t xml:space="preserve">Genomic / whole genome sequencing data ingestion</w:t>
      </w:r>
    </w:p>
    <w:p>
      <w:pPr>
        <w:pStyle w:val="ListParagraph"/>
        <w:numPr>
          <w:ilvl w:val="0"/>
          <w:numId w:val="2"/>
        </w:numPr>
        <w:spacing w:after="80"/>
      </w:pPr>
      <w:r>
        <w:rPr>
          <w:sz w:val="22"/>
          <w:szCs w:val="22"/>
        </w:rPr>
        <w:t xml:space="preserve">Veterinary or community health (non-hospital) settings</w:t>
      </w:r>
    </w:p>
    <w:p>
      <w:pPr>
        <w:pStyle w:val="ListParagraph"/>
        <w:numPr>
          <w:ilvl w:val="0"/>
          <w:numId w:val="2"/>
        </w:numPr>
        <w:spacing w:after="80"/>
      </w:pPr>
      <w:r>
        <w:rPr>
          <w:sz w:val="22"/>
          <w:szCs w:val="22"/>
        </w:rPr>
        <w:t xml:space="preserve">Real-time surgical prophylaxis decision support</w:t>
      </w:r>
    </w:p>
    <w:p>
      <w:pPr>
        <w:pStyle w:val="ListParagraph"/>
        <w:numPr>
          <w:ilvl w:val="0"/>
          <w:numId w:val="2"/>
        </w:numPr>
        <w:spacing w:after="80"/>
      </w:pPr>
      <w:r>
        <w:rPr>
          <w:sz w:val="22"/>
          <w:szCs w:val="22"/>
        </w:rPr>
        <w:t xml:space="preserve">Integration with LIS systems beyond Epic/Cerner (phased per customer)</w:t>
      </w:r>
    </w:p>
    <w:p>
      <w:pPr>
        <w:spacing w:after="120"/>
      </w:pPr>
    </w:p>
    <w:p>
      <w:pPr>
        <w:pStyle w:val="Heading1"/>
        <w:pBdr>
          <w:bottom w:val="single" w:color="6B21A8" w:sz="6" w:space="2"/>
        </w:pBdr>
        <w:spacing w:before="400" w:after="160"/>
      </w:pPr>
      <w:r>
        <w:rPr>
          <w:b/>
          <w:bCs/>
          <w:color w:val="1F3864"/>
          <w:sz w:val="32"/>
          <w:szCs w:val="32"/>
        </w:rPr>
        <w:t xml:space="preserve">8. Assumptions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EHR Access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Target hospitals use Epic or Cerner with SMART on FHIR R4 enabled</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Data Quality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Hospitals maintain structured lab result data with &gt;85% completeness</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Network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Hospital systems can establish VPN/Direct Connect to AWS VPC</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BAA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All hospital partners will sign a Business Associate Agreement before data onboarding</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Clinical Validation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Pilot validation dataset of ≥1,000 patients available from a partner hospital</w:t>
            </w:r>
          </w:p>
        </w:tc>
      </w:tr>
      <w:tr>
        <w:tc>
          <w:tcPr>
            <w:tcW w:type="dxa" w:w="30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tcPr>
          <w:p>
            <w:r>
              <w:rPr>
                <w:b/>
                <w:bCs/>
                <w:sz w:val="20"/>
                <w:szCs w:val="20"/>
              </w:rPr>
              <w:t xml:space="preserve">Regulatory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0"/>
                <w:szCs w:val="20"/>
              </w:rPr>
              <w:t xml:space="preserve">MVP operates as a Clinical Decision Support tool (not FDA Class II medical device) to expedite launch</w:t>
            </w:r>
          </w:p>
        </w:tc>
      </w:tr>
    </w:tbl>
    <w:p>
      <w:pPr>
        <w:spacing w:after="120"/>
      </w:pPr>
    </w:p>
    <w:p>
      <w:r>
        <w:br w:type="page"/>
      </w:r>
    </w:p>
    <w:p>
      <w:pPr>
        <w:spacing w:before="720"/>
        <w:jc w:val="center"/>
      </w:pPr>
      <w:r>
        <w:rPr>
          <w:i/>
          <w:iCs/>
          <w:color w:val="9CA3AF"/>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21A8" w:sz="4" w:space="1"/>
      </w:pBdr>
      <w:jc w:val="center"/>
    </w:pPr>
    <w:r>
      <w:rPr>
        <w:color w:val="9CA3AF"/>
        <w:sz w:val="18"/>
        <w:szCs w:val="18"/>
      </w:rPr>
      <w:t xml:space="preserve">ResisTrack PRD v1.0  |  Impact-AI-Thon 2026  |  Team Curelytics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1A8" w:sz="4" w:space="1"/>
      </w:pBdr>
    </w:pPr>
    <w:r>
      <w:rPr>
        <w:b/>
        <w:bCs/>
        <w:color w:val="6B21A8"/>
        <w:sz w:val="20"/>
        <w:szCs w:val="20"/>
      </w:rPr>
      <w:t xml:space="preserve">ResisTrack — Product Requirements Document</w:t>
    </w:r>
    <w:r>
      <w:rPr>
        <w:color w:val="9CA3AF"/>
        <w:sz w:val="18"/>
        <w:szCs w:val="18"/>
      </w:rPr>
      <w:t xml:space="preserve">    |    CONFIDENTIAL    |    Team: Curelytics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2026-02-18T04:50:21.951Z</dcterms:created>
  <dcterms:modified xsi:type="dcterms:W3CDTF">2026-02-18T04:50:21.952Z</dcterms:modified>
</cp:coreProperties>
</file>

<file path=docProps/custom.xml><?xml version="1.0" encoding="utf-8"?>
<Properties xmlns="http://schemas.openxmlformats.org/officeDocument/2006/custom-properties" xmlns:vt="http://schemas.openxmlformats.org/officeDocument/2006/docPropsVTypes"/>
</file>