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before="480" w:after="80"/>
        <w:jc w:val="center"/>
      </w:pPr>
      <w:r>
        <w:rPr>
          <w:b/>
          <w:bCs/>
          <w:color w:val="0369A1"/>
          <w:sz w:val="72"/>
          <w:szCs w:val="72"/>
        </w:rPr>
        <w:t xml:space="preserve">ResisTrack</w:t>
      </w:r>
    </w:p>
    <w:p>
      <w:pPr>
        <w:spacing w:after="80"/>
        <w:jc w:val="center"/>
      </w:pPr>
      <w:r>
        <w:rPr>
          <w:color w:val="374151"/>
          <w:sz w:val="36"/>
          <w:szCs w:val="36"/>
        </w:rPr>
        <w:t xml:space="preserve">Technical Architecture Document</w:t>
      </w:r>
    </w:p>
    <w:p>
      <w:pPr>
        <w:spacing w:after="200"/>
        <w:jc w:val="center"/>
      </w:pPr>
      <w:r>
        <w:rPr>
          <w:i/>
          <w:iCs/>
          <w:color w:val="6B7280"/>
          <w:sz w:val="24"/>
          <w:szCs w:val="24"/>
        </w:rPr>
        <w:t xml:space="preserve">AI-Powered AMR Risk Prediction Platform — System Design v1.0</w:t>
      </w:r>
    </w:p>
    <w:p>
      <w:pPr>
        <w:spacing w:after="120"/>
      </w:pPr>
    </w:p>
    <w:p>
      <w:pPr>
        <w:pStyle w:val="Heading1"/>
        <w:pBdr>
          <w:bottom w:val="single" w:color="0EA5E9" w:sz="6" w:space="2"/>
        </w:pBdr>
        <w:spacing w:before="400" w:after="160"/>
      </w:pPr>
      <w:r>
        <w:rPr>
          <w:b/>
          <w:bCs/>
          <w:color w:val="1E3A5F"/>
          <w:sz w:val="32"/>
          <w:szCs w:val="32"/>
        </w:rPr>
        <w:t xml:space="preserve">1. Architecture Overview</w:t>
      </w:r>
    </w:p>
    <w:p>
      <w:pPr>
        <w:spacing w:after="100"/>
      </w:pPr>
      <w:r>
        <w:rPr>
          <w:i w:val="false"/>
          <w:iCs w:val="false"/>
          <w:sz w:val="22"/>
          <w:szCs w:val="22"/>
        </w:rPr>
        <w:t xml:space="preserve">ResisTrack is built on a cloud-native, microservices-based architecture hosted on AWS. The system is organized into five principal layers: (1) Data Ingestion &amp; Integration, (2) Data Storage &amp; Management, (3) AI/ML Inference Engine, (4) Clinical Decision Support (CDS) Layer, and (5) Presentation &amp; EHR Interface Layer. All inter-service communication occurs within a private AWS VPC, with external hospital connectivity via VPN or AWS Direct Connect.</w:t>
      </w:r>
    </w:p>
    <w:p>
      <w:pPr>
        <w:spacing w:after="120"/>
      </w:pPr>
    </w:p>
    <w:p>
      <w:pPr>
        <w:spacing w:after="100"/>
      </w:pPr>
      <w:r>
        <w:rPr>
          <w:i w:val="false"/>
          <w:iCs w:val="false"/>
          <w:sz w:val="22"/>
          <w:szCs w:val="22"/>
        </w:rPr>
        <w:t xml:space="preserve">The architecture follows a hub-and-spoke topology: hospital systems (EHR, LIS, RIS) feed into a centralized Data Gateway, which normalizes and routes data to the AWS cloud platform for AI inference and CDS output, then surfaces results back into clinician workflows via SMART on FHIR and CDS Hooks — without requiring clinicians to leave the EHR.</w:t>
      </w:r>
    </w:p>
    <w:p>
      <w:pPr>
        <w:spacing w:after="120"/>
      </w:pPr>
    </w:p>
    <w:p>
      <w:pPr>
        <w:pStyle w:val="Heading1"/>
        <w:pBdr>
          <w:bottom w:val="single" w:color="0EA5E9" w:sz="6" w:space="2"/>
        </w:pBdr>
        <w:spacing w:before="400" w:after="160"/>
      </w:pPr>
      <w:r>
        <w:rPr>
          <w:b/>
          <w:bCs/>
          <w:color w:val="1E3A5F"/>
          <w:sz w:val="32"/>
          <w:szCs w:val="32"/>
        </w:rPr>
        <w:t xml:space="preserve">2. Full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560"/>
        <w:gridCol w:w="3000"/>
      </w:tblGrid>
      <w:tr>
        <w:tc>
          <w:tcPr>
            <w:tcW w:type="dxa" w:w="16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Component</w:t>
            </w:r>
          </w:p>
        </w:tc>
        <w:tc>
          <w:tcPr>
            <w:tcW w:type="dxa" w:w="256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Technology / Tool</w:t>
            </w:r>
          </w:p>
        </w:tc>
        <w:tc>
          <w:tcPr>
            <w:tcW w:type="dxa" w:w="30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HL7 v2 → FHIR Transformer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Mirth Connect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Transforms legacy HL7 v2 lab/ADT messages to FHIR R4 resources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FHIR API Gateway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API Gateway + Lambda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Validates and routes inbound FHIR R4 bundles; enforces authentication</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EHR Integration Protocol</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SMART on FHIR R4 / CDS Hooks / HL7 v2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Enables app launch and CDS from Epic/Cerner without custom EHR code</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Data Transport Security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TLS 1.3 + Mutual Authentication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Encrypts all data in transit between hospital and cloud</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Ingestion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Hospital Connectivity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VPN / Direct Connect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Private network tunnel between hospital DMZ and AWS VPC</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FHIR Data Store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HealthLake (FHIR R4)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Managed HIPAA-eligible FHIR datastore for patient records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Relational DB / Audit Logs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Amazon RDS (PostgreSQL)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Stores model outputs, alert history, user actions, audit trails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Object Storage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Amazon 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Raw data lake for unstructured notes, model artifacts, reports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Storage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Data Encryption at Rest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AES-256 (AWS KMS)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All PHI encrypted at rest across HealthLake, RDS, and S3</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ML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Model Training &amp; Deployment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SageMaker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Managed training pipelines, model registry, and inference endpoints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ML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Structured Risk Scoring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XGBoost (Python)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Gradient-boosted model on tabular EHR features (labs, vitals, Rx history)</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ML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Temporal Pattern Recognition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PyTorch (CNN + RNN/LSTM)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Learns time-series patterns in lab trends and vital sign trajectories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ML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NLP — Clinical Notes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ClinicalBERT / BioBERT (HuggingFace)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Extracts AMR risk signals from unstructured physician/nursing notes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ML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Explainability</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SHAP (SHapley Values)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Per-patient risk factor attribution for clinician transparency</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ML / AI</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ML Framework</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Python 3.11, scikit-learn, pandas, numpy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Data preprocessing, feature engineering, pipeline orchestration</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Identity &amp; Access Management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IAM (RBAC)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Fine-grained role-based access control for all platform resources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SMART App Authorization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OAuth 2.0 / OpenID Connect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Secure EHR-delegated authorization for SMART app launches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Security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Network Isolation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VPC, Security Groups, NACLs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No public internet exposure of patient data APIs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CDS Integration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CDS Hooks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Injects AMR risk cards directly into EHR clinician workflows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Clinical Web Dashboard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React.js + AWS CloudFront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Ward-level and patient-level AMR risk visualization portal</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Presentation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Reporting Engine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Python (ReportLab) + S3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Generates automated PDF/CSV stewardship reports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Compute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Lambda + ECS Fargate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Serverless event-driven functions and containerized microservices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Container Orchestration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Amazon ECS (Fargate)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Runs inference microservices without server management</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CI/CD Pipeline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CodePipeline + CodeBuild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Automated build, test, and deployment pipelines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Monitoring &amp; Alerting</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Amazon CloudWatch + SNS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System health monitoring; de-identified operational alerts</w:t>
            </w:r>
          </w:p>
        </w:tc>
      </w:tr>
      <w:tr>
        <w:tc>
          <w:tcPr>
            <w:tcW w:type="dxa" w:w="1600"/>
            <w:tcBorders>
              <w:top w:val="single" w:color="CCCCCC" w:sz="1"/>
              <w:left w:val="single" w:color="CCCCCC" w:sz="1"/>
              <w:bottom w:val="single" w:color="CCCCCC" w:sz="1"/>
              <w:right w:val="single" w:color="CCCCCC" w:sz="1"/>
            </w:tcBorders>
            <w:shd w:fill="E0F2FE" w:val="clear"/>
            <w:tcMar>
              <w:top w:type="dxa" w:w="80"/>
              <w:left w:type="dxa" w:w="120"/>
              <w:bottom w:type="dxa" w:w="80"/>
              <w:right w:type="dxa" w:w="120"/>
            </w:tcMar>
          </w:tcPr>
          <w:p>
            <w:r>
              <w:rPr>
                <w:b/>
                <w:bCs/>
                <w:sz w:val="18"/>
                <w:szCs w:val="18"/>
              </w:rPr>
              <w:t xml:space="preserve">Infrastructure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Infrastructure as Code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AWS CDK (TypeScript)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18"/>
                <w:szCs w:val="18"/>
              </w:rPr>
              <w:t xml:space="preserve">Reproducible, version-controlled infrastructure provisioning</w:t>
            </w:r>
          </w:p>
        </w:tc>
      </w:tr>
    </w:tbl>
    <w:p>
      <w:pPr>
        <w:spacing w:after="120"/>
      </w:pPr>
    </w:p>
    <w:p>
      <w:pPr>
        <w:pStyle w:val="Heading1"/>
        <w:pBdr>
          <w:bottom w:val="single" w:color="0EA5E9" w:sz="6" w:space="2"/>
        </w:pBdr>
        <w:spacing w:before="400" w:after="160"/>
      </w:pPr>
      <w:r>
        <w:rPr>
          <w:b/>
          <w:bCs/>
          <w:color w:val="1E3A5F"/>
          <w:sz w:val="32"/>
          <w:szCs w:val="32"/>
        </w:rPr>
        <w:t xml:space="preserve">3. Architectural Layers — Detailed Design</w:t>
      </w:r>
    </w:p>
    <w:p>
      <w:pPr>
        <w:pStyle w:val="Heading2"/>
        <w:spacing w:before="280" w:after="120"/>
      </w:pPr>
      <w:r>
        <w:rPr>
          <w:b/>
          <w:bCs/>
          <w:color w:val="0369A1"/>
          <w:sz w:val="26"/>
          <w:szCs w:val="26"/>
        </w:rPr>
        <w:t xml:space="preserve">3.1 Layer 1: Data Ingestion &amp; Integration</w:t>
      </w:r>
    </w:p>
    <w:p>
      <w:pPr>
        <w:spacing w:after="100"/>
      </w:pPr>
      <w:r>
        <w:rPr>
          <w:i w:val="false"/>
          <w:iCs w:val="false"/>
          <w:sz w:val="22"/>
          <w:szCs w:val="22"/>
        </w:rPr>
        <w:t xml:space="preserve">Hospital systems (EHR, Laboratory Information System, Radiology Information System) transmit data to a secure Data Gateway Aggregation Layer via HL7 v2 ADT, ORU, RDE messages. The Mirth Connect integration engine transforms these messages to FHIR R4 resources (Patient, Observation, MedicationRequest, Condition, Encounter) and packages them as FHIR Bundles.</w:t>
      </w:r>
    </w:p>
    <w:p>
      <w:pPr>
        <w:spacing w:after="100"/>
      </w:pPr>
      <w:r>
        <w:rPr>
          <w:i w:val="false"/>
          <w:iCs w:val="false"/>
          <w:sz w:val="22"/>
          <w:szCs w:val="22"/>
        </w:rPr>
        <w:t xml:space="preserve">Bundles are transmitted over a TLS 1.3-encrypted channel with mutual certificate authentication to the AWS VPC via VPN or Direct Connect. Inside the VPC, an API Gateway endpoint validates the FHIR Bundle schema and invokes a Lambda function for data validation, de-duplication, and HealthLake ingestion.</w:t>
      </w:r>
    </w:p>
    <w:p>
      <w:pPr>
        <w:spacing w:after="120"/>
      </w:pPr>
    </w:p>
    <w:p>
      <w:pPr>
        <w:pStyle w:val="Heading2"/>
        <w:spacing w:before="280" w:after="120"/>
      </w:pPr>
      <w:r>
        <w:rPr>
          <w:b/>
          <w:bCs/>
          <w:color w:val="0369A1"/>
          <w:sz w:val="26"/>
          <w:szCs w:val="26"/>
        </w:rPr>
        <w:t xml:space="preserve">3.2 Layer 2: Data Storage &amp; Management</w:t>
      </w:r>
    </w:p>
    <w:p>
      <w:pPr>
        <w:spacing w:after="100"/>
      </w:pPr>
      <w:r>
        <w:rPr>
          <w:i w:val="false"/>
          <w:iCs w:val="false"/>
          <w:sz w:val="22"/>
          <w:szCs w:val="22"/>
        </w:rPr>
        <w:t xml:space="preserve">AWS HealthLake (FHIR R4 native) serves as the primary patient data store, supporting FHIR search queries by patient ID, encounter, observation code, and date range. All PHI is encrypted at rest with AES-256 via AWS KMS with customer-managed keys.</w:t>
      </w:r>
    </w:p>
    <w:p>
      <w:pPr>
        <w:spacing w:after="100"/>
      </w:pPr>
      <w:r>
        <w:rPr>
          <w:i w:val="false"/>
          <w:iCs w:val="false"/>
          <w:sz w:val="22"/>
          <w:szCs w:val="22"/>
        </w:rPr>
        <w:t xml:space="preserve">Amazon RDS (PostgreSQL) stores: model inference results, alert records, user acknowledgement events, and all audit log entries. S3 buckets store raw clinical note documents, trained model artifacts (.pkl, .pt files), and generated PDF reports. Data access is exclusively through IAM role policies — no public endpoints.</w:t>
      </w:r>
    </w:p>
    <w:p>
      <w:pPr>
        <w:spacing w:after="120"/>
      </w:pPr>
    </w:p>
    <w:p>
      <w:pPr>
        <w:pStyle w:val="Heading2"/>
        <w:spacing w:before="280" w:after="120"/>
      </w:pPr>
      <w:r>
        <w:rPr>
          <w:b/>
          <w:bCs/>
          <w:color w:val="0369A1"/>
          <w:sz w:val="26"/>
          <w:szCs w:val="26"/>
        </w:rPr>
        <w:t xml:space="preserve">3.3 Layer 3: AI/ML Inference Engine</w:t>
      </w:r>
    </w:p>
    <w:p>
      <w:pPr>
        <w:spacing w:after="100"/>
      </w:pPr>
      <w:r>
        <w:rPr>
          <w:i w:val="false"/>
          <w:iCs w:val="false"/>
          <w:sz w:val="22"/>
          <w:szCs w:val="22"/>
        </w:rPr>
        <w:t xml:space="preserve">The inference engine is hosted on AWS SageMaker and operates in two modes: (a) real-time synchronous inference triggered by CDS Hooks on patient admission events, and (b) scheduled batch inference processing the full active census nightly.</w:t>
      </w:r>
    </w:p>
    <w:p>
      <w:pPr>
        <w:spacing w:before="200" w:after="80"/>
      </w:pPr>
      <w:r>
        <w:rPr>
          <w:b/>
          <w:bCs/>
          <w:color w:val="374151"/>
          <w:sz w:val="22"/>
          <w:szCs w:val="22"/>
        </w:rPr>
        <w:t xml:space="preserve">Feature Engineering Pipeline</w:t>
      </w:r>
    </w:p>
    <w:p>
      <w:pPr>
        <w:pStyle w:val="ListParagraph"/>
        <w:numPr>
          <w:ilvl w:val="0"/>
          <w:numId w:val="2"/>
        </w:numPr>
        <w:spacing w:after="80"/>
      </w:pPr>
      <w:r>
        <w:rPr>
          <w:sz w:val="22"/>
          <w:szCs w:val="22"/>
        </w:rPr>
        <w:t xml:space="preserve">Structured features: 47 tabular features extracted from FHIR Observations, MedicationRequests, and Conditions — including WBC trajectory (7-day), CRP trend, prior beta-lactam exposure count, ICU admission flag, age, Charlson Comorbidity Index</w:t>
      </w:r>
    </w:p>
    <w:p>
      <w:pPr>
        <w:pStyle w:val="ListParagraph"/>
        <w:numPr>
          <w:ilvl w:val="0"/>
          <w:numId w:val="2"/>
        </w:numPr>
        <w:spacing w:after="80"/>
      </w:pPr>
      <w:r>
        <w:rPr>
          <w:sz w:val="22"/>
          <w:szCs w:val="22"/>
        </w:rPr>
        <w:t xml:space="preserve">Temporal features: 72-hour rolling windows of lab values and vitals encoded as time-series tensors for the RNN/LSTM component</w:t>
      </w:r>
    </w:p>
    <w:p>
      <w:pPr>
        <w:pStyle w:val="ListParagraph"/>
        <w:numPr>
          <w:ilvl w:val="0"/>
          <w:numId w:val="2"/>
        </w:numPr>
        <w:spacing w:after="80"/>
      </w:pPr>
      <w:r>
        <w:rPr>
          <w:sz w:val="22"/>
          <w:szCs w:val="22"/>
        </w:rPr>
        <w:t xml:space="preserve">NLP features: ClinicalBERT embeddings of the most recent 3 clinical notes, with AMR-relevant named entity recognition (organism mentions, resistance keywords, isolation status)</w:t>
      </w:r>
    </w:p>
    <w:p>
      <w:pPr>
        <w:spacing w:after="120"/>
      </w:pPr>
    </w:p>
    <w:p>
      <w:pPr>
        <w:spacing w:before="200" w:after="80"/>
      </w:pPr>
      <w:r>
        <w:rPr>
          <w:b/>
          <w:bCs/>
          <w:color w:val="374151"/>
          <w:sz w:val="22"/>
          <w:szCs w:val="22"/>
        </w:rPr>
        <w:t xml:space="preserve">Model Ensemble Architecture</w:t>
      </w:r>
    </w:p>
    <w:p>
      <w:pPr>
        <w:pStyle w:val="ListParagraph"/>
        <w:numPr>
          <w:ilvl w:val="0"/>
          <w:numId w:val="2"/>
        </w:numPr>
        <w:spacing w:after="80"/>
      </w:pPr>
      <w:r>
        <w:rPr>
          <w:sz w:val="22"/>
          <w:szCs w:val="22"/>
        </w:rPr>
        <w:t xml:space="preserve">XGBoost Model: Produces primary AMR Risk Score (0–100) from tabular features. Trained on structured EHR data from MIMIC-IV and partner hospital datasets.</w:t>
      </w:r>
    </w:p>
    <w:p>
      <w:pPr>
        <w:pStyle w:val="ListParagraph"/>
        <w:numPr>
          <w:ilvl w:val="0"/>
          <w:numId w:val="2"/>
        </w:numPr>
        <w:spacing w:after="80"/>
      </w:pPr>
      <w:r>
        <w:rPr>
          <w:sz w:val="22"/>
          <w:szCs w:val="22"/>
        </w:rPr>
        <w:t xml:space="preserve">PyTorch LSTM: Processes 72-hour vital/lab time series. Output is a trend-risk vector fed as additional features into XGBoost.</w:t>
      </w:r>
    </w:p>
    <w:p>
      <w:pPr>
        <w:pStyle w:val="ListParagraph"/>
        <w:numPr>
          <w:ilvl w:val="0"/>
          <w:numId w:val="2"/>
        </w:numPr>
        <w:spacing w:after="80"/>
      </w:pPr>
      <w:r>
        <w:rPr>
          <w:sz w:val="22"/>
          <w:szCs w:val="22"/>
        </w:rPr>
        <w:t xml:space="preserve">ClinicalBERT: Produces a 768-dimension clinical note embedding. Compressed to 32-dimension risk vector via fine-tuned classification head.</w:t>
      </w:r>
    </w:p>
    <w:p>
      <w:pPr>
        <w:pStyle w:val="ListParagraph"/>
        <w:numPr>
          <w:ilvl w:val="0"/>
          <w:numId w:val="2"/>
        </w:numPr>
        <w:spacing w:after="80"/>
      </w:pPr>
      <w:r>
        <w:rPr>
          <w:sz w:val="22"/>
          <w:szCs w:val="22"/>
        </w:rPr>
        <w:t xml:space="preserve">Ensemble: Weighted average of XGBoost score, LSTM risk vector, and ClinicalBERT risk vector. Final score calibrated via Platt scaling for probability output.</w:t>
      </w:r>
    </w:p>
    <w:p>
      <w:pPr>
        <w:pStyle w:val="ListParagraph"/>
        <w:numPr>
          <w:ilvl w:val="0"/>
          <w:numId w:val="2"/>
        </w:numPr>
        <w:spacing w:after="80"/>
      </w:pPr>
      <w:r>
        <w:rPr>
          <w:sz w:val="22"/>
          <w:szCs w:val="22"/>
        </w:rPr>
        <w:t xml:space="preserve">SHAP Explainer: TreeExplainer applied to final XGBoost predictions. Top-5 contributing features surfaced per patient.</w:t>
      </w:r>
    </w:p>
    <w:p>
      <w:pPr>
        <w:spacing w:after="120"/>
      </w:pPr>
    </w:p>
    <w:p>
      <w:pPr>
        <w:pStyle w:val="Heading2"/>
        <w:spacing w:before="280" w:after="120"/>
      </w:pPr>
      <w:r>
        <w:rPr>
          <w:b/>
          <w:bCs/>
          <w:color w:val="0369A1"/>
          <w:sz w:val="26"/>
          <w:szCs w:val="26"/>
        </w:rPr>
        <w:t xml:space="preserve">3.4 Layer 4: Clinical Decision Support Layer</w:t>
      </w:r>
    </w:p>
    <w:p>
      <w:pPr>
        <w:spacing w:after="100"/>
      </w:pPr>
      <w:r>
        <w:rPr>
          <w:i w:val="false"/>
          <w:iCs w:val="false"/>
          <w:sz w:val="22"/>
          <w:szCs w:val="22"/>
        </w:rPr>
        <w:t xml:space="preserve">CDS Hooks are registered with Epic/Cerner to fire on: patient-view (admission), order-sign (antibiotic orders), and encounter-discharge events. On trigger, the CDS Hook service queries the SageMaker endpoint synchronously and returns a FHIR CDS Card within 2 seconds containing:</w:t>
      </w:r>
    </w:p>
    <w:p>
      <w:pPr>
        <w:pStyle w:val="ListParagraph"/>
        <w:numPr>
          <w:ilvl w:val="0"/>
          <w:numId w:val="2"/>
        </w:numPr>
        <w:spacing w:after="80"/>
      </w:pPr>
      <w:r>
        <w:rPr>
          <w:sz w:val="22"/>
          <w:szCs w:val="22"/>
        </w:rPr>
        <w:t xml:space="preserve">AMR Risk Score and Risk Tier (Low / Medium / High / Critical)</w:t>
      </w:r>
    </w:p>
    <w:p>
      <w:pPr>
        <w:pStyle w:val="ListParagraph"/>
        <w:numPr>
          <w:ilvl w:val="0"/>
          <w:numId w:val="2"/>
        </w:numPr>
        <w:spacing w:after="80"/>
      </w:pPr>
      <w:r>
        <w:rPr>
          <w:sz w:val="22"/>
          <w:szCs w:val="22"/>
        </w:rPr>
        <w:t xml:space="preserve">Top 3 SHAP-explained contributing factors in plain language</w:t>
      </w:r>
    </w:p>
    <w:p>
      <w:pPr>
        <w:pStyle w:val="ListParagraph"/>
        <w:numPr>
          <w:ilvl w:val="0"/>
          <w:numId w:val="2"/>
        </w:numPr>
        <w:spacing w:after="80"/>
      </w:pPr>
      <w:r>
        <w:rPr>
          <w:sz w:val="22"/>
          <w:szCs w:val="22"/>
        </w:rPr>
        <w:t xml:space="preserve">Recommended antibiotic stewardship action (e.g., 'Broaden coverage — consider carbapenem-resistant organism')</w:t>
      </w:r>
    </w:p>
    <w:p>
      <w:pPr>
        <w:pStyle w:val="ListParagraph"/>
        <w:numPr>
          <w:ilvl w:val="0"/>
          <w:numId w:val="2"/>
        </w:numPr>
        <w:spacing w:after="80"/>
      </w:pPr>
      <w:r>
        <w:rPr>
          <w:sz w:val="22"/>
          <w:szCs w:val="22"/>
        </w:rPr>
        <w:t xml:space="preserve">Link to full ResisTrack patient detail view for deeper exploration</w:t>
      </w:r>
    </w:p>
    <w:p>
      <w:pPr>
        <w:spacing w:after="120"/>
      </w:pPr>
    </w:p>
    <w:p>
      <w:pPr>
        <w:pStyle w:val="Heading2"/>
        <w:spacing w:before="280" w:after="120"/>
      </w:pPr>
      <w:r>
        <w:rPr>
          <w:b/>
          <w:bCs/>
          <w:color w:val="0369A1"/>
          <w:sz w:val="26"/>
          <w:szCs w:val="26"/>
        </w:rPr>
        <w:t xml:space="preserve">3.5 Layer 5: Presentation &amp; EHR Interface</w:t>
      </w:r>
    </w:p>
    <w:p>
      <w:pPr>
        <w:spacing w:after="100"/>
      </w:pPr>
      <w:r>
        <w:rPr>
          <w:i w:val="false"/>
          <w:iCs w:val="false"/>
          <w:sz w:val="22"/>
          <w:szCs w:val="22"/>
        </w:rPr>
        <w:t xml:space="preserve">The React.js web dashboard is served via CloudFront and accessible to authorized users via SMART launch or direct login (OAuth 2.0). It provides ward-level heatmaps of AMR risk distribution, individual patient risk timelines, infection trend analytics, and stewardship report generation. Role-based views ensure each user type (physician, pharmacist, infection control, admin) sees only their authorized scope.</w:t>
      </w:r>
    </w:p>
    <w:p>
      <w:pPr>
        <w:spacing w:after="120"/>
      </w:pPr>
    </w:p>
    <w:p>
      <w:pPr>
        <w:pStyle w:val="Heading1"/>
        <w:pBdr>
          <w:bottom w:val="single" w:color="0EA5E9" w:sz="6" w:space="2"/>
        </w:pBdr>
        <w:spacing w:before="400" w:after="160"/>
      </w:pPr>
      <w:r>
        <w:rPr>
          <w:b/>
          <w:bCs/>
          <w:color w:val="1E3A5F"/>
          <w:sz w:val="32"/>
          <w:szCs w:val="32"/>
        </w:rPr>
        <w:t xml:space="preserve">4. Key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160"/>
        <w:gridCol w:w="3400"/>
      </w:tblGrid>
      <w:tr>
        <w:tc>
          <w:tcPr>
            <w:tcW w:type="dxa" w:w="18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Technology Chosen</w:t>
            </w:r>
          </w:p>
        </w:tc>
        <w:tc>
          <w:tcPr>
            <w:tcW w:type="dxa" w:w="216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Alternatives Considered</w:t>
            </w:r>
          </w:p>
        </w:tc>
        <w:tc>
          <w:tcPr>
            <w:tcW w:type="dxa" w:w="3400"/>
            <w:tcBorders>
              <w:top w:val="single" w:color="CCCCCC" w:sz="1"/>
              <w:left w:val="single" w:color="CCCCCC" w:sz="1"/>
              <w:bottom w:val="single" w:color="CCCCCC" w:sz="1"/>
              <w:right w:val="single" w:color="CCCCCC" w:sz="1"/>
            </w:tcBorders>
            <w:shd w:fill="0369A1" w:val="clear"/>
            <w:tcMar>
              <w:top w:type="dxa" w:w="80"/>
              <w:left w:type="dxa" w:w="120"/>
              <w:bottom w:type="dxa" w:w="80"/>
              <w:right w:type="dxa" w:w="120"/>
            </w:tcMar>
          </w:tcPr>
          <w:p>
            <w:r>
              <w:rPr>
                <w:b/>
                <w:bCs/>
                <w:color w:val="FFFFFF"/>
                <w:sz w:val="20"/>
                <w:szCs w:val="20"/>
              </w:rPr>
              <w:t xml:space="preserve">Justification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FHIR Store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AWS HealthLake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Azure Health Data Services, on-premise HAPI FHIR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Native HIPAA-eligible managed service, eliminates FHIR server management overhead, native S3 integration for ML pipelines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ML Orchestration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AWS SageMaker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Azure ML, GCP Vertex AI, self-hosted MLflow</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Tight AWS ecosystem integration, managed training pipelines, auto-scaling inference endpoints, built-in model registry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NLP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ClinicalBERT / BioBERT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GPT-4 API, Med-PaLM 2, custom LSTM NER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Pre-trained on clinical text corpus (MIMIC-III), no PHI sent to external API, reproducible fine-tuning, HuggingFace ecosystem support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EHR Integration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SMART on FHIR + CDS Hooks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Epic App Orchard custom build, Direct Messaging, proprietary API</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Vendor-neutral open standard; works across Epic, Cerner, and any SMART-compliant EHR without custom code per vendor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Compute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ECS Fargate + Lambda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EC2 self-managed, Kubernetes (EKS)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Serverless/containers eliminate server management; Fargate provides resource isolation per service; Lambda for event-driven ingestion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Risk Scoring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XGBoost + LSTM Ensemble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Logistic Regression only, Random Forest, GPT-4 few-shot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18"/>
                <w:szCs w:val="18"/>
              </w:rPr>
              <w:t xml:space="preserve">XGBoost: interpretable, fast inference, proven in clinical risk models; LSTM: captures temporal patterns missed by tabular models; ensemble outperforms single-model approaches in pilot evaluation</w:t>
            </w:r>
          </w:p>
        </w:tc>
      </w:tr>
    </w:tbl>
    <w:p>
      <w:pPr>
        <w:spacing w:after="120"/>
      </w:pPr>
    </w:p>
    <w:p>
      <w:pPr>
        <w:pStyle w:val="Heading1"/>
        <w:pBdr>
          <w:bottom w:val="single" w:color="0EA5E9" w:sz="6" w:space="2"/>
        </w:pBdr>
        <w:spacing w:before="400" w:after="160"/>
      </w:pPr>
      <w:r>
        <w:rPr>
          <w:b/>
          <w:bCs/>
          <w:color w:val="1E3A5F"/>
          <w:sz w:val="32"/>
          <w:szCs w:val="32"/>
        </w:rPr>
        <w:t xml:space="preserve">5. Security Architecture</w:t>
      </w:r>
    </w:p>
    <w:p>
      <w:pPr>
        <w:pStyle w:val="Heading2"/>
        <w:spacing w:before="280" w:after="120"/>
      </w:pPr>
      <w:r>
        <w:rPr>
          <w:b/>
          <w:bCs/>
          <w:color w:val="0369A1"/>
          <w:sz w:val="26"/>
          <w:szCs w:val="26"/>
        </w:rPr>
        <w:t xml:space="preserve">5.1 Defense-in-Depth Layers</w:t>
      </w:r>
    </w:p>
    <w:p>
      <w:pPr>
        <w:pStyle w:val="ListParagraph"/>
        <w:numPr>
          <w:ilvl w:val="0"/>
          <w:numId w:val="2"/>
        </w:numPr>
        <w:spacing w:after="80"/>
      </w:pPr>
      <w:r>
        <w:rPr>
          <w:sz w:val="22"/>
          <w:szCs w:val="22"/>
        </w:rPr>
        <w:t xml:space="preserve">Network Layer: All resources in private VPC subnets. Hospital-to-cloud connectivity via encrypted VPN/Direct Connect only. No patient API exposed to public internet.</w:t>
      </w:r>
    </w:p>
    <w:p>
      <w:pPr>
        <w:pStyle w:val="ListParagraph"/>
        <w:numPr>
          <w:ilvl w:val="0"/>
          <w:numId w:val="2"/>
        </w:numPr>
        <w:spacing w:after="80"/>
      </w:pPr>
      <w:r>
        <w:rPr>
          <w:sz w:val="22"/>
          <w:szCs w:val="22"/>
        </w:rPr>
        <w:t xml:space="preserve">Transport Layer: TLS 1.3 with mutual certificate authentication for all hospital data feeds. HTTPS enforced for all client-to-cloud communications.</w:t>
      </w:r>
    </w:p>
    <w:p>
      <w:pPr>
        <w:pStyle w:val="ListParagraph"/>
        <w:numPr>
          <w:ilvl w:val="0"/>
          <w:numId w:val="2"/>
        </w:numPr>
        <w:spacing w:after="80"/>
      </w:pPr>
      <w:r>
        <w:rPr>
          <w:sz w:val="22"/>
          <w:szCs w:val="22"/>
        </w:rPr>
        <w:t xml:space="preserve">Application Layer: OAuth 2.0 / SMART on FHIR authorization for all EHR app launches. CDS Hooks JWT token validation on every request.</w:t>
      </w:r>
    </w:p>
    <w:p>
      <w:pPr>
        <w:pStyle w:val="ListParagraph"/>
        <w:numPr>
          <w:ilvl w:val="0"/>
          <w:numId w:val="2"/>
        </w:numPr>
        <w:spacing w:after="80"/>
      </w:pPr>
      <w:r>
        <w:rPr>
          <w:sz w:val="22"/>
          <w:szCs w:val="22"/>
        </w:rPr>
        <w:t xml:space="preserve">Data Layer: AES-256 encryption at rest via AWS KMS. Separate KMS keys per hospital tenant for isolation. PHI de-identified in all logs and monitoring systems.</w:t>
      </w:r>
    </w:p>
    <w:p>
      <w:pPr>
        <w:pStyle w:val="ListParagraph"/>
        <w:numPr>
          <w:ilvl w:val="0"/>
          <w:numId w:val="2"/>
        </w:numPr>
        <w:spacing w:after="80"/>
      </w:pPr>
      <w:r>
        <w:rPr>
          <w:sz w:val="22"/>
          <w:szCs w:val="22"/>
        </w:rPr>
        <w:t xml:space="preserve">Identity Layer: AWS IAM RBAC with least-privilege policies. MFA required for all platform admin accounts. Automated IAM access reviews quarterly.</w:t>
      </w:r>
    </w:p>
    <w:p>
      <w:pPr>
        <w:spacing w:after="120"/>
      </w:pPr>
    </w:p>
    <w:p>
      <w:pPr>
        <w:pStyle w:val="Heading2"/>
        <w:spacing w:before="280" w:after="120"/>
      </w:pPr>
      <w:r>
        <w:rPr>
          <w:b/>
          <w:bCs/>
          <w:color w:val="0369A1"/>
          <w:sz w:val="26"/>
          <w:szCs w:val="26"/>
        </w:rPr>
        <w:t xml:space="preserve">5.2 HIPAA Compliance Controls</w:t>
      </w:r>
    </w:p>
    <w:p>
      <w:pPr>
        <w:pStyle w:val="ListParagraph"/>
        <w:numPr>
          <w:ilvl w:val="0"/>
          <w:numId w:val="2"/>
        </w:numPr>
        <w:spacing w:after="80"/>
      </w:pPr>
      <w:r>
        <w:rPr>
          <w:sz w:val="22"/>
          <w:szCs w:val="22"/>
        </w:rPr>
        <w:t xml:space="preserve">All AWS services used are HIPAA-eligible and covered under AWS Business Associate Agreement (BAA)</w:t>
      </w:r>
    </w:p>
    <w:p>
      <w:pPr>
        <w:pStyle w:val="ListParagraph"/>
        <w:numPr>
          <w:ilvl w:val="0"/>
          <w:numId w:val="2"/>
        </w:numPr>
        <w:spacing w:after="80"/>
      </w:pPr>
      <w:r>
        <w:rPr>
          <w:sz w:val="22"/>
          <w:szCs w:val="22"/>
        </w:rPr>
        <w:t xml:space="preserve">Audit logging enabled for all data access via CloudTrail and RDS audit logs — retained for 7 years</w:t>
      </w:r>
    </w:p>
    <w:p>
      <w:pPr>
        <w:pStyle w:val="ListParagraph"/>
        <w:numPr>
          <w:ilvl w:val="0"/>
          <w:numId w:val="2"/>
        </w:numPr>
        <w:spacing w:after="80"/>
      </w:pPr>
      <w:r>
        <w:rPr>
          <w:sz w:val="22"/>
          <w:szCs w:val="22"/>
        </w:rPr>
        <w:t xml:space="preserve">Incident response runbook defined for PHI breach scenarios with 60-minute detection-to-notification SLA</w:t>
      </w:r>
    </w:p>
    <w:p>
      <w:pPr>
        <w:spacing w:after="120"/>
      </w:pPr>
    </w:p>
    <w:p>
      <w:pPr>
        <w:pStyle w:val="Heading1"/>
        <w:pBdr>
          <w:bottom w:val="single" w:color="0EA5E9" w:sz="6" w:space="2"/>
        </w:pBdr>
        <w:spacing w:before="400" w:after="160"/>
      </w:pPr>
      <w:r>
        <w:rPr>
          <w:b/>
          <w:bCs/>
          <w:color w:val="1E3A5F"/>
          <w:sz w:val="32"/>
          <w:szCs w:val="32"/>
        </w:rPr>
        <w:t xml:space="preserve">6. Scalability &amp; Performance Design</w:t>
      </w:r>
    </w:p>
    <w:p>
      <w:pPr>
        <w:pStyle w:val="ListParagraph"/>
        <w:numPr>
          <w:ilvl w:val="0"/>
          <w:numId w:val="2"/>
        </w:numPr>
        <w:spacing w:after="80"/>
      </w:pPr>
      <w:r>
        <w:rPr>
          <w:sz w:val="22"/>
          <w:szCs w:val="22"/>
        </w:rPr>
        <w:t xml:space="preserve">SageMaker endpoints: Auto-scaling policy scales inference instances from 1 to 20 based on invocation rate and latency metrics</w:t>
      </w:r>
    </w:p>
    <w:p>
      <w:pPr>
        <w:pStyle w:val="ListParagraph"/>
        <w:numPr>
          <w:ilvl w:val="0"/>
          <w:numId w:val="2"/>
        </w:numPr>
        <w:spacing w:after="80"/>
      </w:pPr>
      <w:r>
        <w:rPr>
          <w:sz w:val="22"/>
          <w:szCs w:val="22"/>
        </w:rPr>
        <w:t xml:space="preserve">API Gateway + Lambda: Concurrent execution limits set per hospital tenant to prevent noisy-neighbor effects</w:t>
      </w:r>
    </w:p>
    <w:p>
      <w:pPr>
        <w:pStyle w:val="ListParagraph"/>
        <w:numPr>
          <w:ilvl w:val="0"/>
          <w:numId w:val="2"/>
        </w:numPr>
        <w:spacing w:after="80"/>
      </w:pPr>
      <w:r>
        <w:rPr>
          <w:sz w:val="22"/>
          <w:szCs w:val="22"/>
        </w:rPr>
        <w:t xml:space="preserve">HealthLake: Horizontally scalable managed service; supports up to millions of FHIR resources per tenant</w:t>
      </w:r>
    </w:p>
    <w:p>
      <w:pPr>
        <w:pStyle w:val="ListParagraph"/>
        <w:numPr>
          <w:ilvl w:val="0"/>
          <w:numId w:val="2"/>
        </w:numPr>
        <w:spacing w:after="80"/>
      </w:pPr>
      <w:r>
        <w:rPr>
          <w:sz w:val="22"/>
          <w:szCs w:val="22"/>
        </w:rPr>
        <w:t xml:space="preserve">Database: RDS PostgreSQL with read replicas for dashboard query load; writes to primary only</w:t>
      </w:r>
    </w:p>
    <w:p>
      <w:pPr>
        <w:pStyle w:val="ListParagraph"/>
        <w:numPr>
          <w:ilvl w:val="0"/>
          <w:numId w:val="2"/>
        </w:numPr>
        <w:spacing w:after="80"/>
      </w:pPr>
      <w:r>
        <w:rPr>
          <w:sz w:val="22"/>
          <w:szCs w:val="22"/>
        </w:rPr>
        <w:t xml:space="preserve">Async processing: High-volume HL7 message ingestion uses SQS queues with dead-letter queues for fault tolerance</w:t>
      </w:r>
    </w:p>
    <w:p>
      <w:pPr>
        <w:pStyle w:val="ListParagraph"/>
        <w:numPr>
          <w:ilvl w:val="0"/>
          <w:numId w:val="2"/>
        </w:numPr>
        <w:spacing w:after="80"/>
      </w:pPr>
      <w:r>
        <w:rPr>
          <w:sz w:val="22"/>
          <w:szCs w:val="22"/>
        </w:rPr>
        <w:t xml:space="preserve">Multi-tenant isolation: Each hospital tenant has dedicated IAM role, KMS key, HealthLake datastore, and S3 prefix</w:t>
      </w:r>
    </w:p>
    <w:p>
      <w:pPr>
        <w:spacing w:after="120"/>
      </w:pPr>
    </w:p>
    <w:p>
      <w:r>
        <w:br w:type="page"/>
      </w:r>
    </w:p>
    <w:p>
      <w:pPr>
        <w:spacing w:before="720"/>
        <w:jc w:val="center"/>
      </w:pPr>
      <w:r>
        <w:rPr>
          <w:i/>
          <w:iCs/>
          <w:color w:val="9CA3AF"/>
          <w:sz w:val="20"/>
          <w:szCs w:val="20"/>
        </w:rPr>
        <w:t xml:space="preserve">— End of Document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EA5E9" w:sz="4" w:space="1"/>
      </w:pBdr>
      <w:jc w:val="center"/>
    </w:pPr>
    <w:r>
      <w:rPr>
        <w:color w:val="9CA3AF"/>
        <w:sz w:val="18"/>
        <w:szCs w:val="18"/>
      </w:rPr>
      <w:t xml:space="preserve">ResisTrack Technical Architecture v1.0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EA5E9" w:sz="4" w:space="1"/>
      </w:pBdr>
    </w:pPr>
    <w:r>
      <w:rPr>
        <w:color w:val="0369A1"/>
        <w:sz w:val="18"/>
        <w:szCs w:val="18"/>
      </w:rPr>
      <w:t xml:space="preserve">ResisTrack — Technical Architecture Document    |    Team Curelytics    |    Impact-AI-Thon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2026-02-18T04:52:03.571Z</dcterms:created>
  <dcterms:modified xsi:type="dcterms:W3CDTF">2026-02-18T04:52:03.572Z</dcterms:modified>
</cp:coreProperties>
</file>

<file path=docProps/custom.xml><?xml version="1.0" encoding="utf-8"?>
<Properties xmlns="http://schemas.openxmlformats.org/officeDocument/2006/custom-properties" xmlns:vt="http://schemas.openxmlformats.org/officeDocument/2006/docPropsVTypes"/>
</file>