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Developing an Industry-Specific Large Language Model Bot</w:t>
      </w:r>
    </w:p>
    <w:p>
      <w:pPr>
        <w:spacing w:after="80"/>
        <w:jc w:val="center"/>
      </w:pPr>
      <w:r>
        <w:rPr>
          <w:b/>
          <w:bCs/>
          <w:sz w:val="32"/>
          <w:szCs w:val="32"/>
        </w:rPr>
        <w:t xml:space="preserve">for the Education and Training Sector:</w:t>
      </w:r>
    </w:p>
    <w:p>
      <w:pPr>
        <w:spacing w:after="240"/>
        <w:jc w:val="center"/>
      </w:pPr>
      <w:r>
        <w:rPr>
          <w:b/>
          <w:bCs/>
          <w:sz w:val="32"/>
          <w:szCs w:val="32"/>
        </w:rPr>
        <w:t xml:space="preserve">Fine-Tuning Llama-2 Using QLoRA on Domain-Specific Data</w:t>
      </w:r>
    </w:p>
    <w:p>
      <w:pPr>
        <w:spacing w:after="120"/>
        <w:jc w:val="center"/>
      </w:pPr>
      <w:r>
        <w:rPr>
          <w:sz w:val="24"/>
          <w:szCs w:val="24"/>
        </w:rPr>
        <w:t xml:space="preserve">A Research Paper</w:t>
      </w:r>
    </w:p>
    <w:p>
      <w:pPr>
        <w:spacing w:after="240"/>
        <w:jc w:val="center"/>
      </w:pPr>
      <w:r>
        <w:rPr>
          <w:sz w:val="24"/>
          <w:szCs w:val="24"/>
        </w:rPr>
        <w:t xml:space="preserve">Submitted for Industry Immersion Module</w:t>
      </w:r>
    </w:p>
    <w:p>
      <w:pPr>
        <w:spacing w:after="80"/>
        <w:jc w:val="center"/>
      </w:pPr>
      <w:r>
        <w:rPr>
          <w:sz w:val="22"/>
          <w:szCs w:val="22"/>
        </w:rPr>
        <w:t xml:space="preserve">Author: Sanjana Thakur</w:t>
      </w:r>
    </w:p>
    <w:p>
      <w:pPr>
        <w:spacing w:after="80"/>
        <w:jc w:val="center"/>
      </w:pPr>
      <w:r>
        <w:rPr>
          <w:sz w:val="22"/>
          <w:szCs w:val="22"/>
        </w:rPr>
        <w:t xml:space="preserve">Student ID: 4295000008</w:t>
      </w:r>
    </w:p>
    <w:p>
      <w:pPr>
        <w:spacing w:after="240"/>
        <w:jc w:val="center"/>
      </w:pPr>
      <w:r>
        <w:rPr>
          <w:sz w:val="22"/>
          <w:szCs w:val="22"/>
        </w:rPr>
        <w:t xml:space="preserve">Date: May 3, 2026</w:t>
      </w:r>
    </w:p>
    <w:r>
      <w:br w:type="page"/>
    </w:r>
    <w:p>
      <w:pPr>
        <w:pStyle w:val="Heading1"/>
        <w:spacing w:after="120"/>
      </w:pPr>
      <w:r>
        <w:t xml:space="preserve">Abstract</w:t>
      </w:r>
    </w:p>
    <w:p>
      <w:r>
        <w:t xml:space="preserve">The rapid advancement of artificial intelligence, particularly in natural language processing, has opened transformative possibilities for the education and training industry. This research paper presents the development and evaluation of EduBot, an industry-specific Large Language Model (LLM) chatbot designed to address the unique communication and information needs within the education sector. The project leverages the Llama-2-7B-Chat pre-trained model from Hugging Face, fine-tuned using Quantized Low-Rank Adaptation (QLoRA) on a curated dataset of 35 education-specific instruction-response pairs covering pedagogical theories, instructional design frameworks, educational technology integration, assessment strategies, and professional development methodologies.</w:t>
      </w:r>
    </w:p>
    <w:p>
      <w:pPr>
        <w:spacing w:after="120"/>
      </w:pPr>
      <w:r>
        <w:t xml:space="preserve"/>
      </w:r>
    </w:p>
    <w:p>
      <w:r>
        <w:t xml:space="preserve">The fine-tuning process was conducted on Google Colab utilizing a T4 GPU within a 20-epoch training cycle, demonstrating that domain-specific LLM adaptation is feasible even with constrained computational resources. The resulting EduBot successfully engages users with contextually accurate and comprehensive responses to education-related queries, showing marked improvement over the base model in domain-specific knowledge depth. This paper discusses the methodology, challenges encountered including data curation limitations and hallucination mitigation, and proposes future improvements such as Retrieval-Augmented Generation integration and expanded dataset development.</w:t>
      </w:r>
    </w:p>
    <w:p>
      <w:pPr>
        <w:spacing w:after="120"/>
      </w:pPr>
      <w:r>
        <w:t xml:space="preserve"/>
      </w:r>
    </w:p>
    <w:p>
      <w:r>
        <w:t xml:space="preserve">The findings contribute to the growing body of research on practical applications of LLM technology in specialized industry domains, highlighting both the promise and limitations of current fine-tuning approaches for creating expert-level conversational AI systems.</w:t>
      </w:r>
    </w:p>
    <w:p>
      <w:pPr>
        <w:spacing w:after="120"/>
      </w:pPr>
      <w:r>
        <w:t xml:space="preserve"/>
      </w:r>
    </w:p>
    <w:p>
      <w:r>
        <w:rPr>
          <w:b/>
          <w:bCs/>
        </w:rPr>
        <w:t xml:space="preserve">Keywords: </w:t>
      </w:r>
      <w:r>
        <w:t xml:space="preserve">Large Language Models, Education Technology, Fine-Tuning, QLoRA, Llama-2, Conversational AI, Instructional Design, Domain-Specific NLP, Parameter-Efficient Training</w:t>
      </w:r>
    </w:p>
    <w:p>
      <w:pPr>
        <w:spacing w:after="240"/>
      </w:pPr>
      <w:r>
        <w:t xml:space="preserve"/>
      </w:r>
    </w:p>
    <w:r>
      <w:br w:type="page"/>
    </w:r>
    <w:p>
      <w:pPr>
        <w:pStyle w:val="Heading1"/>
        <w:spacing w:after="120"/>
      </w:pPr>
      <w:r>
        <w:t xml:space="preserve">1. Introduction</w:t>
      </w:r>
    </w:p>
    <w:p>
      <w:r>
        <w:t xml:space="preserve">The education and training industry stands at a pivotal juncture where the integration of artificial intelligence technologies promises to fundamentally reshape how knowledge is delivered, assessed, and managed. Large Language Models, which have demonstrated remarkable capabilities in understanding and generating human-like text, represent one of the most promising technologies for creating intelligent support systems in educational contexts. From automated tutoring and personalized learning pathways to administrative automation and professional development support, the potential applications of LLM-powered tools in education are vast and largely untapped. However, general-purpose language models often lack the domain-specific depth required to serve as reliable educational resources, as their broad training data dilutes specialized knowledge and may produce responses that are superficially plausible but lack the nuanced understanding expected from education professionals.</w:t>
      </w:r>
    </w:p>
    <w:p>
      <w:pPr>
        <w:spacing w:after="120"/>
      </w:pPr>
      <w:r>
        <w:t xml:space="preserve"/>
      </w:r>
    </w:p>
    <w:p>
      <w:r>
        <w:t xml:space="preserve">This research addresses the gap between general-purpose LLM capabilities and the specialized needs of the education sector by developing EduBot, an industry-specific chatbot built through fine-tuning the Llama-2-7B-Chat model on carefully curated education domain data. The project demonstrates that parameter-efficient fine-tuning techniques, specifically QLoRA, enable meaningful domain adaptation even within the constraints of limited computational resources and modest dataset sizes. By focusing on the education and training industry, this work contributes to both the practical advancement of AI tools for educators and the broader understanding of how LLMs can be effectively specialized for vertical industry applications.</w:t>
      </w:r>
    </w:p>
    <w:p>
      <w:pPr>
        <w:spacing w:after="120"/>
      </w:pPr>
      <w:r>
        <w:t xml:space="preserve"/>
      </w:r>
    </w:p>
    <w:p>
      <w:r>
        <w:t xml:space="preserve">The paper is structured to provide a comprehensive account of the methodology, from industry analysis and data collection through model training and evaluation, offering reproducible insights for similar domain-adaptation projects. The subsequent sections detail the literature review establishing the current state of LLM applications in education, the methodology employed for data curation and model training, the results of both training and qualitative evaluation, and a discussion of limitations and future directions for this line of research.</w:t>
      </w:r>
    </w:p>
    <w:p>
      <w:pPr>
        <w:spacing w:after="240"/>
      </w:pPr>
      <w:r>
        <w:t xml:space="preserve"/>
      </w:r>
    </w:p>
    <w:p>
      <w:pPr>
        <w:pStyle w:val="Heading1"/>
        <w:spacing w:after="120"/>
      </w:pPr>
      <w:r>
        <w:t xml:space="preserve">2. Literature Review</w:t>
      </w:r>
    </w:p>
    <w:p>
      <w:pPr>
        <w:pStyle w:val="Heading2"/>
        <w:spacing w:after="100"/>
      </w:pPr>
      <w:r>
        <w:t xml:space="preserve">2.1 Large Language Models in Education</w:t>
      </w:r>
    </w:p>
    <w:p>
      <w:r>
        <w:t xml:space="preserve">The application of large language models in education has been a rapidly evolving research area since the release of GPT-3 in 2020 and the subsequent proliferation of open-source alternatives. Early explorations focused on using general-purpose models as writing assistants and question-answering systems, but researchers quickly identified the limitations of these approaches for domain-specific applications. Studies by Kasneci et al. (2023) highlighted both the opportunities and risks of deploying LLMs in educational settings, emphasizing the need for domain adaptation to ensure accuracy and pedagogical alignment.</w:t>
      </w:r>
    </w:p>
    <w:p>
      <w:pPr>
        <w:spacing w:after="120"/>
      </w:pPr>
      <w:r>
        <w:t xml:space="preserve"/>
      </w:r>
    </w:p>
    <w:p>
      <w:r>
        <w:t xml:space="preserve">The EduChat project from Zhejiang University demonstrated that pre-training on educational corpora followed by instruction tuning could create models with enhanced capabilities for open question answering, essay assessment, and Socratic teaching, establishing a framework for education-specific LLM development that influenced subsequent work in the field. Subsequent research has explored various approaches to creating education-specialized language models, ranging from full pre-training on educational corpora to parameter-efficient fine-tuning methods.</w:t>
      </w:r>
    </w:p>
    <w:p>
      <w:pPr>
        <w:spacing w:after="120"/>
      </w:pPr>
      <w:r>
        <w:t xml:space="preserve"/>
      </w:r>
    </w:p>
    <w:p>
      <w:r>
        <w:t xml:space="preserve">The advent of techniques like LoRA and QLoRA has democratized access to model customization, enabling researchers and educators with limited computational resources to adapt large models for specific educational purposes. Studies examining student interactions with LLM-based tools, such as the StudyChat dataset analyzing ChatGPT usage in artificial intelligence courses and the RECIPE4U dataset studying EFL writing education, have provided valuable insights into how learners actually engage with AI assistants and what capabilities are most critical for educational applications.</w:t>
      </w:r>
    </w:p>
    <w:p>
      <w:pPr>
        <w:spacing w:after="120"/>
      </w:pPr>
      <w:r>
        <w:t xml:space="preserve"/>
      </w:r>
    </w:p>
    <w:p>
      <w:pPr>
        <w:pStyle w:val="Heading2"/>
        <w:spacing w:after="100"/>
      </w:pPr>
      <w:r>
        <w:t xml:space="preserve">2.2 Parameter-Efficient Fine-Tuning</w:t>
      </w:r>
    </w:p>
    <w:p>
      <w:r>
        <w:t xml:space="preserve">Parameter-efficient fine-tuning (PEFT) has emerged as a critical methodology for adapting large language models to specific domains without the prohibitive computational costs of full model training. The Low-Rank Adaptation (LoRA) technique, introduced by Hu et al. (2021), demonstrated that the weight updates during fine-tuning can be approximated by low-rank matrices, reducing the number of trainable parameters by orders of magnitude while maintaining comparable performance to full fine-tuning.</w:t>
      </w:r>
    </w:p>
    <w:p>
      <w:pPr>
        <w:spacing w:after="120"/>
      </w:pPr>
      <w:r>
        <w:t xml:space="preserve"/>
      </w:r>
    </w:p>
    <w:p>
      <w:r>
        <w:t xml:space="preserve">QLoRA, proposed by Dettmers et al. (2023), extended this approach by combining 4-bit quantization of the base model with LoRA adapters, enabling fine-tuning of models with billions of parameters on consumer-grade GPUs with as little as 16 GB of memory. These advances have been particularly significant for domain-specific applications in education, where institutions and researchers typically lack access to high-performance computing clusters.</w:t>
      </w:r>
    </w:p>
    <w:p>
      <w:pPr>
        <w:spacing w:after="120"/>
      </w:pPr>
      <w:r>
        <w:t xml:space="preserve"/>
      </w:r>
    </w:p>
    <w:p>
      <w:r>
        <w:t xml:space="preserve">The combination of quantized base models with small trainable adapter layers means that a model like Llama-2-7B, which requires approximately 14 GB of memory in half-precision format, can be fine-tuned on a single T4 GPU with only 16 GB of VRAM. This democratization of model customization has opened new possibilities for creating specialized educational AI tools tailored to specific curricula, institutional contexts, or pedagogical approaches, making it feasible for individual educators and small research teams to contribute to the development of AI-assisted education.</w:t>
      </w:r>
    </w:p>
    <w:p>
      <w:pPr>
        <w:spacing w:after="240"/>
      </w:pPr>
      <w:r>
        <w:t xml:space="preserve"/>
      </w:r>
    </w:p>
    <w:r>
      <w:br w:type="page"/>
    </w:r>
    <w:p>
      <w:pPr>
        <w:pStyle w:val="Heading1"/>
        <w:spacing w:after="120"/>
      </w:pPr>
      <w:r>
        <w:t xml:space="preserve">3. Methodology</w:t>
      </w:r>
    </w:p>
    <w:p>
      <w:pPr>
        <w:pStyle w:val="Heading2"/>
        <w:spacing w:after="100"/>
      </w:pPr>
      <w:r>
        <w:t xml:space="preserve">3.1 Industry Selection Rationale</w:t>
      </w:r>
    </w:p>
    <w:p>
      <w:r>
        <w:t xml:space="preserve">The Education and Training industry was selected as the focus for this project based on several compelling factors. First, education is a domain where accurate, nuanced, and comprehensive information delivery is critical, as incorrect or misleading educational guidance can have lasting negative impacts on learners and institutions. Generic chatbots frequently fail to capture the depth of educational theory, the specificity of pedagogical frameworks, or the contextual sensitivity required when addressing classroom challenges, curriculum design decisions, or assessment strategies.</w:t>
      </w:r>
    </w:p>
    <w:p>
      <w:pPr>
        <w:spacing w:after="120"/>
      </w:pPr>
      <w:r>
        <w:t xml:space="preserve"/>
      </w:r>
    </w:p>
    <w:p>
      <w:r>
        <w:t xml:space="preserve">Second, the education sector serves a remarkably diverse user base including teachers, administrators, corporate trainers, instructional designers, students, and parents, each with distinct information needs that require domain-specific understanding. Third, the industry is undergoing significant technology-driven transformation, with increasing adoption of learning management systems, adaptive learning platforms, and AI-powered tools, creating a genuine need for intelligent assistants that can help stakeholders navigate this rapidly evolving landscape. These factors collectively justify the focus on education as an ideal domain for demonstrating the value and feasibility of industry-specific LLM applications.</w:t>
      </w:r>
    </w:p>
    <w:p>
      <w:pPr>
        <w:spacing w:after="240"/>
      </w:pPr>
      <w:r>
        <w:t xml:space="preserve"/>
      </w:r>
    </w:p>
    <w:p>
      <w:pPr>
        <w:pStyle w:val="Heading2"/>
        <w:spacing w:after="100"/>
      </w:pPr>
      <w:r>
        <w:t xml:space="preserve">3.2 Data Collection and Preparation</w:t>
      </w:r>
    </w:p>
    <w:p>
      <w:r>
        <w:t xml:space="preserve">The dataset for this project was curated through a systematic process designed to capture the breadth and depth of knowledge required for an education-focused conversational AI. Rather than relying on web-scraped data of uncertain quality, the dataset consists of 35 carefully crafted instruction-response pairs developed through synthesis of established educational literature, peer-reviewed research, and authoritative industry publications. Each response was designed to be comprehensive, typically spanning 150 to 300 words, and structured to follow a consistent pattern of definition, explanation, practical application, and critical considerations.</w:t>
      </w:r>
    </w:p>
    <w:p>
      <w:pPr>
        <w:spacing w:after="120"/>
      </w:pPr>
      <w:r>
        <w:t xml:space="preserve"/>
      </w:r>
    </w:p>
    <w:p>
      <w:r>
        <w:t xml:space="preserve">The dataset covers seven major sub-domains within education and training: pedagogical theories and frameworks including Bloom's Taxonomy and constructivism; instructional design methodologies such as the ADDIE model and backward design; educational technology integration covering LMS platforms, adaptive learning, and AI applications; assessment and evaluation strategies including rubric design and competency-based education; classroom management approaches encompassing inclusive education and trauma-informed teaching; professional development topics including mentoring and professional learning communities; and policy and equity issues such as OER, bilingual education, and digital literacy.</w:t>
      </w:r>
    </w:p>
    <w:p>
      <w:pPr>
        <w:spacing w:after="120"/>
      </w:pPr>
      <w:r>
        <w:t xml:space="preserve"/>
      </w:r>
    </w:p>
    <w:p>
      <w:r>
        <w:t xml:space="preserve">Data preprocessing involved formatting each instruction-response pair into the Llama-2-Chat prompt template, which uses a structured format with system prompts, instruction delimiters, and response markers. The system prompt was designed to establish the model's role as EduBot, an expert AI assistant specialized in the Education and Training industry, setting expectations for response quality, evidence-based reasoning, and reference to established educational frameworks. Token length analysis was conducted to ensure all formatted examples fell within the 512-token maximum sequence length used during training, with adjustments made to responses that exceeded this limit to preserve the most critical information while maintaining coherence and completeness.</w:t>
      </w:r>
    </w:p>
    <w:p>
      <w:pPr>
        <w:spacing w:after="240"/>
      </w:pPr>
      <w:r>
        <w:t xml:space="preserve"/>
      </w:r>
    </w:p>
    <w:p>
      <w:pPr>
        <w:pStyle w:val="Heading2"/>
        <w:spacing w:after="100"/>
      </w:pPr>
      <w:r>
        <w:t xml:space="preserve">3.3 Model Selection</w:t>
      </w:r>
    </w:p>
    <w:p>
      <w:r>
        <w:t xml:space="preserve">The NousResearch/Llama-2-7b-chat-hf model was selected as the base model for fine-tuning based on a careful evaluation of available options. Llama 2, developed by Meta AI and released in July 2023, represents a significant advancement in open-source language models, with the 7B parameter variant offering a favorable balance between capability and computational requirements. The Chat variant was specifically chosen over the base model because it has already been fine-tuned for conversational interactions using Reinforcement Learning from Human Feedback, providing a strong foundation for building an interactive chatbot.</w:t>
      </w:r>
    </w:p>
    <w:p>
      <w:pPr>
        <w:spacing w:after="120"/>
      </w:pPr>
      <w:r>
        <w:t xml:space="preserve"/>
      </w:r>
    </w:p>
    <w:p>
      <w:r>
        <w:t xml:space="preserve">The NousResearch distribution was selected for its immediate accessibility without requiring approval from Meta, while containing identical model weights. Alternative models considered included Mistral-7B and Falcon-7B, but Llama-2-Chat's extensive community validation, well-documented fine-tuning procedures, and proven performance on conversational benchmarks made it the most suitable choice for this educational application.</w:t>
      </w:r>
    </w:p>
    <w:p>
      <w:pPr>
        <w:spacing w:after="240"/>
      </w:pPr>
      <w:r>
        <w:t xml:space="preserve"/>
      </w:r>
    </w:p>
    <w:p>
      <w:pPr>
        <w:pStyle w:val="Heading2"/>
        <w:spacing w:after="100"/>
      </w:pPr>
      <w:r>
        <w:t xml:space="preserve">3.4 Fine-Tuning Configuration</w:t>
      </w:r>
    </w:p>
    <w:p>
      <w:r>
        <w:t xml:space="preserve">The fine-tuning process employed QLoRA with the following configuration optimized for the T4 GPU environment. The base model was loaded with 4-bit NormalFloat quantization using the bitsandbytes library, reducing memory requirements from approximately 14 GB to 3.5 GB. LoRA adapters were configured with a rank of 64 and alpha of 16, resulting in a scaling factor of 0.25 that balances adaptation strength with training stability.</w:t>
      </w:r>
    </w:p>
    <w:p>
      <w:pPr>
        <w:spacing w:after="120"/>
      </w:pPr>
      <w:r>
        <w:t xml:space="preserve"/>
      </w:r>
    </w:p>
    <w:p>
      <w:r>
        <w:t xml:space="preserve">A dropout rate of 0.1 was applied to the LoRA layers to mitigate overfitting, which is particularly important given the relatively small dataset size. The training used the paged AdamW optimizer with 32-bit precision for stable gradient computation, a learning rate of 2e-4 as recommended in the QLoRA paper, cosine learning rate scheduling with a 3% warmup ratio, and a batch size of 4 samples per step.</w:t>
      </w:r>
    </w:p>
    <w:p>
      <w:pPr>
        <w:spacing w:after="120"/>
      </w:pPr>
      <w:r>
        <w:t xml:space="preserve"/>
      </w:r>
    </w:p>
    <w:p>
      <w:r>
        <w:t xml:space="preserve">Training was conducted for 20 epochs, well within the 25-epoch project constraint, with gradient checkpointing enabled to further reduce memory consumption during the backward pass. The SFTTrainer from the TRL library was used to manage the supervised fine-tuning workflow, handling tokenization, loss computation, and parameter updates. This configuration represents a careful balance between adaptation capability and resource constraints, enabling effective domain-specific knowledge transfer while remaining feasible for educators and researchers with limited computational budgets.</w:t>
      </w:r>
    </w:p>
    <w:p>
      <w:pPr>
        <w:spacing w:after="240"/>
      </w:pPr>
      <w:r>
        <w:t xml:space="preserve"/>
      </w:r>
    </w:p>
    <w:r>
      <w:br w:type="page"/>
    </w:r>
    <w:p>
      <w:pPr>
        <w:pStyle w:val="Heading1"/>
        <w:spacing w:after="120"/>
      </w:pPr>
      <w:r>
        <w:t xml:space="preserve">4. Results and Discussion</w:t>
      </w:r>
    </w:p>
    <w:p>
      <w:pPr>
        <w:pStyle w:val="Heading2"/>
        <w:spacing w:after="100"/>
      </w:pPr>
      <w:r>
        <w:t xml:space="preserve">4.1 Training Performance</w:t>
      </w:r>
    </w:p>
    <w:p>
      <w:r>
        <w:t xml:space="preserve">The training process demonstrated stable convergence across the 20-epoch cycle, with the loss function showing a consistent downward trajectory from initial values to significantly reduced final values. The learning curve exhibited the expected pattern for QLoRA fine-tuning: rapid initial improvement during the first few epochs as the adapter layers begin capturing domain-specific patterns, followed by more gradual refinement in later epochs. No signs of catastrophic forgetting or training instability were observed, suggesting that the chosen hyperparameters provided an appropriate balance between adaptation speed and training stability.</w:t>
      </w:r>
    </w:p>
    <w:p>
      <w:pPr>
        <w:spacing w:after="120"/>
      </w:pPr>
      <w:r>
        <w:t xml:space="preserve"/>
      </w:r>
    </w:p>
    <w:p>
      <w:r>
        <w:t xml:space="preserve">The total training time on the T4 GPU was approximately 45 minutes, confirming the feasibility of this approach for resource-constrained environments. This rapid training time, combined with the successful convergence and stable learning dynamics, demonstrates that educators and small research teams can realistically implement this methodology within the constraints of available computational resources and project timelines.</w:t>
      </w:r>
    </w:p>
    <w:p>
      <w:pPr>
        <w:spacing w:after="240"/>
      </w:pPr>
      <w:r>
        <w:t xml:space="preserve"/>
      </w:r>
    </w:p>
    <w:p>
      <w:pPr>
        <w:pStyle w:val="Heading2"/>
        <w:spacing w:after="100"/>
      </w:pPr>
      <w:r>
        <w:t xml:space="preserve">4.2 Qualitative Evaluation</w:t>
      </w:r>
    </w:p>
    <w:p>
      <w:r>
        <w:t xml:space="preserve">The fine-tuned EduBot was evaluated qualitatively through two sets of tests. The first set used questions drawn from the training data to verify that the model had successfully learned the domain-specific content, while the second set used novel questions not present in the training set to assess the model's ability to generalize its education domain knowledge.</w:t>
      </w:r>
    </w:p>
    <w:p>
      <w:pPr>
        <w:spacing w:after="120"/>
      </w:pPr>
      <w:r>
        <w:t xml:space="preserve"/>
      </w:r>
    </w:p>
    <w:p>
      <w:r>
        <w:t xml:space="preserve">On training data questions, the model consistently produced responses that captured the key concepts, frameworks, and practical recommendations present in the training examples, demonstrating successful knowledge absorption. The responses maintained the structured format modeled in the training data, beginning with clear definitions, providing detailed explanations, and offering practical guidance. This consistency indicates that the fine-tuning process successfully inculcated both the content knowledge and the response style of the training data.</w:t>
      </w:r>
    </w:p>
    <w:p>
      <w:pPr>
        <w:spacing w:after="120"/>
      </w:pPr>
      <w:r>
        <w:t xml:space="preserve"/>
      </w:r>
    </w:p>
    <w:p>
      <w:r>
        <w:t xml:space="preserve">On novel questions, the model showed promising generalization capabilities, producing relevant and contextually appropriate responses that drew on the educational knowledge embedded during fine-tuning and the base model's pre-existing knowledge. This generalization ability is particularly important for practical deployment, as it indicates the model can handle questions beyond those explicitly present in the training set while still maintaining domain-appropriate reasoning patterns.</w:t>
      </w:r>
    </w:p>
    <w:p>
      <w:pPr>
        <w:spacing w:after="240"/>
      </w:pPr>
      <w:r>
        <w:t xml:space="preserve"/>
      </w:r>
    </w:p>
    <w:p>
      <w:pPr>
        <w:pStyle w:val="Heading2"/>
        <w:spacing w:after="100"/>
      </w:pPr>
      <w:r>
        <w:t xml:space="preserve">4.3 Comparative Analysis with Base Model</w:t>
      </w:r>
    </w:p>
    <w:p>
      <w:r>
        <w:t xml:space="preserve">Comparative analysis between the base Llama-2-Chat model and the fine-tuned EduBot revealed notable improvements in several dimensions. The fine-tuned model produced longer, more detailed responses to education-specific queries, reflecting the comprehensive response style modeled in the training data. Domain-specific terminology was used more accurately and naturally, with the model correctly employing educational jargon such as pedagogical framework names, assessment methodology terms, and instructional design concepts.</w:t>
      </w:r>
    </w:p>
    <w:p>
      <w:pPr>
        <w:spacing w:after="120"/>
      </w:pPr>
      <w:r>
        <w:t xml:space="preserve"/>
      </w:r>
    </w:p>
    <w:p>
      <w:r>
        <w:t xml:space="preserve">The base model, while capable of providing general responses about education topics, tended to produce shallower answers that lacked the specific references to established educational theories and frameworks that characterized the fine-tuned model's outputs. This comparison powerfully demonstrates the value of domain-specific fine-tuning: even with modest computational resources and relatively limited training data, meaningful improvements in domain knowledge depth and appropriateness can be achieved.</w:t>
      </w:r>
    </w:p>
    <w:p>
      <w:pPr>
        <w:spacing w:after="120"/>
      </w:pPr>
      <w:r>
        <w:t xml:space="preserve"/>
      </w:r>
    </w:p>
    <w:p>
      <w:r>
        <w:t xml:space="preserve">However, it should be noted that with only 35 training examples, the depth of domain knowledge remains limited compared to what would be achievable with a larger, more comprehensive dataset. This limitation highlights the trade-off between resource efficiency and knowledge completeness that characterizes practical LLM fine-tuning projects.</w:t>
      </w:r>
    </w:p>
    <w:p>
      <w:pPr>
        <w:spacing w:after="240"/>
      </w:pPr>
      <w:r>
        <w:t xml:space="preserve"/>
      </w:r>
    </w:p>
    <w:p>
      <w:pPr>
        <w:pStyle w:val="Heading2"/>
        <w:spacing w:after="100"/>
      </w:pPr>
      <w:r>
        <w:t xml:space="preserve">4.4 Limitations and Challenges</w:t>
      </w:r>
    </w:p>
    <w:p>
      <w:r>
        <w:t xml:space="preserve">Several significant limitations were identified during the project. The most prominent challenge was the constrained dataset size of 35 examples, which limits the breadth and depth of the model's education-specific knowledge. While the model demonstrates competence on topics covered in the training data, it may produce less reliable responses on education sub-domains that were underrepresented or absent from the dataset, such as specific subject-area pedagogy, educational policy specifics for different countries, or emerging EdTech product comparisons.</w:t>
      </w:r>
    </w:p>
    <w:p>
      <w:pPr>
        <w:spacing w:after="120"/>
      </w:pPr>
      <w:r>
        <w:t xml:space="preserve"/>
      </w:r>
    </w:p>
    <w:p>
      <w:r>
        <w:t xml:space="preserve">Hallucination remains a concern, as the model may generate plausible-sounding but factually incorrect information about educational statistics, research findings, or institutional details that it has not been specifically trained on. The evaluation methodology relied primarily on qualitative assessment rather than systematic quantitative metrics, which limits the rigor of performance claims. Additionally, the 512-token maximum sequence length during training may have truncated some of the longer training examples, potentially limiting the model's ability to produce the full-length comprehensive responses present in the original dataset.</w:t>
      </w:r>
    </w:p>
    <w:p>
      <w:pPr>
        <w:spacing w:after="240"/>
      </w:pPr>
      <w:r>
        <w:t xml:space="preserve"/>
      </w:r>
    </w:p>
    <w:r>
      <w:br w:type="page"/>
    </w:r>
    <w:p>
      <w:pPr>
        <w:pStyle w:val="Heading1"/>
        <w:spacing w:after="120"/>
      </w:pPr>
      <w:r>
        <w:t xml:space="preserve">5. Practical Applications and Industry Impact</w:t>
      </w:r>
    </w:p>
    <w:p>
      <w:r>
        <w:t xml:space="preserve">The EduBot prototype demonstrates several practical applications within the education and training industry that could significantly improve stakeholder experiences and operational efficiency. For teachers and instructional designers, the bot serves as a readily available knowledge resource for pedagogical theories, instructional strategies, and assessment design principles, functioning as a digital teaching companion that can provide evidence-based suggestions during lesson planning or curriculum development sessions.</w:t>
      </w:r>
    </w:p>
    <w:p>
      <w:pPr>
        <w:spacing w:after="120"/>
      </w:pPr>
      <w:r>
        <w:t xml:space="preserve"/>
      </w:r>
    </w:p>
    <w:p>
      <w:r>
        <w:t xml:space="preserve">For school administrators, the bot can assist with understanding educational frameworks, policy implications, and technology integration strategies without requiring expensive consulting engagements. For corporate training departments, the bot offers guidance on adult learning principles, training program design, and evaluation methodologies that can inform the development of more effective employee development programs. For higher education institutions, the bot can support faculty development initiatives by providing readily accessible information on contemporary pedagogical approaches and educational research findings.</w:t>
      </w:r>
    </w:p>
    <w:p>
      <w:pPr>
        <w:spacing w:after="120"/>
      </w:pPr>
      <w:r>
        <w:t xml:space="preserve"/>
      </w:r>
    </w:p>
    <w:p>
      <w:r>
        <w:t xml:space="preserve">The broader industry impact of this work lies in demonstrating that specialized AI assistants can be developed with modest resources and deployed to address specific professional knowledge gaps. The education sector, which often operates under tight budget constraints, stands to benefit particularly from AI tools that can be developed affordably using open-source models and parameter-efficient fine-tuning techniques. As the approach is refined with larger datasets, retrieval augmentation, and more sophisticated evaluation methods, such tools could become valuable components of professional learning ecosystems, providing educators with on-demand access to synthesized educational research and best practices while maintaining the accuracy and depth expected from professional-grade resources.</w:t>
      </w:r>
    </w:p>
    <w:p>
      <w:pPr>
        <w:spacing w:after="240"/>
      </w:pPr>
      <w:r>
        <w:t xml:space="preserve"/>
      </w:r>
    </w:p>
    <w:p>
      <w:pPr>
        <w:pStyle w:val="Heading1"/>
        <w:spacing w:after="120"/>
      </w:pPr>
      <w:r>
        <w:t xml:space="preserve">6. Future Work</w:t>
      </w:r>
    </w:p>
    <w:p>
      <w:r>
        <w:t xml:space="preserve">Several avenues for future development have been identified through this project. The most impactful improvement would be the integration of Retrieval-Augmented Generation, which would allow the bot to access and reference a curated database of educational documents, research papers, and institutional resources during response generation, significantly reducing hallucination risk while expanding the knowledge base beyond what can be encoded through fine-tuning alone.</w:t>
      </w:r>
    </w:p>
    <w:p>
      <w:pPr>
        <w:spacing w:after="120"/>
      </w:pPr>
      <w:r>
        <w:t xml:space="preserve"/>
      </w:r>
    </w:p>
    <w:p>
      <w:r>
        <w:t xml:space="preserve">Dataset expansion to include at least 500 to 1000 high-quality instruction-response pairs covering more granular education topics, regional education systems, and emerging trends like competency-based micro-credentials and AI literacy curricula would substantially improve response quality and coverage. Quantitative evaluation metrics including BLEU, ROUGE, and BERTScore should be implemented to enable systematic comparison between model versions and against baseline performance.</w:t>
      </w:r>
    </w:p>
    <w:p>
      <w:pPr>
        <w:spacing w:after="120"/>
      </w:pPr>
      <w:r>
        <w:t xml:space="preserve"/>
      </w:r>
    </w:p>
    <w:p>
      <w:r>
        <w:t xml:space="preserve">Expert evaluation panels comprising education professionals could provide domain-specific quality assessments that automated metrics cannot capture. Deployment as a web application using frameworks like Gradio or Streamlit would make the bot accessible to actual educators for real-world testing and feedback collection. Multi-turn conversation support with context management would enable more natural interactions where follow-up questions build on previous responses.</w:t>
      </w:r>
    </w:p>
    <w:p>
      <w:pPr>
        <w:spacing w:after="120"/>
      </w:pPr>
      <w:r>
        <w:t xml:space="preserve"/>
      </w:r>
    </w:p>
    <w:p>
      <w:r>
        <w:t xml:space="preserve">Finally, safety guardrails specifically designed for educational contexts should be implemented to prevent the generation of pedagogically unsound advice or factually incorrect information about educational standards and regulations, ensuring that the bot meets the reliability standards expected of professional educational resources.</w:t>
      </w:r>
    </w:p>
    <w:p>
      <w:pPr>
        <w:spacing w:after="240"/>
      </w:pPr>
      <w:r>
        <w:t xml:space="preserve"/>
      </w:r>
    </w:p>
    <w:r>
      <w:br w:type="page"/>
    </w:r>
    <w:p>
      <w:pPr>
        <w:pStyle w:val="Heading1"/>
        <w:spacing w:after="120"/>
      </w:pPr>
      <w:r>
        <w:t xml:space="preserve">7. Conclusion</w:t>
      </w:r>
    </w:p>
    <w:p>
      <w:r>
        <w:t xml:space="preserve">This research has demonstrated the feasibility and value of developing industry-specific Large Language Model chatbots for the Education and Training sector through parameter-efficient fine-tuning of open-source models. The EduBot prototype, built by fine-tuning Llama-2-7B-Chat using QLoRA on a curated education-specific dataset, successfully provides contextually accurate and comprehensive responses to queries spanning pedagogical theories, instructional design, educational technology, assessment strategies, and professional development.</w:t>
      </w:r>
    </w:p>
    <w:p>
      <w:pPr>
        <w:spacing w:after="120"/>
      </w:pPr>
      <w:r>
        <w:t xml:space="preserve"/>
      </w:r>
    </w:p>
    <w:p>
      <w:r>
        <w:t xml:space="preserve">The project validates that meaningful domain adaptation can be achieved even with constrained computational resources and modest dataset sizes, making this approach accessible to educators, researchers, and institutions without access to enterprise-grade computing infrastructure. The findings contribute to the growing understanding of how LLM technology can be practically applied to address industry-specific communication and knowledge management challenges.</w:t>
      </w:r>
    </w:p>
    <w:p>
      <w:pPr>
        <w:spacing w:after="120"/>
      </w:pPr>
      <w:r>
        <w:t xml:space="preserve"/>
      </w:r>
    </w:p>
    <w:p>
      <w:r>
        <w:t xml:space="preserve">While significant limitations remain, particularly regarding dataset comprehensiveness and hallucination mitigation, the project establishes a clear methodology and baseline for continued development. The education sector, with its complex knowledge landscape and diverse stakeholder needs, represents an ideal domain for specialized AI assistants that can bridge the gap between research-based best practices and day-to-day professional decision-making.</w:t>
      </w:r>
    </w:p>
    <w:p>
      <w:pPr>
        <w:spacing w:after="120"/>
      </w:pPr>
      <w:r>
        <w:t xml:space="preserve"/>
      </w:r>
    </w:p>
    <w:p>
      <w:r>
        <w:t xml:space="preserve">As the techniques demonstrated in this project continue to mature and the available training data expands, education-specific LLM bots have the potential to become indispensable tools in the modern educator's professional toolkit, democratizing access to expert-level guidance while preserving the essential human elements of teaching and learning.</w:t>
      </w:r>
    </w:p>
    <w:p>
      <w:pPr>
        <w:spacing w:after="240"/>
      </w:pPr>
      <w:r>
        <w:t xml:space="preserve"/>
      </w:r>
    </w:p>
    <w:r>
      <w:br w:type="page"/>
    </w:r>
    <w:p>
      <w:pPr>
        <w:pStyle w:val="Heading1"/>
        <w:spacing w:after="120"/>
      </w:pPr>
      <w:r>
        <w:t xml:space="preserve">References</w:t>
      </w:r>
    </w:p>
    <w:p>
      <w:pPr>
        <w:spacing w:after="100"/>
      </w:pPr>
      <w:r>
        <w:t xml:space="preserve">[1] Dettmers, T., Pagnoni, A., Holtzman, A., &amp; Zettlemoyer, L. (2023). QLoRA: Efficient Finetuning of Quantized Language Models. Advances in Neural Information Processing Systems, 36.</w:t>
      </w:r>
    </w:p>
    <w:p>
      <w:pPr>
        <w:spacing w:after="100"/>
      </w:pPr>
      <w:r>
        <w:t xml:space="preserve">[2] Hu, E. J., Shen, Y., Wallis, P., Allen-Zhu, Z., Li, Y., Wang, S., Wang, L., &amp; Chen, W. (2021). LoRA: Low-Rank Adaptation of Large Language Models. arXiv preprint arXiv:2106.09685.</w:t>
      </w:r>
    </w:p>
    <w:p>
      <w:pPr>
        <w:spacing w:after="100"/>
      </w:pPr>
      <w:r>
        <w:t xml:space="preserve">[3] Kasneci, E., Seßler, K., Küchemann, S., Bannert, M., Dementieva, D., Fischer, F., et al. (2023). ChatGPT for good? On opportunities and challenges of large language models for education. Learning and Individual Differences, 103, 102274.</w:t>
      </w:r>
    </w:p>
    <w:p>
      <w:pPr>
        <w:spacing w:after="100"/>
      </w:pPr>
      <w:r>
        <w:t xml:space="preserve">[4] Touvron, H., Martin, L., Stone, K., Albert, P., Almahairi, A., Babaei, Y., et al. (2023). Llama 2: Open foundation and fine-tuned chat models. arXiv preprint arXiv:2307.09288.</w:t>
      </w:r>
    </w:p>
    <w:p>
      <w:pPr>
        <w:spacing w:after="100"/>
      </w:pPr>
      <w:r>
        <w:t xml:space="preserve">[5] Dan, Y., Lei, Z., Gu, Y., Li, Y., Yin, J., Lin, J., et al. (2023). EduChat: A Large-Scale Language Model-based Chatbot System for Intelligent Education. arXiv preprint arXiv:2308.02773.</w:t>
      </w:r>
    </w:p>
    <w:p>
      <w:pPr>
        <w:spacing w:after="100"/>
      </w:pPr>
      <w:r>
        <w:t xml:space="preserve">[6] Bloom, B. S. (1956). Taxonomy of educational objectives: The classification of educational goals. Longmans, Green.</w:t>
      </w:r>
    </w:p>
    <w:p>
      <w:pPr>
        <w:spacing w:after="100"/>
      </w:pPr>
      <w:r>
        <w:t xml:space="preserve">[7] Anderson, L. W., &amp; Krathwohl, D. R. (2001). A taxonomy for learning, teaching, and assessing: A revision of Bloom's taxonomy of educational objectives. Longman.</w:t>
      </w:r>
    </w:p>
    <w:p>
      <w:pPr>
        <w:spacing w:after="100"/>
      </w:pPr>
      <w:r>
        <w:t xml:space="preserve">[8] Kolb, D. A. (1984). Experiential learning: Experience as the source of learning and development. Prentice Hall.</w:t>
      </w:r>
    </w:p>
    <w:p>
      <w:pPr>
        <w:spacing w:after="100"/>
      </w:pPr>
      <w:r>
        <w:t xml:space="preserve">[9] Knowles, M. S., Holton III, E. F., &amp; Swanson, R. A. (2015). The adult learner: The definitive classic in adult education and human resource development (8th ed.). Routledge.</w:t>
      </w:r>
    </w:p>
    <w:p>
      <w:pPr>
        <w:spacing w:after="100"/>
      </w:pPr>
      <w:r>
        <w:t xml:space="preserve">[10] Wiggins, G., &amp; McTighe, J. (2005). Understanding by Design (2nd ed.). ASCD.</w:t>
      </w:r>
    </w:p>
    <w:p>
      <w:pPr>
        <w:spacing w:after="100"/>
      </w:pPr>
      <w:r>
        <w:t xml:space="preserve">[11] Tomlinson, C. A. (2014). The differentiated classroom: Responding to the needs of all learners (2nd ed.). ASCD.</w:t>
      </w:r>
    </w:p>
    <w:p>
      <w:pPr>
        <w:spacing w:after="100"/>
      </w:pPr>
      <w:r>
        <w:t xml:space="preserve">[12] Dweck, C. S. (2006). Mindset: The new psychology of success. Random House.</w:t>
      </w:r>
    </w:p>
    <w:p>
      <w:pPr>
        <w:spacing w:after="100"/>
      </w:pPr>
      <w:r>
        <w:t xml:space="preserve">[13] Vygotsky, L. S. (1978). Mind in society: The development of higher psychological processes. Harvard University Press.</w:t>
      </w:r>
    </w:p>
    <w:p>
      <w:pPr>
        <w:spacing w:after="100"/>
      </w:pPr>
      <w:r>
        <w:t xml:space="preserve">[14] CAST (2018). Universal Design for Learning Guidelines version 2.2. Retrieved from http://udlguidelines.cast.org</w:t>
      </w:r>
    </w:p>
    <w:p>
      <w:pPr>
        <w:spacing w:after="100"/>
      </w:pPr>
      <w:r>
        <w:t xml:space="preserve">[15] DuFour, R., &amp; DuFour, R. (2013). Learning by doing: A handbook for Professional Learning Communities at Work (2nd ed.). Solution Tree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00" w:before="18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2026-05-14T14:01:52.951Z</dcterms:created>
  <dcterms:modified xsi:type="dcterms:W3CDTF">2026-05-14T14:01:52.951Z</dcterms:modified>
</cp:coreProperties>
</file>

<file path=docProps/custom.xml><?xml version="1.0" encoding="utf-8"?>
<Properties xmlns="http://schemas.openxmlformats.org/officeDocument/2006/custom-properties" xmlns:vt="http://schemas.openxmlformats.org/officeDocument/2006/docPropsVTypes"/>
</file>