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 0,02 riba yra projekto minimalus praktiškai pastebimas pagerėjimas, o ne literatūroje garantuotas efektas.</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Pagrindiniame variante naudojama 15 pradinių požymių. PageValues pašalintas, nes jo apskaičiavimo momentas duomenų apraše nėra pakankamai aiškus realaus laiko prognozei. Šis požymis grąžinamas tik atskirame jautrumo bandyme.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dvi atsitiktinio miško, dvi gradientinio stiprinimo ir dvi atsitiktinio miško su PageValues versijos. Kiekvienoje metodų šeimoje laimėtojas parinktas tik pagal validacijos AP. Galutinis testas iki pasirinkimų užfiksavimo nenaudotas.</w:t>
      </w:r>
    </w:p>
    <w:p>
      <w:pPr>
        <w:keepNext/>
        <w:jc w:val="center"/>
      </w:pPr>
      <w:r>
        <w:drawing>
          <wp:inline xmlns:a="http://schemas.openxmlformats.org/drawingml/2006/main" xmlns:pic="http://schemas.openxmlformats.org/drawingml/2006/picture">
            <wp:extent cx="4860000" cy="2903805"/>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3805"/>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203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203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Modelis vienodas tikimybes grąžina ir testo eilutėms; jo testo AP = 0,2066 sutampa su testo pirkimų dalimi, o ne su mokymo pirkimų dažniu.</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d>
                  <m:dPr>
                    <m:begChr m:val="("/>
                    <m:endChr m:val=")"/>
                    <m:sepChr m:val=""/>
                    <m:grow/>
                  </m:dPr>
                  <m:e>
                    <m:r>
                      <m:t>x</m:t>
                    </m:r>
                  </m:e>
                </m:d>
                <m:r>
                  <m:rPr>
                    <m:sty m:val="p"/>
                  </m:rPr>
                  <m:t>=</m:t>
                </m:r>
                <m:f>
                  <m:fPr>
                    <m:type m:val="bar"/>
                  </m:fPr>
                  <m:num>
                    <m:r>
                      <m:t>1</m:t>
                    </m:r>
                  </m:num>
                  <m:den>
                    <m:r>
                      <m:t>1</m:t>
                    </m:r>
                    <m:r>
                      <m:rPr>
                        <m:sty m:val="p"/>
                      </m:rPr>
                      <m:t>+</m:t>
                    </m:r>
                    <m:r>
                      <m:rPr>
                        <m:sty m:val="p"/>
                      </m:rPr>
                      <m:t>exp</m:t>
                    </m:r>
                    <m:d>
                      <m:dPr>
                        <m:begChr m:val="["/>
                        <m:endChr m:val="]"/>
                        <m:sepChr m:val=""/>
                        <m:grow/>
                      </m:dPr>
                      <m:e>
                        <m:r>
                          <m:rPr>
                            <m:sty m:val="p"/>
                          </m:rPr>
                          <m:t>−</m:t>
                        </m:r>
                        <m:d>
                          <m:dPr>
                            <m:begChr m:val="("/>
                            <m:endChr m:val=")"/>
                            <m:sepChr m:val=""/>
                            <m:grow/>
                          </m:dPr>
                          <m:e>
                            <m:sSup>
                              <m:e>
                                <m:r>
                                  <m:t>w</m:t>
                                </m:r>
                              </m:e>
                              <m:sup>
                                <m:r>
                                  <m:rPr>
                                    <m:sty m:val="p"/>
                                    <m:scr m:val="sans-serif"/>
                                  </m:rPr>
                                  <m:t>T</m:t>
                                </m:r>
                              </m:sup>
                            </m:sSup>
                            <m:r>
                              <m:t>z</m:t>
                            </m:r>
                            <m:r>
                              <m:rPr>
                                <m:sty m:val="p"/>
                              </m:rPr>
                              <m:t>+</m:t>
                            </m:r>
                            <m:r>
                              <m:t>a</m:t>
                            </m:r>
                          </m:e>
                        </m:d>
                      </m:e>
                    </m:d>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d>
                  <m:dPr>
                    <m:begChr m:val="("/>
                    <m:endChr m:val=")"/>
                    <m:sepChr m:val=""/>
                    <m:grow/>
                  </m:dPr>
                  <m:e>
                    <m:r>
                      <m:t>x</m:t>
                    </m:r>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d>
                  <m:dPr>
                    <m:begChr m:val="("/>
                    <m:endChr m:val=")"/>
                    <m:sepChr m:val=""/>
                    <m:grow/>
                  </m:dPr>
                  <m:e>
                    <m:r>
                      <m:t>z</m:t>
                    </m:r>
                  </m:e>
                </m:d>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d>
                  <m:dPr>
                    <m:begChr m:val="("/>
                    <m:endChr m:val=")"/>
                    <m:sepChr m:val=""/>
                    <m:grow/>
                  </m:dPr>
                  <m:e>
                    <m:r>
                      <m:t>x</m:t>
                    </m:r>
                  </m:e>
                </m:d>
                <m:r>
                  <m:rPr>
                    <m:sty m:val="p"/>
                  </m:rPr>
                  <m:t>=</m:t>
                </m:r>
                <m:r>
                  <m:t>σ</m:t>
                </m:r>
                <m:r>
                  <m:t>​</m:t>
                </m:r>
                <m:d>
                  <m:dPr>
                    <m:begChr m:val="("/>
                    <m:endChr m:val=")"/>
                    <m:sep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d>
                      <m:dPr>
                        <m:begChr m:val="("/>
                        <m:endChr m:val=")"/>
                        <m:sepChr m:val=""/>
                        <m:grow/>
                      </m:dPr>
                      <m:e>
                        <m:r>
                          <m:t>z</m:t>
                        </m:r>
                      </m:e>
                    </m:d>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Precision atsako, kokia teigiamų prognozių dalis buvo teisinga, o </w:t>
      </w:r>
      <w:r>
        <w:rPr>
          <w:i/>
        </w:rPr>
        <w:t>recall</w:t>
      </w:r>
      <w:r>
        <w:rPr>
          <w:i w:val="0"/>
        </w:rPr>
        <w:t xml:space="preserve">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d>
                      <m:dPr>
                        <m:begChr m:val="("/>
                        <m:endChr m:val=")"/>
                        <m:sepChr m:val=""/>
                        <m:grow/>
                      </m:dPr>
                      <m:e>
                        <m:sSub>
                          <m:e>
                            <m:r>
                              <m:t>R</m:t>
                            </m:r>
                          </m:e>
                          <m:sub>
                            <m:r>
                              <m:t>k</m:t>
                            </m:r>
                          </m:sub>
                        </m:sSub>
                        <m:r>
                          <m:rPr>
                            <m:sty m:val="p"/>
                          </m:rPr>
                          <m:t>−</m:t>
                        </m:r>
                        <m:sSub>
                          <m:e>
                            <m:r>
                              <m:t>R</m:t>
                            </m:r>
                          </m:e>
                          <m:sub>
                            <m:r>
                              <m:t>k</m:t>
                            </m:r>
                            <m:r>
                              <m:rPr>
                                <m:sty m:val="p"/>
                              </m:rPr>
                              <m:t>−</m:t>
                            </m:r>
                            <m:r>
                              <m:t>1</m:t>
                            </m:r>
                          </m:sub>
                        </m:sSub>
                      </m:e>
                    </m:d>
                  </m:e>
                </m:nary>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p</m:t>
                                    </m:r>
                                  </m:e>
                                </m:acc>
                              </m:e>
                              <m:sub>
                                <m:r>
                                  <m:t>i</m:t>
                                </m:r>
                              </m:sub>
                            </m:sSub>
                            <m:r>
                              <m:rPr>
                                <m:sty m:val="p"/>
                              </m:rPr>
                              <m:t>−</m:t>
                            </m:r>
                            <m:sSub>
                              <m:e>
                                <m:r>
                                  <m:t>y</m:t>
                                </m:r>
                              </m:e>
                              <m:sub>
                                <m:r>
                                  <m:t>i</m:t>
                                </m:r>
                              </m:sub>
                            </m:sSub>
                          </m:e>
                        </m:d>
                      </m:e>
                      <m:sup>
                        <m:r>
                          <m:t>2</m:t>
                        </m:r>
                      </m:sup>
                    </m:sSup>
                  </m:e>
                </m:nary>
              </m:oMath>
            </m:oMathPara>
          </w:p>
        </w:tc>
        <w:tc>
          <w:tcPr>
            <w:tcW w:type="dxa" w:w="4535"/>
          </w:tcPr>
          <w:p>
            <w:pPr>
              <w:spacing w:line="240" w:lineRule="auto"/>
              <w:jc w:val="right"/>
            </w:pPr>
            <w:r>
              <w:t>(6)</w:t>
            </w:r>
          </w:p>
        </w:tc>
      </w:tr>
    </w:tbl>
    <w:p>
      <w:r>
        <w:rPr>
          <w:i w:val="0"/>
        </w:rPr>
        <w:t>Čia n – vertintų sesijų skaičius, pᵢ – prognozuota tikimybė, yᵢ ∈ {0,1} – tikras pirkimo faktas. Mažesnis Brier nuostolis reiškia tikslesnes tikimybines prognozes.</w:t>
      </w:r>
    </w:p>
    <w:p>
      <w:r>
        <w:rPr>
          <w:i w:val="0"/>
        </w:rPr>
        <w:t xml:space="preserve">Veiksmo slenkstis parenkamas validacijoje maksimizuojant F2, nes šiame demonstraciniame scenarijuje </w:t>
      </w:r>
      <w:r>
        <w:rPr>
          <w:i/>
        </w:rPr>
        <w:t>recall</w:t>
      </w:r>
      <w:r>
        <w:rPr>
          <w:i w:val="0"/>
        </w:rPr>
        <w:t xml:space="preserve"> laikomas svarbesniu už </w:t>
      </w:r>
      <w:r>
        <w:rPr>
          <w:i/>
        </w:rPr>
        <w:t>precision</w:t>
      </w:r>
      <w:r>
        <w:rPr>
          <w:i w:val="0"/>
        </w:rPr>
        <w:t>. Tikrame diegime slenkstis turi būti siejamas su veiksmų biudžetu ir realiomis klaidų kainomis.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w:t>
      </w:r>
      <w:r>
        <w:rPr>
          <w:i/>
        </w:rPr>
        <w:t>recall</w:t>
      </w:r>
      <w:r>
        <w:rPr>
          <w:i w:val="0"/>
        </w:rPr>
        <w:t xml:space="preserve"> suteikia keturis kartus didesnį svorį negu </w:t>
      </w:r>
      <w:r>
        <w:rPr>
          <w:i/>
        </w:rPr>
        <w:t>precision</w:t>
      </w:r>
      <w:r>
        <w:rPr>
          <w:i w:val="0"/>
        </w:rPr>
        <w:t>. Tai projekto taisyklė, o ne universalus verslo sprendimas.</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programos failų kontrolinės sumos. Vykdymo aprašas saugomas results/manifest.json.</w:t>
      </w:r>
    </w:p>
    <w:p>
      <w:pPr>
        <w:pStyle w:val="Heading1"/>
      </w:pPr>
      <w:r>
        <w:t>5. Pagrindiniai rezultatai</w:t>
      </w:r>
    </w:p>
    <w:p>
      <w:pPr>
        <w:pStyle w:val="Caption"/>
        <w:keepNext/>
      </w:pPr>
      <w:r>
        <w:t>3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keepNext/>
        <w:jc w:val="center"/>
      </w:pPr>
      <w:r>
        <w:drawing>
          <wp:inline xmlns:a="http://schemas.openxmlformats.org/drawingml/2006/main" xmlns:pic="http://schemas.openxmlformats.org/drawingml/2006/picture">
            <wp:extent cx="5580000" cy="2632856"/>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32856"/>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(8)</w:t>
            </w:r>
          </w:p>
        </w:tc>
      </w:tr>
    </w:tbl>
    <w:p>
      <w:r>
        <w:rPr>
          <w:i w:val="0"/>
        </w:rPr>
        <w:t>Atsitiktinis miškas skaičiais yra geriausias pagrindinis modelis, tačiau jo AP persvara prieš logistinę regresiją tėra 0,0076, t. y. 0,76 procentinio punkto.</w:t>
      </w:r>
    </w:p>
    <w:p>
      <w:r>
        <w:rPr>
          <w:i w:val="0"/>
        </w:rPr>
        <w:t>Porinio bootstrap 95 % intervalas skirtumui yra [−0,0113; 0,0284]. Jis apima nulį, o stebėtas 0,0076 pagerėjimas nesiekia iš anksto nustatytos 0,02 ribos. Todėl H1 nepatvirtinama. Tai nėra eksperimento nesėkmė: neigiamas rezultatas parodo, kad sudėtingesnis modelis šioje sąžiningai atskirtoje imtyje nesuteikė numatyto praktinio pranašumo.</w:t>
      </w:r>
    </w:p>
    <w:p>
      <w:pPr>
        <w:pStyle w:val="Heading2"/>
      </w:pPr>
      <w:r>
        <w:t>5.1. Slenkstis ir sumaišties matrica</w:t>
      </w:r>
    </w:p>
    <w:p>
      <w:r>
        <w:rPr>
          <w:i w:val="0"/>
        </w:rPr>
        <w:t xml:space="preserve">Atsitiktinio miško validacijoje parinktas 0,03 slenkstis. Galutiniame teste gauta TN=745, FP=3 004, FN=20 ir TP=956. Taigi aptikta 97,95 % pirkimų, tačiau iš 3 960 teigiamų prognozių teisingos buvo tik 956. Didelis </w:t>
      </w:r>
      <w:r>
        <w:rPr>
          <w:i/>
        </w:rPr>
        <w:t>recall</w:t>
      </w:r>
      <w:r>
        <w:rPr>
          <w:i w:val="0"/>
        </w:rPr>
        <w:t xml:space="preserve"> nėra bendras tikslumas; toks žemas slenkstis tiktų tik pigiam veiksmui, kai praleisto pirkėjo kaina yra gerokai didesnė už nereikalingo kontakto kainą.</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Pridėjus PageValues, atsitiktinio miško AP padidėjo iki 0,6715, o Brier sumažėjo iki 0,1158. Tai didelis skirtumas, bet jis neįrodo nei duomenų nutekėjimo, nei saugaus požymio naudojimo. Prieš diegimą būtina dokumentuoti, kada ir iš kokių įvykių šis rodiklis apskaičiuojamas. Dėl šio neapibrėžtumo pagrindinė išvada remiasi variantu be PageValues.</w:t>
      </w:r>
    </w:p>
    <w:p>
      <w:pPr>
        <w:pStyle w:val="Heading2"/>
      </w:pPr>
      <w:r>
        <w:t>6.2. Trūkstamų reikšmių atsparumas</w:t>
      </w:r>
    </w:p>
    <w:p>
      <w:pPr>
        <w:pStyle w:val="Caption"/>
        <w:keepNext/>
      </w:pPr>
      <w:r>
        <w:t>4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Šis bandymas rodo nedidelį jautrumą atsitiktinai išsibarsčiusioms tuščioms skaitinėms reikšmėms. Jis neapima viso stulpelio dingimo, sisteminio matavimo sutrikimo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5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Paleisti 8 automatiniai testai; visi baigėsi sėkmingai. Jie tikrina laiko tvarką, imčių atskyrimą, neleistinų požymių pašalinimą, mokymo medianas, naujas kategorijas ir tuščias reikšmes, atsitiktinio miško formulę, AP savybę, slenkstį, blogą įvestį ir UTF‑8 rezultatų įrašymą. Eksperimento manifeste užfiksuotas 6,45 s vykdymo laikas autoriaus Windows aplinkoje. Ankstesniame ataskaitos juodraštyje buvo likę pasenę teiginiai apie 9,4 s ir 7 testus; šioje redakcijoje jie ištaisyti.</w:t>
      </w:r>
    </w:p>
    <w:p>
      <w:r>
        <w:rPr>
          <w:i w:val="0"/>
        </w:rPr>
        <w:t>Duomenų SHA256 ir programos kontrolinės sumos sutampa su dabartiniais failais.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Mažas iš anksto nustatytas parametrų tinklas riboja skaičiavimo sąnaudas, bet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Atsitiktinis miškas be PageValues pasiekė didžiausią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0,03 slenkstis aptiko 956 iš 976 pirkimų, bet sukūrė 3 004 klaidingus teigiamus atvejus; prieš naudojimą būtinos realios klaidų kainos arba veiksmų biudžetas.</w:t>
      </w:r>
    </w:p>
    <w:p>
      <w:pPr>
        <w:pStyle w:val="ListBullet"/>
      </w:pPr>
      <w:r>
        <w:t>PageValues smarkiai pagerino rezultatą, tačiau jo laikinė kilmė nepatvirtinta, todėl jis neįtrauktas į pagrindinę išvadą.</w:t>
      </w:r>
    </w:p>
    <w:p>
      <w:pPr>
        <w:pStyle w:val="ListBullet"/>
      </w:pPr>
      <w:r>
        <w:t>Programa ir ataskaitos skaičiai yra tarpusavyje nuoseklūs, visi 8 automatiniai testai praeina, tačiau realaus laiko tinkamumui dar reikia požymių kilmės audito ir naujo būsimo laikotarpio bandymo.</w:t>
      </w:r>
    </w:p>
    <w:p>
      <w:pPr>
        <w:pStyle w:val="Heading1"/>
      </w:pPr>
      <w:r>
        <w:t>10. Šaltiniai</w:t>
      </w:r>
    </w:p>
    <w:p>
      <w:pPr>
        <w:ind w:left="454" w:hanging="454"/>
        <w:jc w:val="left"/>
      </w:pPr>
      <w:r>
        <w:t>1. Breiman, L. (2001). Random Forests. Machine Learning, 45, 5–32. https://doi.org/10.1023/A:1010933404324</w:t>
      </w:r>
    </w:p>
    <w:p>
      <w:pPr>
        <w:ind w:left="454" w:hanging="454"/>
        <w:jc w:val="left"/>
      </w:pPr>
      <w:r>
        <w:t>2. Cawley, G. C., Talbot, N. L. C. (2010). On Over-fitting in Model Selection and Subsequent Selection Bias in Performance Evaluation. Journal of Machine Learning Research, 11, 2079–2107. https://www.jmlr.org/papers/v11/cawley10a.html</w:t>
      </w:r>
    </w:p>
    <w:p>
      <w:pPr>
        <w:ind w:left="454" w:hanging="454"/>
        <w:jc w:val="left"/>
      </w:pPr>
      <w:r>
        <w:t>3. Friedman, J. H. (2001). Greedy Function Approximation: A Gradient Boosting Machine. The Annals of Statistics, 29(5), 1189–1232. https://doi.org/10.1214/aos/1013203451</w:t>
      </w:r>
    </w:p>
    <w:p>
      <w:pPr>
        <w:ind w:left="454" w:hanging="454"/>
        <w:jc w:val="left"/>
      </w:pPr>
      <w:r>
        <w:t>4. Kapoor, S., Narayanan, A. (2022). Leakage and the Reproducibility Crisis in ML-based Science. arXiv. https://doi.org/10.48550/arXiv.2207.07048</w:t>
      </w:r>
    </w:p>
    <w:p>
      <w:pPr>
        <w:ind w:left="454" w:hanging="454"/>
        <w:jc w:val="left"/>
      </w:pPr>
      <w:r>
        <w:t>5. Niculescu-Mizil, A., Caruana, R. (2005). Predicting Good Probabilities with Supervised Learning. ICML. https://www.cs.cornell.edu/~alexn/papers/calibration.icml05.crc.rev3.pdf</w:t>
      </w:r>
    </w:p>
    <w:p>
      <w:pPr>
        <w:ind w:left="454" w:hanging="454"/>
        <w:jc w:val="left"/>
      </w:pPr>
      <w:r>
        <w:t>6. Pedregosa, F. ir kt. (2011). Scikit-learn: Machine Learning in Python. Journal of Machine Learning Research, 12, 2825–2830. https://www.jmlr.org/papers/v12/pedregosa11a.html</w:t>
      </w:r>
    </w:p>
    <w:p>
      <w:pPr>
        <w:ind w:left="454" w:hanging="454"/>
        <w:jc w:val="left"/>
      </w:pPr>
      <w:r>
        <w:t>7. Saito, T., Rehmsmeier, M. (2015). The Precision-Recall Plot Is More Informative than the ROC Plot When Evaluating Binary Classifiers on Imbalanced Datasets. PLOS ONE, 10(3), e0118432. https://doi.org/10.1371/journal.pone.0118432</w:t>
      </w:r>
    </w:p>
    <w:p>
      <w:pPr>
        <w:ind w:left="454" w:hanging="454"/>
        <w:jc w:val="left"/>
      </w:pPr>
      <w:r>
        <w:t>8. Sakar, C. O., Kastro, Y. (2018). Online Shoppers Purchasing Intention Dataset. UCI Machine Learning Repository. https://doi.org/10.24432/C5F88Q</w:t>
      </w:r>
    </w:p>
    <w:p>
      <w:pPr>
        <w:ind w:left="454" w:hanging="454"/>
        <w:jc w:val="left"/>
      </w:pPr>
      <w:r>
        <w:t>9.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10. scikit-learn developers (n.d.-a). average_precision_score documentation (version 1.8). https://scikit-learn.org/1.8/modules/generated/sklearn.metrics.average_precision_score.html</w:t>
      </w:r>
    </w:p>
    <w:p>
      <w:pPr>
        <w:ind w:left="454" w:hanging="454"/>
        <w:jc w:val="left"/>
      </w:pPr>
      <w:r>
        <w:t>11. scikit-learn developers (n.d.-b). DummyClassifier (version 1.8). https://scikit-learn.org/1.8/modules/generated/sklearn.dummy.DummyClassifier.html</w:t>
      </w:r>
    </w:p>
    <w:p>
      <w:pPr>
        <w:ind w:left="454" w:hanging="454"/>
        <w:jc w:val="left"/>
      </w:pPr>
      <w:r>
        <w:t>12. scikit-learn developers (n.d.-c). Logistic Regression (version 1.8). https://scikit-learn.org/1.8/modules/linear_model.html#logistic-regression</w:t>
      </w:r>
    </w:p>
    <w:p>
      <w:pPr>
        <w:ind w:left="454" w:hanging="454"/>
        <w:jc w:val="left"/>
      </w:pPr>
      <w:r>
        <w:t>13. scikit-learn developers (n.d.-d). RandomForestClassifier (version 1.8). https://scikit-learn.org/1.8/modules/generated/sklearn.ensemble.RandomForestClassifier.html</w:t>
      </w:r>
    </w:p>
    <w:p>
      <w:pPr>
        <w:ind w:left="454" w:hanging="454"/>
        <w:jc w:val="left"/>
      </w:pPr>
      <w:r>
        <w:t>14. scikit-learn developers (n.d.-e). HistGradientBoostingClassifier (version 1.8). https://scikit-learn.org/1.8/modules/generated/sklearn.ensemble.HistGradientBoostingClassifier.html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