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w:t>
      </w:r>
    </w:p>
    <w:p>
      <w:r>
        <w:rPr>
          <w:i w:val="0"/>
        </w:rPr>
        <w:t>0,02 buvo iš anksto pasirinkta mokomojo darbo praktiškai pastebimos persvaros riba, kad, pavyzdžiui, 0,002 AP (0,2 procentinio punkto) nebūtų laikoma pakankamu pagrindu rinktis sudėtingesnį mišką. Tai nėra statistinio reikšmingumo slenkstis, universali literatūros norma ar pinigais pagrįsta verslo riba. Jei būtų žinomos FP, FN ir intervencijos kainos, ribą reikėtų sieti su jomis. Todėl išvada vertinama ir pagal porinio bootstrap AP skirtumo intervalą.</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rPr>
          <w:cantSplit/>
        </w:trP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rPr>
          <w:cantSplit/>
        </w:trP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rPr>
          <w:cantSplit/>
        </w:trP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Mokymo imtyje modeliai išmoksta parametrus, validacijoje parenkami hiperparametrai ir sprendimo slenkstis, o testas naudojamas jau užfiksuotam sprendimui įvertinti. Validacija nėra papildoma mokymo imtis: pasirinktas modelis po jos nepermokomas sujungus mokymą ir validaciją.</w:t>
      </w:r>
    </w:p>
    <w:p>
      <w:r>
        <w:rPr>
          <w:i w:val="0"/>
        </w:rPr>
        <w:t>Lapkričio–gruodžio imtis buvo validus nepriklausomas galutinis testas pirmojo vertinimo metu, nes modeliai, hiperparametrai ir slenksčiai buvo užfiksuoti prieš jį atveriant. Po klaidų, pogrupių, kalibracijos ir slenksčio elgsenos analizės ši imtis tyrėjui jau žinoma. Todėl vėlesni modelio pakeitimai negali būti laikomi nepriklausomai patvirtintais tame pačiame teste; jiems reikia naujo būsimo laikotarpio arba kitos iki tol neliestos holdout imties.</w:t>
      </w:r>
    </w:p>
    <w:p>
      <w:r>
        <w:rPr>
          <w:i w:val="0"/>
        </w:rPr>
        <w:t>Pagrindiniame variante naudojama 15 pradinių požymių. PageValues pašalintas, nes jo apskaičiavimo momentas duomenų apraše nėra pakankamai aiškus realaus laiko prognozei. Šis požymis grąžinamas tik atskirame jautrumo bandyme. Dabartinis eksperimentas yra užbaigtų sesijų suvestinių offline/post-session klasifikavimas, o ne patvirtintas tarpinės sesijos realaus laiko prognozavimas.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cantSplit/>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rPr>
          <w:cantSplit/>
        </w:trP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rPr>
          <w:cantSplit/>
        </w:trP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rPr>
          <w:cantSplit/>
        </w:trP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rPr>
          <w:cantSplit/>
        </w:trP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(C ∈ {0,1; 1,0}), dvi atsitiktinio miško (min_samples_leaf ∈ {5; 20}), dvi gradientinio stiprinimo (max_leaf_nodes ∈ {7; 15}) ir dvi atsitiktinio miško su PageValues versijos. Tai ribotas hiperparametrų palyginimas validacijos imtyje, o ne išsami optimizacija. Kiekvienoje metodų šeimoje laimėtojas parinktas tik pagal validacijos AP. Galutinis testas iki pasirinkimų užfiksavimo nenaudotas.</w:t>
      </w:r>
    </w:p>
    <w:p>
      <w:r>
        <w:rPr>
          <w:i w:val="0"/>
        </w:rPr>
        <w:t>Miško 200 medžių ir stiprinimo 150 iteracijų bei mokymosi žingsnis 0,05 buvo nustatyti iš anksto pagal ribotą skaičiavimo biudžetą; optimalumas neįrodytas. Miško medžiai mokomi atskirai, o stiprinimo medžiai kuriami nuosekliai, todėl jų skaičių tiesiogiai lyginti negalima. Atsitiktinių skaičių pradžios reikšmė 42 pasirinkta tik atkuriamumui, ne kokybei gerinti.</w:t>
      </w:r>
    </w:p>
    <w:p>
      <w:pPr>
        <w:keepNext/>
        <w:jc w:val="center"/>
      </w:pPr>
      <w:r>
        <w:drawing>
          <wp:inline xmlns:a="http://schemas.openxmlformats.org/drawingml/2006/main" xmlns:pic="http://schemas.openxmlformats.org/drawingml/2006/picture">
            <wp:extent cx="4860000" cy="2904828"/>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4828"/>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032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032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yra mokymo pirkimų dalis: ją modelis grąžina kaip tikimybę kiekvienai sesijai. Visoms eilutėms skiriamas tas pats balas, todėl baseline jų neranguoja. Jo testo AP = 0,2066 yra testo pirkimų dalis. Baseline AP nėra 0,1106, nes AP skaičiuojama testo imtyje, o pastovaus balo AP lygi vertinamos imties teigiamos klasės daliai.</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r>
                  <m:rPr>
                    <m:sty m:val="p"/>
                  </m:rPr>
                  <m:t>(</m:t>
                </m:r>
                <m:r>
                  <m:t>x</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sSup>
                      <m:e>
                        <m:r>
                          <m:t>w</m:t>
                        </m:r>
                      </m:e>
                      <m:sup>
                        <m:r>
                          <m:rPr>
                            <m:scr m:val="sans-serif"/>
                            <m:sty m:val="p"/>
                          </m:rPr>
                          <m:t>T</m:t>
                        </m:r>
                      </m:sup>
                    </m:sSup>
                    <m:r>
                      <m:t>z</m:t>
                    </m:r>
                    <m:r>
                      <m:rPr>
                        <m:sty m:val="p"/>
                      </m:rPr>
                      <m:t>+</m:t>
                    </m:r>
                    <m:r>
                      <m:t>a</m:t>
                    </m:r>
                    <m:r>
                      <m:rPr>
                        <m:sty m:val="p"/>
                      </m:rPr>
                      <m:t>)</m:t>
                    </m:r>
                    <m:r>
                      <m:rPr>
                        <m:sty m:val="p"/>
                      </m:rPr>
                      <m:t>]</m:t>
                    </m:r>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r>
                  <m:rPr>
                    <m:sty m:val="p"/>
                  </m:rPr>
                  <m:t>(</m:t>
                </m:r>
                <m:r>
                  <m:t>z</m:t>
                </m:r>
                <m:r>
                  <m:rPr>
                    <m:sty m:val="p"/>
                  </m:rPr>
                  <m:t>)</m:t>
                </m:r>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r>
                  <m:rPr>
                    <m:sty m:val="p"/>
                  </m:rPr>
                  <m:t>(</m:t>
                </m:r>
                <m:r>
                  <m:t>x</m:t>
                </m:r>
                <m:r>
                  <m:rPr>
                    <m:sty m:val="p"/>
                  </m:rPr>
                  <m:t>)</m:t>
                </m:r>
                <m:r>
                  <m:rPr>
                    <m:sty m:val="p"/>
                  </m:rPr>
                  <m:t>=</m:t>
                </m:r>
                <m:r>
                  <m:t>σ</m:t>
                </m:r>
                <m:r>
                  <m:t>​</m:t>
                </m:r>
                <m:d>
                  <m:dPr>
                    <m:begChr m:val="("/>
                    <m:sepChr m:val=""/>
                    <m:end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z</m:t>
                    </m:r>
                    <m:r>
                      <m:rPr>
                        <m:sty m:val="p"/>
                      </m:rPr>
                      <m:t>)</m:t>
                    </m:r>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Jei TP yra teisingai aptikti pirkimai, FP – klaidingai pirkimais pavadintos sesijos, o FN – praleisti pirkimai, tai </w:t>
      </w:r>
      <w:r>
        <w:rPr>
          <w:i/>
        </w:rPr>
        <w:t>precision</w:t>
      </w:r>
      <w:r>
        <w:rPr>
          <w:i w:val="0"/>
        </w:rPr>
        <w:t xml:space="preserve"> = TP / (TP + FP) ir </w:t>
      </w:r>
      <w:r>
        <w:rPr>
          <w:i/>
        </w:rPr>
        <w:t>recall</w:t>
      </w:r>
      <w:r>
        <w:rPr>
          <w:i w:val="0"/>
        </w:rPr>
        <w:t xml:space="preserve"> = TP / (TP + FN). Pirmasis atsako, kokia teigiamų prognozių dalis teisinga, antrasis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p>
      <w:r>
        <w:rPr>
          <w:i w:val="0"/>
        </w:rPr>
        <w:t xml:space="preserve">AP atsako, kaip gerai modelis surikiuoja sesijas pagal pirkimo tikimybę. Pagal validacijos AP pasirenkamas kandidatas; ši metrika nepriklauso nuo vieno fiksuoto sprendimo slenksčio. F2 naudojamas tik parinkti slenkstį jau pasirinktam kandidatui. Užfiksavus slenkstį, </w:t>
      </w:r>
      <w:r>
        <w:rPr>
          <w:i/>
        </w:rPr>
        <w:t>precision</w:t>
      </w:r>
      <w:r>
        <w:rPr>
          <w:i w:val="0"/>
        </w:rPr>
        <w:t xml:space="preserve">, </w:t>
      </w:r>
      <w:r>
        <w:rPr>
          <w:i/>
        </w:rPr>
        <w:t>recall</w:t>
      </w:r>
      <w:r>
        <w:rPr>
          <w:i w:val="0"/>
        </w:rPr>
        <w:t>, F1 ir F2 apibūdina konkrečius dvejetainius sprendimus.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m:oMathPara>
          </w:p>
        </w:tc>
        <w:tc>
          <w:tcPr>
            <w:tcW w:type="dxa" w:w="4535"/>
          </w:tcPr>
          <w:p>
            <w:pPr>
              <w:spacing w:line="240" w:lineRule="auto"/>
              <w:jc w:val="right"/>
            </w:pPr>
            <w:r>
              <w:t>(6)</w:t>
            </w:r>
          </w:p>
        </w:tc>
      </w:tr>
    </w:tbl>
    <w:p>
      <w:r>
        <w:rPr>
          <w:i w:val="0"/>
        </w:rPr>
        <w:t>Čia n – vertintų sesijų skaičius, pᵢ – prognozuota tikimybė, yᵢ ∈ {0,1} – tikras pirkimo faktas. Kai p = 0,9 ir pirkimas įvyksta, kvadratinė klaida maža; kai pirkimo nėra, ji didelė. Brier yra šių klaidų vidurkis, todėl mažesnis geresnis. Jis vertina tikimybines prognozes apskritai; kalibracijos kreivė atskirai lygina prognozes su stebėtais dažniais.</w:t>
      </w:r>
    </w:p>
    <w:p>
      <w:r>
        <w:rPr>
          <w:i w:val="0"/>
        </w:rPr>
        <w:t>Log loss taip pat vertina tikimybes, bet ypač stipriai baudžia už labai užtikrintas klaidingas prognozes. Mažesnis log loss geresnis; šiame darbe jis yra papildomas rodiklis, ne modelio parinkimo kriterijus.</w:t>
      </w:r>
    </w:p>
    <w:p>
      <w:r>
        <w:rPr>
          <w:i w:val="0"/>
        </w:rPr>
        <w:t xml:space="preserve">AP ir trapecinis PR-AUC apibūdina </w:t>
      </w:r>
      <w:r>
        <w:rPr>
          <w:i/>
        </w:rPr>
        <w:t>precision</w:t>
      </w:r>
      <w:r>
        <w:rPr>
          <w:i w:val="0"/>
        </w:rPr>
        <w:t>–</w:t>
      </w:r>
      <w:r>
        <w:rPr>
          <w:i/>
        </w:rPr>
        <w:t>recall</w:t>
      </w:r>
      <w:r>
        <w:rPr>
          <w:i w:val="0"/>
        </w:rPr>
        <w:t xml:space="preserve"> kreivę, bet skaičiuojami skirtingai. Pastoviam modeliui trapecinis plotas čia yra 0,6033 dėl kreivės galinio taško, nors modelis sesijų neranguoja. Todėl pagrindiniam palyginimui naudojama AP, o trapecinis PR-AUC pateikiamas tik papildomai.</w:t>
      </w:r>
    </w:p>
    <w:p>
      <w:r>
        <w:rPr>
          <w:i w:val="0"/>
        </w:rPr>
        <w:t>Veiksmo slenkstis parenkamas validacijoje maksimizuojant F2. Šiame mokomajame scenarijuje potencialaus pirkėjo praleidimas laikomas mažiau pageidaujamu nei papildomas klaidingas signalas. Tai tinka pigiam veiksmui, pavyzdžiui, priminimui; brangiai nuolaidai ar konsultanto skambučiui toks prioritetas gali netikti. Tikrųjų FP, FN ir intervencijos kainų nėra, todėl F2 nėra įrodytas verslo optimumas.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teikia pirmenybę </w:t>
      </w:r>
      <w:r>
        <w:rPr>
          <w:i/>
        </w:rPr>
        <w:t>recall</w:t>
      </w:r>
      <w:r>
        <w:rPr>
          <w:i w:val="0"/>
        </w:rPr>
        <w:t>: išreikštos per klaidų skaičius formulės vardiklyje FN koeficientas yra 4, o FP – 1 (scikit-learn developers, n.d.-f). Tai projekto taisyklė, o ne universali klaidų kainų proporcija.</w:t>
      </w:r>
    </w:p>
    <w:p>
      <w:r>
        <w:rPr>
          <w:i w:val="0"/>
        </w:rPr>
        <w:t xml:space="preserve">Palyginimui F1 vienoje reikšmėje vienodai derina </w:t>
      </w:r>
      <w:r>
        <w:rPr>
          <w:i/>
        </w:rPr>
        <w:t>precision</w:t>
      </w:r>
      <w:r>
        <w:rPr>
          <w:i w:val="0"/>
        </w:rPr>
        <w:t xml:space="preserve"> ir </w:t>
      </w:r>
      <w:r>
        <w:rPr>
          <w:i/>
        </w:rPr>
        <w:t>recall</w:t>
      </w:r>
      <w:r>
        <w:rPr>
          <w:i w:val="0"/>
        </w:rPr>
        <w:t>:</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1</m:t>
                    </m:r>
                  </m:sub>
                </m:sSub>
                <m:r>
                  <m:rPr>
                    <m:sty m:val="p"/>
                  </m:rPr>
                  <m:t>=</m:t>
                </m:r>
                <m:f>
                  <m:fPr>
                    <m:type m:val="bar"/>
                  </m:fPr>
                  <m:num>
                    <m:r>
                      <m:t>2</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(8)</w:t>
            </w:r>
          </w:p>
        </w:tc>
      </w:tr>
    </w:tbl>
    <w:p>
      <w:r>
        <w:rPr>
          <w:i w:val="0"/>
        </w:rPr>
        <w:t xml:space="preserve">Pakeitus tik skaičiavimo rodiklį iš F2 į F1, to paties modelio prognozės ir TP, FP, FN nepasikeičia; pasikeičia skaitinė vertinimo reikšmė. Jei pagal naują rodiklį iš naujo parenkamas slenkstis validacijoje, gali pasikeisti ir sprendimai, </w:t>
      </w:r>
      <w:r>
        <w:rPr>
          <w:i/>
        </w:rPr>
        <w:t>precision</w:t>
      </w:r>
      <w:r>
        <w:rPr>
          <w:i w:val="0"/>
        </w:rPr>
        <w:t xml:space="preserve"> bei </w:t>
      </w:r>
      <w:r>
        <w:rPr>
          <w:i/>
        </w:rPr>
        <w:t>recall</w:t>
      </w:r>
      <w:r>
        <w:rPr>
          <w:i w:val="0"/>
        </w:rPr>
        <w:t>.</w:t>
      </w:r>
    </w:p>
    <w:p>
      <w:pPr>
        <w:pStyle w:val="Caption"/>
        <w:keepNext/>
      </w:pPr>
      <w:r>
        <w:t>3 lentelė. Rodiklių paskirtis ir interpretacija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814"/>
            <w:vAlign w:val="center"/>
            <w:shd w:fill="D9EAF7"/>
          </w:tcPr>
          <w:p>
            <w:pPr>
              <w:spacing w:line="240" w:lineRule="auto" w:after="80" w:before="80"/>
              <w:jc w:val="left"/>
            </w:pPr>
            <w:r>
              <w:rPr>
                <w:b/>
                <w:sz w:val="19"/>
              </w:rPr>
              <w:t>Rodiklis</w:t>
            </w:r>
          </w:p>
        </w:tc>
        <w:tc>
          <w:tcPr>
            <w:tcW w:type="dxa" w:w="2903"/>
            <w:vAlign w:val="center"/>
            <w:shd w:fill="D9EAF7"/>
          </w:tcPr>
          <w:p>
            <w:pPr>
              <w:spacing w:line="240" w:lineRule="auto" w:after="80" w:before="80"/>
              <w:jc w:val="left"/>
            </w:pPr>
            <w:r>
              <w:rPr>
                <w:b/>
                <w:sz w:val="19"/>
              </w:rPr>
              <w:t>Kam naudojamas</w:t>
            </w:r>
          </w:p>
        </w:tc>
        <w:tc>
          <w:tcPr>
            <w:tcW w:type="dxa" w:w="1161"/>
            <w:vAlign w:val="center"/>
            <w:shd w:fill="D9EAF7"/>
          </w:tcPr>
          <w:p>
            <w:pPr>
              <w:spacing w:line="240" w:lineRule="auto" w:after="80" w:before="80"/>
              <w:jc w:val="left"/>
            </w:pPr>
            <w:r>
              <w:rPr>
                <w:b/>
                <w:sz w:val="19"/>
              </w:rPr>
              <w:t>Geriau</w:t>
            </w:r>
          </w:p>
        </w:tc>
        <w:tc>
          <w:tcPr>
            <w:tcW w:type="dxa" w:w="3193"/>
            <w:vAlign w:val="center"/>
            <w:shd w:fill="D9EAF7"/>
          </w:tcPr>
          <w:p>
            <w:pPr>
              <w:spacing w:line="240" w:lineRule="auto" w:after="80" w:before="80"/>
              <w:jc w:val="left"/>
            </w:pPr>
            <w:r>
              <w:rPr>
                <w:b/>
                <w:sz w:val="19"/>
              </w:rPr>
              <w:t>Svarbiausia interpretacija</w:t>
            </w:r>
          </w:p>
        </w:tc>
      </w:tr>
      <w:tr>
        <w:trPr>
          <w:cantSplit/>
        </w:trPr>
        <w:tc>
          <w:tcPr>
            <w:tcW w:type="dxa" w:w="1814"/>
            <w:vAlign w:val="center"/>
          </w:tcPr>
          <w:p>
            <w:pPr>
              <w:spacing w:line="240" w:lineRule="auto" w:after="80" w:before="80"/>
              <w:jc w:val="left"/>
            </w:pPr>
            <w:r>
              <w:rPr>
                <w:sz w:val="19"/>
              </w:rPr>
              <w:t>AP</w:t>
            </w:r>
          </w:p>
        </w:tc>
        <w:tc>
          <w:tcPr>
            <w:tcW w:type="dxa" w:w="2903"/>
            <w:vAlign w:val="center"/>
          </w:tcPr>
          <w:p>
            <w:pPr>
              <w:spacing w:line="240" w:lineRule="auto" w:after="80" w:before="80"/>
              <w:jc w:val="left"/>
            </w:pPr>
            <w:r>
              <w:rPr>
                <w:sz w:val="19"/>
              </w:rPr>
              <w:t>Modelių rangavimo palyginimas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Ne accuracy; nepriklauso nuo vieno slenksčio</w:t>
            </w:r>
          </w:p>
        </w:tc>
      </w:tr>
      <w:tr>
        <w:trPr>
          <w:cantSplit/>
        </w:trPr>
        <w:tc>
          <w:tcPr>
            <w:tcW w:type="dxa" w:w="1814"/>
            <w:vAlign w:val="center"/>
          </w:tcPr>
          <w:p>
            <w:pPr>
              <w:spacing w:line="240" w:lineRule="auto" w:after="80" w:before="80"/>
              <w:jc w:val="left"/>
            </w:pPr>
            <w:r>
              <w:rPr>
                <w:sz w:val="19"/>
              </w:rPr>
              <w:t>Precision</w:t>
            </w:r>
          </w:p>
        </w:tc>
        <w:tc>
          <w:tcPr>
            <w:tcW w:type="dxa" w:w="2903"/>
            <w:vAlign w:val="center"/>
          </w:tcPr>
          <w:p>
            <w:pPr>
              <w:spacing w:line="240" w:lineRule="auto" w:after="80" w:before="80"/>
              <w:jc w:val="left"/>
            </w:pPr>
            <w:r>
              <w:rPr>
                <w:sz w:val="19"/>
              </w:rPr>
              <w:t>Teigiamų sprendimų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prognozuotų pirkimų dalis tikra</w:t>
            </w:r>
          </w:p>
        </w:tc>
      </w:tr>
      <w:tr>
        <w:trPr>
          <w:cantSplit/>
        </w:trPr>
        <w:tc>
          <w:tcPr>
            <w:tcW w:type="dxa" w:w="1814"/>
            <w:vAlign w:val="center"/>
          </w:tcPr>
          <w:p>
            <w:pPr>
              <w:spacing w:line="240" w:lineRule="auto" w:after="80" w:before="80"/>
              <w:jc w:val="left"/>
            </w:pPr>
            <w:r>
              <w:rPr>
                <w:sz w:val="19"/>
              </w:rPr>
              <w:t>Recall</w:t>
            </w:r>
          </w:p>
        </w:tc>
        <w:tc>
          <w:tcPr>
            <w:tcW w:type="dxa" w:w="2903"/>
            <w:vAlign w:val="center"/>
          </w:tcPr>
          <w:p>
            <w:pPr>
              <w:spacing w:line="240" w:lineRule="auto" w:after="80" w:before="80"/>
              <w:jc w:val="left"/>
            </w:pPr>
            <w:r>
              <w:rPr>
                <w:sz w:val="19"/>
              </w:rPr>
              <w:t>Aptiktų pirkimų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tikrų pirkimų dalis rasta</w:t>
            </w:r>
          </w:p>
        </w:tc>
      </w:tr>
      <w:tr>
        <w:trPr>
          <w:cantSplit/>
        </w:trPr>
        <w:tc>
          <w:tcPr>
            <w:tcW w:type="dxa" w:w="1814"/>
            <w:vAlign w:val="center"/>
          </w:tcPr>
          <w:p>
            <w:pPr>
              <w:spacing w:line="240" w:lineRule="auto" w:after="80" w:before="80"/>
              <w:jc w:val="left"/>
            </w:pPr>
            <w:r>
              <w:rPr>
                <w:sz w:val="19"/>
              </w:rPr>
              <w:t>F1</w:t>
            </w:r>
          </w:p>
        </w:tc>
        <w:tc>
          <w:tcPr>
            <w:tcW w:type="dxa" w:w="2903"/>
            <w:vAlign w:val="center"/>
          </w:tcPr>
          <w:p>
            <w:pPr>
              <w:spacing w:line="240" w:lineRule="auto" w:after="80" w:before="80"/>
              <w:jc w:val="left"/>
            </w:pPr>
            <w:r>
              <w:rPr>
                <w:sz w:val="19"/>
              </w:rPr>
              <w:t>Papildomas sprendimų rodiklis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Vienodai derina precision ir recall</w:t>
            </w:r>
          </w:p>
        </w:tc>
      </w:tr>
      <w:tr>
        <w:trPr>
          <w:cantSplit/>
        </w:trPr>
        <w:tc>
          <w:tcPr>
            <w:tcW w:type="dxa" w:w="1814"/>
            <w:vAlign w:val="center"/>
          </w:tcPr>
          <w:p>
            <w:pPr>
              <w:spacing w:line="240" w:lineRule="auto" w:after="80" w:before="80"/>
              <w:jc w:val="left"/>
            </w:pPr>
            <w:r>
              <w:rPr>
                <w:sz w:val="19"/>
              </w:rPr>
              <w:t>F2</w:t>
            </w:r>
          </w:p>
        </w:tc>
        <w:tc>
          <w:tcPr>
            <w:tcW w:type="dxa" w:w="2903"/>
            <w:vAlign w:val="center"/>
          </w:tcPr>
          <w:p>
            <w:pPr>
              <w:spacing w:line="240" w:lineRule="auto" w:after="80" w:before="80"/>
              <w:jc w:val="left"/>
            </w:pPr>
            <w:r>
              <w:rPr>
                <w:sz w:val="19"/>
              </w:rPr>
              <w:t>Validacijos slenksčio parinkimas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Teikia pirmenybę recall; ne finansinis optimumas</w:t>
            </w:r>
          </w:p>
        </w:tc>
      </w:tr>
      <w:tr>
        <w:trPr>
          <w:cantSplit/>
        </w:trPr>
        <w:tc>
          <w:tcPr>
            <w:tcW w:type="dxa" w:w="1814"/>
            <w:vAlign w:val="center"/>
          </w:tcPr>
          <w:p>
            <w:pPr>
              <w:spacing w:line="240" w:lineRule="auto" w:after="80" w:before="80"/>
              <w:jc w:val="left"/>
            </w:pPr>
            <w:r>
              <w:rPr>
                <w:sz w:val="19"/>
              </w:rPr>
              <w:t>Brier</w:t>
            </w:r>
          </w:p>
        </w:tc>
        <w:tc>
          <w:tcPr>
            <w:tcW w:type="dxa" w:w="2903"/>
            <w:vAlign w:val="center"/>
          </w:tcPr>
          <w:p>
            <w:pPr>
              <w:spacing w:line="240" w:lineRule="auto" w:after="80" w:before="80"/>
              <w:jc w:val="left"/>
            </w:pPr>
            <w:r>
              <w:rPr>
                <w:sz w:val="19"/>
              </w:rPr>
              <w:t>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Vidutinė kvadratinė tikimybės klaida</w:t>
            </w:r>
          </w:p>
        </w:tc>
      </w:tr>
      <w:tr>
        <w:trPr>
          <w:cantSplit/>
        </w:trPr>
        <w:tc>
          <w:tcPr>
            <w:tcW w:type="dxa" w:w="1814"/>
            <w:vAlign w:val="center"/>
          </w:tcPr>
          <w:p>
            <w:pPr>
              <w:spacing w:line="240" w:lineRule="auto" w:after="80" w:before="80"/>
              <w:jc w:val="left"/>
            </w:pPr>
            <w:r>
              <w:rPr>
                <w:sz w:val="19"/>
              </w:rPr>
              <w:t>Log loss</w:t>
            </w:r>
          </w:p>
        </w:tc>
        <w:tc>
          <w:tcPr>
            <w:tcW w:type="dxa" w:w="2903"/>
            <w:vAlign w:val="center"/>
          </w:tcPr>
          <w:p>
            <w:pPr>
              <w:spacing w:line="240" w:lineRule="auto" w:after="80" w:before="80"/>
              <w:jc w:val="left"/>
            </w:pPr>
            <w:r>
              <w:rPr>
                <w:sz w:val="19"/>
              </w:rPr>
              <w:t>Papildoma 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Stipriai baudžia už užtikrintas klaidas</w:t>
            </w:r>
          </w:p>
        </w:tc>
      </w:tr>
      <w:tr>
        <w:trPr>
          <w:cantSplit/>
        </w:trPr>
        <w:tc>
          <w:tcPr>
            <w:tcW w:type="dxa" w:w="1814"/>
            <w:vAlign w:val="center"/>
          </w:tcPr>
          <w:p>
            <w:pPr>
              <w:spacing w:line="240" w:lineRule="auto" w:after="80" w:before="80"/>
              <w:jc w:val="left"/>
            </w:pPr>
            <w:r>
              <w:rPr>
                <w:sz w:val="19"/>
              </w:rPr>
              <w:t>Trapecinis PR-AUC</w:t>
            </w:r>
          </w:p>
        </w:tc>
        <w:tc>
          <w:tcPr>
            <w:tcW w:type="dxa" w:w="2903"/>
            <w:vAlign w:val="center"/>
          </w:tcPr>
          <w:p>
            <w:pPr>
              <w:spacing w:line="240" w:lineRule="auto" w:after="80" w:before="80"/>
              <w:jc w:val="left"/>
            </w:pPr>
            <w:r>
              <w:rPr>
                <w:sz w:val="19"/>
              </w:rPr>
              <w:t>Papildoma PR kreivės charakteristika</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Pastovaus modelio reikšmė gali klaidinti</w:t>
            </w:r>
          </w:p>
        </w:tc>
      </w:tr>
      <w:tr>
        <w:trPr>
          <w:cantSplit/>
        </w:trPr>
        <w:tc>
          <w:tcPr>
            <w:tcW w:type="dxa" w:w="1814"/>
            <w:vAlign w:val="center"/>
          </w:tcPr>
          <w:p>
            <w:pPr>
              <w:spacing w:line="240" w:lineRule="auto" w:after="80" w:before="80"/>
              <w:jc w:val="left"/>
            </w:pPr>
            <w:r>
              <w:rPr>
                <w:sz w:val="19"/>
              </w:rPr>
              <w:t>Bootstrap 95 % intervalas</w:t>
            </w:r>
          </w:p>
        </w:tc>
        <w:tc>
          <w:tcPr>
            <w:tcW w:type="dxa" w:w="2903"/>
            <w:vAlign w:val="center"/>
          </w:tcPr>
          <w:p>
            <w:pPr>
              <w:spacing w:line="240" w:lineRule="auto" w:after="80" w:before="80"/>
              <w:jc w:val="left"/>
            </w:pPr>
            <w:r>
              <w:rPr>
                <w:sz w:val="19"/>
              </w:rPr>
              <w:t>RF ir LR AP skirtumo neapibrėžtumas</w:t>
            </w:r>
          </w:p>
        </w:tc>
        <w:tc>
          <w:tcPr>
            <w:tcW w:type="dxa" w:w="1161"/>
            <w:vAlign w:val="center"/>
          </w:tcPr>
          <w:p>
            <w:pPr>
              <w:spacing w:line="240" w:lineRule="auto" w:after="80" w:before="80"/>
              <w:jc w:val="left"/>
            </w:pPr>
            <w:r>
              <w:rPr>
                <w:sz w:val="19"/>
              </w:rPr>
              <w:t>—</w:t>
            </w:r>
          </w:p>
        </w:tc>
        <w:tc>
          <w:tcPr>
            <w:tcW w:type="dxa" w:w="3193"/>
            <w:vAlign w:val="center"/>
          </w:tcPr>
          <w:p>
            <w:pPr>
              <w:spacing w:line="240" w:lineRule="auto" w:after="80" w:before="80"/>
              <w:jc w:val="left"/>
            </w:pPr>
            <w:r>
              <w:rPr>
                <w:sz w:val="19"/>
              </w:rPr>
              <w:t>Jei apima 0, RF persvara neįrodyta</w:t>
            </w:r>
          </w:p>
        </w:tc>
      </w:tr>
    </w:tbl>
    <w:p>
      <w:pPr>
        <w:spacing w:after="0"/>
      </w:pPr>
    </w:p>
    <w:p>
      <w:pPr>
        <w:pStyle w:val="Heading2"/>
      </w:pPr>
      <w:r>
        <w:t>3.3. Naujausi literatūroje taikomi metodai</w:t>
      </w:r>
    </w:p>
    <w:p>
      <w:r>
        <w:rPr>
          <w:i w:val="0"/>
        </w:rPr>
        <w:t>Abdullah-All-Tanvir ir kt. (2023) artimai pirkimo ketinimo užduočiai taikė XGBoost, požymių atranką ir balansavimą. Satu ir Islam (2023) tam pačiam UCI rinkiniui tyrė RF su transformacijomis, SMOTE ir atranka. Setyawan ir Himawan (2026) palygino XGBoost, LightGBM ir CatBoost su platesne optimizacija. Tai pagrindas svarstyti metodus, bet ne įrodymas, kad jų skelbti kitų skaidymų accuracy ar ROC-AUC persikeltų į mūsų temporal AP.</w:t>
      </w:r>
    </w:p>
    <w:p>
      <w:r>
        <w:rPr>
          <w:i w:val="0"/>
        </w:rPr>
        <w:t>Pasirinktas vienas papildomas CPU XGBoost bandymas: nuoseklūs medžiai tinka lenteliniams sesijų požymiams, o train pirkimų disbalansą galima tikrinti teigiamos klasės svoriu. Šis metodas sudėtingesnis už LR, bet paaiškinamas ir telpa į mažą tinklą. SMOTE su požymių atranka atmestas, nes keistų kelias grandis ir reikalautų atsargiai tvarkyti kategorijas; stacking atmestas dėl papildomo meta-modelio skaidymo ir gynimo sudėtingumo. Tai supaprastintas literatūra motyvuotas bandymas, ne straipsnių metodikos reprodukcija. Išsamus šaltinių palyginimas pateiktas docs/NAUJA_LITERATURA.md.</w:t>
      </w: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pradinio pagrindinio paleidimo programos failų kontrolinės sumos. Vykdymo aprašas saugomas results/manifest.json; po papildomos abliacijos kodo pakeitimo jo kodo sumos nėra dabartinių src/ failų sumos.</w:t>
      </w:r>
    </w:p>
    <w:p>
      <w:pPr>
        <w:pStyle w:val="Heading1"/>
      </w:pPr>
      <w:r>
        <w:t>5. Pagrindiniai rezultatai</w:t>
      </w:r>
    </w:p>
    <w:p>
      <w:pPr>
        <w:pStyle w:val="Caption"/>
        <w:keepNext/>
      </w:pPr>
      <w:r>
        <w:t>4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rPr>
          <w:cantSplit/>
        </w:trP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rPr>
          <w:cantSplit/>
        </w:trP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rPr>
          <w:cantSplit/>
        </w:trP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rPr>
          <w:cantSplit/>
        </w:trP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pStyle w:val="Heading2"/>
      </w:pPr>
      <w:r>
        <w:t>Kaip skaityti pagrindinius rezultatus</w:t>
      </w:r>
    </w:p>
    <w:p>
      <w:pPr>
        <w:pStyle w:val="ListBullet"/>
      </w:pPr>
      <w:r>
        <w:t>Pastovaus modelio AP = 0,2066 atitinka testo pirkimų dalį; jis sesijų neranguoja.</w:t>
      </w:r>
    </w:p>
    <w:p>
      <w:pPr>
        <w:pStyle w:val="ListBullet"/>
      </w:pPr>
      <w:r>
        <w:t>Logistinės regresijos AP = 0,3336 rodo geresnį pirkimų rangavimą už pastovų modelį.</w:t>
      </w:r>
    </w:p>
    <w:p>
      <w:pPr>
        <w:pStyle w:val="ListBullet"/>
      </w:pPr>
      <w:r>
        <w:t>RF turi didžiausią stebėtą pagrindinių modelių AP = 0,3411; gradientinio stiprinimo AP = 0,3392 yra labai artima.</w:t>
      </w:r>
    </w:p>
    <w:p>
      <w:pPr>
        <w:pStyle w:val="ListBullet"/>
      </w:pPr>
      <w:r>
        <w:t>RF ir logistinės regresijos skirtumas 0,0076 yra mažesnis už iš anksto pasirinktą 0,02 ribą.</w:t>
      </w:r>
    </w:p>
    <w:p>
      <w:pPr>
        <w:pStyle w:val="ListBullet"/>
      </w:pPr>
      <w:r>
        <w:t>Porinio bootstrap intervalas apima 0, todėl tvirto RF pranašumo ši imtis neparodo.</w:t>
      </w:r>
    </w:p>
    <w:p>
      <w:r>
        <w:rPr>
          <w:i w:val="0"/>
        </w:rPr>
        <w:t>AP yra rodiklis nuo maždaug 0 iki 1: didesnis reiškia geresnį rangavimą, tačiau 0,3411 nereiškia 34,11 % teisingų atsakymų. RF AP viršija pastovaus modelio AP apie 0,1346 (skirtumas skaičiuotas iš neapvalintų reikšmių), o logistinę regresiją – tik 0,0076.</w:t>
      </w:r>
    </w:p>
    <w:p>
      <w:pPr>
        <w:keepNext/>
        <w:jc w:val="center"/>
      </w:pPr>
      <w:r>
        <w:drawing>
          <wp:inline xmlns:a="http://schemas.openxmlformats.org/drawingml/2006/main" xmlns:pic="http://schemas.openxmlformats.org/drawingml/2006/picture">
            <wp:extent cx="5580000" cy="2646640"/>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46640"/>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rPr>
                    <m:sty m:val="p"/>
                  </m:rP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(9)</w:t>
            </w:r>
          </w:p>
        </w:tc>
      </w:tr>
    </w:tbl>
    <w:p>
      <w:r>
        <w:rPr>
          <w:i w:val="0"/>
        </w:rPr>
        <w:t>RF turi didžiausią stebėtą AP šiame teste, tačiau jo persvara prieš logistinę regresiją tėra 0,0076, t. y. 0,76 procentinio punkto. Tai neįrodo bendro metodo pranašumo.</w:t>
      </w:r>
    </w:p>
    <w:p>
      <w:r>
        <w:rPr>
          <w:i w:val="0"/>
        </w:rPr>
        <w:t>Porinis bootstrap 500 kartų su grąžinimu perrenka testo eilutes ir kiekvieną kartą abiejų modelių AP skaičiuoja toms pačioms eilutėms. Iš AP_RF − AP_LR skirtumų gautas centrinis 95 % intervalas [−0,0113; 0,0284]. Jis apima 0, todėl šiame bandyme negalima tvirtai teigti, kad RF geresnis; stebėta persvara taip pat nesiekia 0,02, todėl H1 nepatvirtinama. Intervalas nereiškia 95 % tikimybės, kad tikrasis skirtumas būtinai yra jo viduje, ir neapima kitų parduotuvių, sezonų ar naujų mokymo pradžios reikšmių. 500 pakartojimų yra pasirinktas skaičiavimo biudžetas: daugiau pakartojimų galėtų stabilizuoti intervalo ribas, bet 500 nėra privalomas standartas.</w:t>
      </w:r>
    </w:p>
    <w:p>
      <w:pPr>
        <w:pStyle w:val="Heading2"/>
      </w:pPr>
      <w:r>
        <w:t>5.1. Slenkstis ir sumaišties matrica</w:t>
      </w:r>
    </w:p>
    <w:p>
      <w:r>
        <w:rPr>
          <w:i w:val="0"/>
        </w:rPr>
        <w:t>Atsitiktinio miško 0,03 slenkstis nebuvo ranka parinktas peržiūrėjus testą. Kode tikrintas tinklelis nuo 0,01 iki 0,99 kas 0,01; kiekvienam slenksčiui validacijoje apskaičiuotas F2. Pasirinkto RF didžiausią validacijos F2 davė 0,03. Šis slenkstis užfiksuotas prieš galutinį testą.</w:t>
      </w:r>
    </w:p>
    <w:p>
      <w:r>
        <w:rPr>
          <w:i w:val="0"/>
        </w:rPr>
        <w:t xml:space="preserve">Teste gauta TN=745, FP=3 004, FN=20 ir TP=956. Modelis aptiko 956 iš 976 pirkimų, tačiau klaidingai pažymėjo 3 004 nepirkusias sesijas. Jis beveik nepraleidžia pirkėjų, bet teigiamą signalą duoda labai dažnai: </w:t>
      </w:r>
      <w:r>
        <w:rPr>
          <w:i/>
        </w:rPr>
        <w:t>recall</w:t>
      </w:r>
      <w:r>
        <w:rPr>
          <w:i w:val="0"/>
        </w:rPr>
        <w:t xml:space="preserve"> = 0,9795, o </w:t>
      </w:r>
      <w:r>
        <w:rPr>
          <w:i/>
        </w:rPr>
        <w:t>precision</w:t>
      </w:r>
      <w:r>
        <w:rPr>
          <w:i w:val="0"/>
        </w:rPr>
        <w:t xml:space="preserve"> = 0,2414. Didelis </w:t>
      </w:r>
      <w:r>
        <w:rPr>
          <w:i/>
        </w:rPr>
        <w:t>recall</w:t>
      </w:r>
      <w:r>
        <w:rPr>
          <w:i w:val="0"/>
        </w:rPr>
        <w:t xml:space="preserve"> nėra bendras tikslumas.</w:t>
      </w:r>
    </w:p>
    <w:p>
      <w:r>
        <w:rPr>
          <w:i w:val="0"/>
        </w:rPr>
        <w:t xml:space="preserve">Prie šio užfiksuoto slenksčio </w:t>
      </w:r>
      <w:r>
        <w:rPr>
          <w:i/>
        </w:rPr>
        <w:t>precision</w:t>
      </w:r>
      <w:r>
        <w:rPr>
          <w:i w:val="0"/>
        </w:rPr>
        <w:t xml:space="preserve"> = 956 / (956 + 3 004) = 0,2414, </w:t>
      </w:r>
      <w:r>
        <w:rPr>
          <w:i/>
        </w:rPr>
        <w:t>recall</w:t>
      </w:r>
      <w:r>
        <w:rPr>
          <w:i w:val="0"/>
        </w:rPr>
        <w:t xml:space="preserve"> = 956 / (956 + 20) = 0,9795, F1 = 0,3874, o F2 = 0,6078. Didesnis F2 šiuo atveju nereiškia, kad modelis pagerėjo: abu balai apskaičiuoti iš tų pačių prognozių, tik F2 labiau vertina didelį </w:t>
      </w:r>
      <w:r>
        <w:rPr>
          <w:i/>
        </w:rPr>
        <w:t>recall</w:t>
      </w:r>
      <w:r>
        <w:rPr>
          <w:i w:val="0"/>
        </w:rPr>
        <w:t>.</w:t>
      </w:r>
    </w:p>
    <w:p>
      <w:pPr>
        <w:pStyle w:val="Caption"/>
        <w:keepNext/>
      </w:pPr>
      <w:r>
        <w:t>5 lentelė. To paties miško testo prognozės esant dviem iliustraciniams slenksčiams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134"/>
        <w:gridCol w:w="1134"/>
        <w:gridCol w:w="1134"/>
        <w:gridCol w:w="1134"/>
        <w:gridCol w:w="1134"/>
        <w:gridCol w:w="1134"/>
        <w:gridCol w:w="1134"/>
        <w:gridCol w:w="1134"/>
      </w:tblGrid>
      <w:tr>
        <w:trPr>
          <w:cantSplit/>
          <w:tblHeader/>
        </w:trPr>
        <w:tc>
          <w:tcPr>
            <w:tcW w:type="dxa" w:w="1439"/>
            <w:vAlign w:val="center"/>
            <w:shd w:fill="D9EAF7"/>
          </w:tcPr>
          <w:p>
            <w:pPr>
              <w:spacing w:line="240" w:lineRule="auto" w:after="80" w:before="80"/>
              <w:jc w:val="left"/>
            </w:pPr>
            <w:r>
              <w:rPr>
                <w:b/>
                <w:sz w:val="19"/>
              </w:rPr>
              <w:t>Slenkstis</w:t>
            </w:r>
          </w:p>
        </w:tc>
        <w:tc>
          <w:tcPr>
            <w:tcW w:type="dxa" w:w="876"/>
            <w:vAlign w:val="center"/>
            <w:shd w:fill="D9EAF7"/>
          </w:tcPr>
          <w:p>
            <w:pPr>
              <w:spacing w:line="240" w:lineRule="auto" w:after="80" w:before="80"/>
              <w:jc w:val="left"/>
            </w:pPr>
            <w:r>
              <w:rPr>
                <w:b/>
                <w:sz w:val="19"/>
              </w:rPr>
              <w:t>TP</w:t>
            </w:r>
          </w:p>
        </w:tc>
        <w:tc>
          <w:tcPr>
            <w:tcW w:type="dxa" w:w="1126"/>
            <w:vAlign w:val="center"/>
            <w:shd w:fill="D9EAF7"/>
          </w:tcPr>
          <w:p>
            <w:pPr>
              <w:spacing w:line="240" w:lineRule="auto" w:after="80" w:before="80"/>
              <w:jc w:val="left"/>
            </w:pPr>
            <w:r>
              <w:rPr>
                <w:b/>
                <w:sz w:val="19"/>
              </w:rPr>
              <w:t>FP</w:t>
            </w:r>
          </w:p>
        </w:tc>
        <w:tc>
          <w:tcPr>
            <w:tcW w:type="dxa" w:w="876"/>
            <w:vAlign w:val="center"/>
            <w:shd w:fill="D9EAF7"/>
          </w:tcPr>
          <w:p>
            <w:pPr>
              <w:spacing w:line="240" w:lineRule="auto" w:after="80" w:before="80"/>
              <w:jc w:val="left"/>
            </w:pPr>
            <w:r>
              <w:rPr>
                <w:b/>
                <w:sz w:val="19"/>
              </w:rPr>
              <w:t>FN</w:t>
            </w:r>
          </w:p>
        </w:tc>
        <w:tc>
          <w:tcPr>
            <w:tcW w:type="dxa" w:w="1501"/>
            <w:vAlign w:val="center"/>
            <w:shd w:fill="D9EAF7"/>
          </w:tcPr>
          <w:p>
            <w:pPr>
              <w:spacing w:line="240" w:lineRule="auto" w:after="80" w:before="80"/>
              <w:jc w:val="left"/>
            </w:pPr>
            <w:r>
              <w:rPr>
                <w:b/>
                <w:sz w:val="19"/>
              </w:rPr>
              <w:t>Precision</w:t>
            </w:r>
          </w:p>
        </w:tc>
        <w:tc>
          <w:tcPr>
            <w:tcW w:type="dxa" w:w="1251"/>
            <w:vAlign w:val="center"/>
            <w:shd w:fill="D9EAF7"/>
          </w:tcPr>
          <w:p>
            <w:pPr>
              <w:spacing w:line="240" w:lineRule="auto" w:after="80" w:before="80"/>
              <w:jc w:val="left"/>
            </w:pPr>
            <w:r>
              <w:rPr>
                <w:b/>
                <w:sz w:val="19"/>
              </w:rPr>
              <w:t>Recall</w:t>
            </w:r>
          </w:p>
        </w:tc>
        <w:tc>
          <w:tcPr>
            <w:tcW w:type="dxa" w:w="1001"/>
            <w:vAlign w:val="center"/>
            <w:shd w:fill="D9EAF7"/>
          </w:tcPr>
          <w:p>
            <w:pPr>
              <w:spacing w:line="240" w:lineRule="auto" w:after="80" w:before="80"/>
              <w:jc w:val="left"/>
            </w:pPr>
            <w:r>
              <w:rPr>
                <w:b/>
                <w:sz w:val="19"/>
              </w:rPr>
              <w:t>F1</w:t>
            </w:r>
          </w:p>
        </w:tc>
        <w:tc>
          <w:tcPr>
            <w:tcW w:type="dxa" w:w="1001"/>
            <w:vAlign w:val="center"/>
            <w:shd w:fill="D9EAF7"/>
          </w:tcPr>
          <w:p>
            <w:pPr>
              <w:spacing w:line="240" w:lineRule="auto" w:after="80" w:before="80"/>
              <w:jc w:val="left"/>
            </w:pPr>
            <w:r>
              <w:rPr>
                <w:b/>
                <w:sz w:val="19"/>
              </w:rPr>
              <w:t>F2</w:t>
            </w:r>
          </w:p>
        </w:tc>
      </w:tr>
      <w:tr>
        <w:trPr>
          <w:cantSplit/>
        </w:trPr>
        <w:tc>
          <w:tcPr>
            <w:tcW w:type="dxa" w:w="1439"/>
            <w:vAlign w:val="center"/>
          </w:tcPr>
          <w:p>
            <w:pPr>
              <w:spacing w:line="240" w:lineRule="auto" w:after="80" w:before="80"/>
              <w:jc w:val="left"/>
            </w:pPr>
            <w:r>
              <w:rPr>
                <w:sz w:val="19"/>
              </w:rPr>
              <w:t>0,03</w:t>
            </w:r>
          </w:p>
        </w:tc>
        <w:tc>
          <w:tcPr>
            <w:tcW w:type="dxa" w:w="876"/>
            <w:vAlign w:val="center"/>
          </w:tcPr>
          <w:p>
            <w:pPr>
              <w:spacing w:line="240" w:lineRule="auto" w:after="80" w:before="80"/>
              <w:jc w:val="left"/>
            </w:pPr>
            <w:r>
              <w:rPr>
                <w:sz w:val="19"/>
              </w:rPr>
              <w:t>956</w:t>
            </w:r>
          </w:p>
        </w:tc>
        <w:tc>
          <w:tcPr>
            <w:tcW w:type="dxa" w:w="1126"/>
            <w:vAlign w:val="center"/>
          </w:tcPr>
          <w:p>
            <w:pPr>
              <w:spacing w:line="240" w:lineRule="auto" w:after="80" w:before="80"/>
              <w:jc w:val="left"/>
            </w:pPr>
            <w:r>
              <w:rPr>
                <w:sz w:val="19"/>
              </w:rPr>
              <w:t>3 004</w:t>
            </w:r>
          </w:p>
        </w:tc>
        <w:tc>
          <w:tcPr>
            <w:tcW w:type="dxa" w:w="876"/>
            <w:vAlign w:val="center"/>
          </w:tcPr>
          <w:p>
            <w:pPr>
              <w:spacing w:line="240" w:lineRule="auto" w:after="80" w:before="80"/>
              <w:jc w:val="left"/>
            </w:pPr>
            <w:r>
              <w:rPr>
                <w:sz w:val="19"/>
              </w:rPr>
              <w:t>20</w:t>
            </w:r>
          </w:p>
        </w:tc>
        <w:tc>
          <w:tcPr>
            <w:tcW w:type="dxa" w:w="1501"/>
            <w:vAlign w:val="center"/>
          </w:tcPr>
          <w:p>
            <w:pPr>
              <w:spacing w:line="240" w:lineRule="auto" w:after="80" w:before="80"/>
              <w:jc w:val="left"/>
            </w:pPr>
            <w:r>
              <w:rPr>
                <w:sz w:val="19"/>
              </w:rPr>
              <w:t>0,2414</w:t>
            </w:r>
          </w:p>
        </w:tc>
        <w:tc>
          <w:tcPr>
            <w:tcW w:type="dxa" w:w="1251"/>
            <w:vAlign w:val="center"/>
          </w:tcPr>
          <w:p>
            <w:pPr>
              <w:spacing w:line="240" w:lineRule="auto" w:after="80" w:before="80"/>
              <w:jc w:val="left"/>
            </w:pPr>
            <w:r>
              <w:rPr>
                <w:sz w:val="19"/>
              </w:rPr>
              <w:t>0,9795</w:t>
            </w:r>
          </w:p>
        </w:tc>
        <w:tc>
          <w:tcPr>
            <w:tcW w:type="dxa" w:w="1001"/>
            <w:vAlign w:val="center"/>
          </w:tcPr>
          <w:p>
            <w:pPr>
              <w:spacing w:line="240" w:lineRule="auto" w:after="80" w:before="80"/>
              <w:jc w:val="left"/>
            </w:pPr>
            <w:r>
              <w:rPr>
                <w:sz w:val="19"/>
              </w:rPr>
              <w:t>0,3874</w:t>
            </w:r>
          </w:p>
        </w:tc>
        <w:tc>
          <w:tcPr>
            <w:tcW w:type="dxa" w:w="1001"/>
            <w:vAlign w:val="center"/>
          </w:tcPr>
          <w:p>
            <w:pPr>
              <w:spacing w:line="240" w:lineRule="auto" w:after="80" w:before="80"/>
              <w:jc w:val="left"/>
            </w:pPr>
            <w:r>
              <w:rPr>
                <w:sz w:val="19"/>
              </w:rPr>
              <w:t>0,6078</w:t>
            </w:r>
          </w:p>
        </w:tc>
      </w:tr>
      <w:tr>
        <w:trPr>
          <w:cantSplit/>
        </w:trPr>
        <w:tc>
          <w:tcPr>
            <w:tcW w:type="dxa" w:w="1439"/>
            <w:vAlign w:val="center"/>
          </w:tcPr>
          <w:p>
            <w:pPr>
              <w:spacing w:line="240" w:lineRule="auto" w:after="80" w:before="80"/>
              <w:jc w:val="left"/>
            </w:pPr>
            <w:r>
              <w:rPr>
                <w:sz w:val="19"/>
              </w:rPr>
              <w:t>0,10</w:t>
            </w:r>
          </w:p>
        </w:tc>
        <w:tc>
          <w:tcPr>
            <w:tcW w:type="dxa" w:w="876"/>
            <w:vAlign w:val="center"/>
          </w:tcPr>
          <w:p>
            <w:pPr>
              <w:spacing w:line="240" w:lineRule="auto" w:after="80" w:before="80"/>
              <w:jc w:val="left"/>
            </w:pPr>
            <w:r>
              <w:rPr>
                <w:sz w:val="19"/>
              </w:rPr>
              <w:t>857</w:t>
            </w:r>
          </w:p>
        </w:tc>
        <w:tc>
          <w:tcPr>
            <w:tcW w:type="dxa" w:w="1126"/>
            <w:vAlign w:val="center"/>
          </w:tcPr>
          <w:p>
            <w:pPr>
              <w:spacing w:line="240" w:lineRule="auto" w:after="80" w:before="80"/>
              <w:jc w:val="left"/>
            </w:pPr>
            <w:r>
              <w:rPr>
                <w:sz w:val="19"/>
              </w:rPr>
              <w:t>2 142</w:t>
            </w:r>
          </w:p>
        </w:tc>
        <w:tc>
          <w:tcPr>
            <w:tcW w:type="dxa" w:w="876"/>
            <w:vAlign w:val="center"/>
          </w:tcPr>
          <w:p>
            <w:pPr>
              <w:spacing w:line="240" w:lineRule="auto" w:after="80" w:before="80"/>
              <w:jc w:val="left"/>
            </w:pPr>
            <w:r>
              <w:rPr>
                <w:sz w:val="19"/>
              </w:rPr>
              <w:t>119</w:t>
            </w:r>
          </w:p>
        </w:tc>
        <w:tc>
          <w:tcPr>
            <w:tcW w:type="dxa" w:w="1501"/>
            <w:vAlign w:val="center"/>
          </w:tcPr>
          <w:p>
            <w:pPr>
              <w:spacing w:line="240" w:lineRule="auto" w:after="80" w:before="80"/>
              <w:jc w:val="left"/>
            </w:pPr>
            <w:r>
              <w:rPr>
                <w:sz w:val="19"/>
              </w:rPr>
              <w:t>0,2858</w:t>
            </w:r>
          </w:p>
        </w:tc>
        <w:tc>
          <w:tcPr>
            <w:tcW w:type="dxa" w:w="1251"/>
            <w:vAlign w:val="center"/>
          </w:tcPr>
          <w:p>
            <w:pPr>
              <w:spacing w:line="240" w:lineRule="auto" w:after="80" w:before="80"/>
              <w:jc w:val="left"/>
            </w:pPr>
            <w:r>
              <w:rPr>
                <w:sz w:val="19"/>
              </w:rPr>
              <w:t>0,8781</w:t>
            </w:r>
          </w:p>
        </w:tc>
        <w:tc>
          <w:tcPr>
            <w:tcW w:type="dxa" w:w="1001"/>
            <w:vAlign w:val="center"/>
          </w:tcPr>
          <w:p>
            <w:pPr>
              <w:spacing w:line="240" w:lineRule="auto" w:after="80" w:before="80"/>
              <w:jc w:val="left"/>
            </w:pPr>
            <w:r>
              <w:rPr>
                <w:sz w:val="19"/>
              </w:rPr>
              <w:t>0,4312</w:t>
            </w:r>
          </w:p>
        </w:tc>
        <w:tc>
          <w:tcPr>
            <w:tcW w:type="dxa" w:w="1001"/>
            <w:vAlign w:val="center"/>
          </w:tcPr>
          <w:p>
            <w:pPr>
              <w:spacing w:line="240" w:lineRule="auto" w:after="80" w:before="80"/>
              <w:jc w:val="left"/>
            </w:pPr>
            <w:r>
              <w:rPr>
                <w:sz w:val="19"/>
              </w:rPr>
              <w:t>0,6207</w:t>
            </w:r>
          </w:p>
        </w:tc>
      </w:tr>
    </w:tbl>
    <w:p>
      <w:pPr>
        <w:spacing w:after="0"/>
      </w:pPr>
    </w:p>
    <w:p>
      <w:r>
        <w:rPr>
          <w:i w:val="0"/>
        </w:rPr>
        <w:t>0,10 eilutė yra tik iliustracija, perskaičiuota pagal jau turimas testo tikimybes: keliant slenkstį sumažėja teigiamų prognozių, praleidžiama daugiau pirkimų, bet sumažėja nereikalingų kontaktų. Teste abiejų F reikšmių padidėjimas nesuteikia teisės pakeisti validacijoje nustatyto 0,03 slenksčio. Norint sąžiningai palyginti F1 ir F2 parenkamus slenksčius, juos reikia atskirai nustatyti išsaugotose validacijos prognozėse arba pakartotinai vykdant mokymą, o tada vieną kartą vertinti tame pačiame teste. Mūsų galutinė AP = 0,3411 nuo šių fiksuotų slenksčių nepriklauso.</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Validacijoje parinkto RF testo AP be PageValues buvo 0,3411, o su juo – 0,6715; Brier sumažėjo iki 0,1158. Pirmajame palyginime kartu keitėsi požymis ir validacijoje parinktas lapo dydis: be PageValues jis buvo 20, su juo – 5.</w:t>
      </w:r>
    </w:p>
    <w:p>
      <w:pPr>
        <w:pStyle w:val="Caption"/>
        <w:keepNext/>
      </w:pPr>
      <w:r>
        <w:t>6 lentelė. Fiksuotų RF parametrų PageValues abliacija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56"/>
            <w:vAlign w:val="center"/>
            <w:shd w:fill="D9EAF7"/>
          </w:tcPr>
          <w:p>
            <w:pPr>
              <w:spacing w:line="240" w:lineRule="auto" w:after="80" w:before="80"/>
              <w:jc w:val="left"/>
            </w:pPr>
            <w:r>
              <w:rPr>
                <w:b/>
                <w:sz w:val="19"/>
              </w:rPr>
              <w:t>Lapo dydis</w:t>
            </w:r>
          </w:p>
        </w:tc>
        <w:tc>
          <w:tcPr>
            <w:tcW w:type="dxa" w:w="2490"/>
            <w:vAlign w:val="center"/>
            <w:shd w:fill="D9EAF7"/>
          </w:tcPr>
          <w:p>
            <w:pPr>
              <w:spacing w:line="240" w:lineRule="auto" w:after="80" w:before="80"/>
              <w:jc w:val="left"/>
            </w:pPr>
            <w:r>
              <w:rPr>
                <w:b/>
                <w:sz w:val="19"/>
              </w:rPr>
              <w:t>PageValues</w:t>
            </w:r>
          </w:p>
        </w:tc>
        <w:tc>
          <w:tcPr>
            <w:tcW w:type="dxa" w:w="2490"/>
            <w:vAlign w:val="center"/>
            <w:shd w:fill="D9EAF7"/>
          </w:tcPr>
          <w:p>
            <w:pPr>
              <w:spacing w:line="240" w:lineRule="auto" w:after="80" w:before="80"/>
              <w:jc w:val="left"/>
            </w:pPr>
            <w:r>
              <w:rPr>
                <w:b/>
                <w:sz w:val="19"/>
              </w:rPr>
              <w:t>Validacijos AP</w:t>
            </w:r>
          </w:p>
        </w:tc>
        <w:tc>
          <w:tcPr>
            <w:tcW w:type="dxa" w:w="2134"/>
            <w:vAlign w:val="center"/>
            <w:shd w:fill="D9EAF7"/>
          </w:tcPr>
          <w:p>
            <w:pPr>
              <w:spacing w:line="240" w:lineRule="auto" w:after="80" w:before="80"/>
              <w:jc w:val="left"/>
            </w:pPr>
            <w:r>
              <w:rPr>
                <w:b/>
                <w:sz w:val="19"/>
              </w:rPr>
              <w:t>Testo AP</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0,3063</w:t>
            </w:r>
          </w:p>
        </w:tc>
        <w:tc>
          <w:tcPr>
            <w:tcW w:type="dxa" w:w="2134"/>
            <w:vAlign w:val="center"/>
          </w:tcPr>
          <w:p>
            <w:pPr>
              <w:spacing w:line="240" w:lineRule="auto" w:after="80" w:before="80"/>
              <w:jc w:val="left"/>
            </w:pPr>
            <w:r>
              <w:rPr>
                <w:sz w:val="19"/>
              </w:rPr>
              <w:t>0,3345</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0,7070</w:t>
            </w:r>
          </w:p>
        </w:tc>
        <w:tc>
          <w:tcPr>
            <w:tcW w:type="dxa" w:w="2134"/>
            <w:vAlign w:val="center"/>
          </w:tcPr>
          <w:p>
            <w:pPr>
              <w:spacing w:line="240" w:lineRule="auto" w:after="80" w:before="80"/>
              <w:jc w:val="left"/>
            </w:pPr>
            <w:r>
              <w:rPr>
                <w:sz w:val="19"/>
              </w:rPr>
              <w:t>0,6715</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0,3070</w:t>
            </w:r>
          </w:p>
        </w:tc>
        <w:tc>
          <w:tcPr>
            <w:tcW w:type="dxa" w:w="2134"/>
            <w:vAlign w:val="center"/>
          </w:tcPr>
          <w:p>
            <w:pPr>
              <w:spacing w:line="240" w:lineRule="auto" w:after="80" w:before="80"/>
              <w:jc w:val="left"/>
            </w:pPr>
            <w:r>
              <w:rPr>
                <w:sz w:val="19"/>
              </w:rPr>
              <w:t>0,3411</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0,6904</w:t>
            </w:r>
          </w:p>
        </w:tc>
        <w:tc>
          <w:tcPr>
            <w:tcW w:type="dxa" w:w="2134"/>
            <w:vAlign w:val="center"/>
          </w:tcPr>
          <w:p>
            <w:pPr>
              <w:spacing w:line="240" w:lineRule="auto" w:after="80" w:before="80"/>
              <w:jc w:val="left"/>
            </w:pPr>
            <w:r>
              <w:rPr>
                <w:sz w:val="19"/>
              </w:rPr>
              <w:t>0,6611</w:t>
            </w:r>
          </w:p>
        </w:tc>
      </w:tr>
    </w:tbl>
    <w:p>
      <w:pPr>
        <w:spacing w:after="0"/>
      </w:pPr>
    </w:p>
    <w:p>
      <w:r>
        <w:rPr>
          <w:i w:val="0"/>
        </w:rPr>
        <w:t>Fiksuojant lapo dydį 20, testo AP padidėja nuo 0,3411 iki 0,6611; fiksuojant 5 – nuo 0,3345 iki 0,6715. Taigi stiprus signalas išlieka ir nekeičiant šio parametro. Testas nenaudotas variantui pasirinkti. Abliacija atlikta po pirminės testo analizės, todėl yra tiriamoji, o ne naujas nepriklausomas patvirtinimas. Rezultatas neįrodo nei nutekėjimo, nei PageValues prieinamumo realiu laiku; būtina patikrinti jo skaičiavimo langą. Pagrindinė išvada lieka paremta variantu be šio požymio.</w:t>
      </w:r>
    </w:p>
    <w:p>
      <w:pPr>
        <w:pStyle w:val="Heading2"/>
      </w:pPr>
      <w:r>
        <w:t>6.2. Trūkstamų reikšmių atsparumas</w:t>
      </w:r>
    </w:p>
    <w:p>
      <w:pPr>
        <w:pStyle w:val="Caption"/>
        <w:keepNext/>
      </w:pPr>
      <w:r>
        <w:t>7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rPr>
          <w:cantSplit/>
        </w:trP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rPr>
          <w:cantSplit/>
        </w:trP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rPr>
          <w:cantSplit/>
        </w:trP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Iš anksto pasirinktas 10 % skaitinių langelių paslėpimas yra kontroliuojamas atsparumo scenarijus, ne realaus diegimo trūkumo dažnio įvertis. Ta pati atsitiktinė kaukė taikyta visiems pagrindiniams modeliams; dėl atsitiktinės atrankos faktiškai paslėpta 4 197 iš 42 525 langelių, arba 9,87 %. Tikslas – patikrinti vidutinio masto atsitiktinių trūkumų poveikį. Bandymas neapima viso stulpelio dingimo, sisteminio trūkumo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8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rPr>
          <w:cantSplit/>
        </w:trP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rPr>
          <w:cantSplit/>
        </w:trP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rPr>
          <w:cantSplit/>
        </w:trP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rPr>
          <w:cantSplit/>
        </w:trP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2"/>
      </w:pPr>
      <w:r>
        <w:t>6.4. Tiriamasis rezultato gerinimas po pradinio testo</w:t>
      </w:r>
    </w:p>
    <w:p>
      <w:r>
        <w:rPr>
          <w:i w:val="0"/>
        </w:rPr>
        <w:t>Pradinė seka: pastovios atskaitos AP = 0,2066, LR = 0,3336, RF = 0,3411, GB = 0,3392. RF persvara prieš LR tėra 0,0076, todėl po šio rezultato atskirai tikrinta, ar mažas RF parametrų pakeitimas arba literatūroje taikomas XGBoost pagerintų rangavimą. Tai post-test exploratory improvement experiment, ne pradinės H1 dalis. Visuose variantuose PageValues nenaudotas, paruošimas ir modelis mokyti tik train, kandidatas parinktas pagal validation AP, slenkstis pagal validation F2; tik tada vieną kartą įvertintas pasirinktas kiekvienos šeimos variantas teste.</w:t>
      </w:r>
    </w:p>
    <w:p>
      <w:r>
        <w:rPr>
          <w:i w:val="0"/>
        </w:rPr>
        <w:t>RF iš anksto apibrėžtame papildomame tinkle min_samples_leaf = 20, max_depth ∈ {be ribos; 8}, max_features ∈ {sqrt; 0,5}. XGBoost tinkle 150 medžių, learning_rate = 0,05, max_depth ∈ {3; 5}, scale_pos_weight ∈ {1; 8,04}; 8,04 yra tik train neigiamų ir teigiamų sesijų santykis. Šie maži tinklai riboja skaičiavimą; optimalumo neįrodo. Visi kandidatai išsaugoti results/improvement_experiments.csv.</w:t>
      </w:r>
    </w:p>
    <w:p>
      <w:pPr>
        <w:pStyle w:val="Caption"/>
        <w:keepNext/>
      </w:pPr>
      <w:r>
        <w:t>9 lentelė. Papildomų variantų validacijos AP</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4199"/>
            <w:vAlign w:val="center"/>
            <w:shd w:fill="D9EAF7"/>
          </w:tcPr>
          <w:p>
            <w:pPr>
              <w:spacing w:line="240" w:lineRule="auto" w:after="80" w:before="80"/>
              <w:jc w:val="left"/>
            </w:pPr>
            <w:r>
              <w:rPr>
                <w:b/>
                <w:sz w:val="19"/>
              </w:rPr>
              <w:t>Metodas ir parametrai</w:t>
            </w:r>
          </w:p>
        </w:tc>
        <w:tc>
          <w:tcPr>
            <w:tcW w:type="dxa" w:w="2016"/>
            <w:vAlign w:val="center"/>
            <w:shd w:fill="D9EAF7"/>
          </w:tcPr>
          <w:p>
            <w:pPr>
              <w:spacing w:line="240" w:lineRule="auto" w:after="80" w:before="80"/>
              <w:jc w:val="left"/>
            </w:pPr>
            <w:r>
              <w:rPr>
                <w:b/>
                <w:sz w:val="19"/>
              </w:rPr>
              <w:t>Validacijos AP</w:t>
            </w:r>
          </w:p>
        </w:tc>
        <w:tc>
          <w:tcPr>
            <w:tcW w:type="dxa" w:w="1344"/>
            <w:vAlign w:val="center"/>
            <w:shd w:fill="D9EAF7"/>
          </w:tcPr>
          <w:p>
            <w:pPr>
              <w:spacing w:line="240" w:lineRule="auto" w:after="80" w:before="80"/>
              <w:jc w:val="left"/>
            </w:pPr>
            <w:r>
              <w:rPr>
                <w:b/>
                <w:sz w:val="19"/>
              </w:rPr>
              <w:t>Parinktas</w:t>
            </w:r>
          </w:p>
        </w:tc>
        <w:tc>
          <w:tcPr>
            <w:tcW w:type="dxa" w:w="1512"/>
            <w:vAlign w:val="center"/>
            <w:shd w:fill="D9EAF7"/>
          </w:tcPr>
          <w:p>
            <w:pPr>
              <w:spacing w:line="240" w:lineRule="auto" w:after="80" w:before="80"/>
              <w:jc w:val="left"/>
            </w:pPr>
            <w:r>
              <w:rPr>
                <w:b/>
                <w:sz w:val="19"/>
              </w:rPr>
              <w:t>Testo AP</w:t>
            </w:r>
          </w:p>
        </w:tc>
      </w:tr>
      <w:tr>
        <w:trPr>
          <w:cantSplit/>
        </w:trPr>
        <w:tc>
          <w:tcPr>
            <w:tcW w:type="dxa" w:w="4199"/>
            <w:vAlign w:val="center"/>
          </w:tcPr>
          <w:p>
            <w:pPr>
              <w:spacing w:line="240" w:lineRule="auto" w:after="80" w:before="80"/>
              <w:jc w:val="left"/>
            </w:pPr>
            <w:r>
              <w:rPr>
                <w:sz w:val="19"/>
              </w:rPr>
              <w:t>RF: gylis ∞, pož. sqrt</w:t>
            </w:r>
          </w:p>
        </w:tc>
        <w:tc>
          <w:tcPr>
            <w:tcW w:type="dxa" w:w="2016"/>
            <w:vAlign w:val="center"/>
          </w:tcPr>
          <w:p>
            <w:pPr>
              <w:spacing w:line="240" w:lineRule="auto" w:after="80" w:before="80"/>
              <w:jc w:val="left"/>
            </w:pPr>
            <w:r>
              <w:rPr>
                <w:sz w:val="19"/>
              </w:rPr>
              <w:t>0,3070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 pož. 0,5</w:t>
            </w:r>
          </w:p>
        </w:tc>
        <w:tc>
          <w:tcPr>
            <w:tcW w:type="dxa" w:w="2016"/>
            <w:vAlign w:val="center"/>
          </w:tcPr>
          <w:p>
            <w:pPr>
              <w:spacing w:line="240" w:lineRule="auto" w:after="80" w:before="80"/>
              <w:jc w:val="left"/>
            </w:pPr>
            <w:r>
              <w:rPr>
                <w:sz w:val="19"/>
              </w:rPr>
              <w:t>0,3073</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0,3297</w:t>
            </w:r>
          </w:p>
        </w:tc>
      </w:tr>
      <w:tr>
        <w:trPr>
          <w:cantSplit/>
        </w:trPr>
        <w:tc>
          <w:tcPr>
            <w:tcW w:type="dxa" w:w="4199"/>
            <w:vAlign w:val="center"/>
          </w:tcPr>
          <w:p>
            <w:pPr>
              <w:spacing w:line="240" w:lineRule="auto" w:after="80" w:before="80"/>
              <w:jc w:val="left"/>
            </w:pPr>
            <w:r>
              <w:rPr>
                <w:sz w:val="19"/>
              </w:rPr>
              <w:t>RF: gylis 8, pož. sqrt</w:t>
            </w:r>
          </w:p>
        </w:tc>
        <w:tc>
          <w:tcPr>
            <w:tcW w:type="dxa" w:w="2016"/>
            <w:vAlign w:val="center"/>
          </w:tcPr>
          <w:p>
            <w:pPr>
              <w:spacing w:line="240" w:lineRule="auto" w:after="80" w:before="80"/>
              <w:jc w:val="left"/>
            </w:pPr>
            <w:r>
              <w:rPr>
                <w:sz w:val="19"/>
              </w:rPr>
              <w:t>0,3034</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RF: gylis 8, pož. 0,5</w:t>
            </w:r>
          </w:p>
        </w:tc>
        <w:tc>
          <w:tcPr>
            <w:tcW w:type="dxa" w:w="2016"/>
            <w:vAlign w:val="center"/>
          </w:tcPr>
          <w:p>
            <w:pPr>
              <w:spacing w:line="240" w:lineRule="auto" w:after="80" w:before="80"/>
              <w:jc w:val="left"/>
            </w:pPr>
            <w:r>
              <w:rPr>
                <w:sz w:val="19"/>
              </w:rPr>
              <w:t>0,3041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1</w:t>
            </w:r>
          </w:p>
        </w:tc>
        <w:tc>
          <w:tcPr>
            <w:tcW w:type="dxa" w:w="2016"/>
            <w:vAlign w:val="center"/>
          </w:tcPr>
          <w:p>
            <w:pPr>
              <w:spacing w:line="240" w:lineRule="auto" w:after="80" w:before="80"/>
              <w:jc w:val="left"/>
            </w:pPr>
            <w:r>
              <w:rPr>
                <w:sz w:val="19"/>
              </w:rPr>
              <w:t>0,2760</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3, svoris 8,04</w:t>
            </w:r>
          </w:p>
        </w:tc>
        <w:tc>
          <w:tcPr>
            <w:tcW w:type="dxa" w:w="2016"/>
            <w:vAlign w:val="center"/>
          </w:tcPr>
          <w:p>
            <w:pPr>
              <w:spacing w:line="240" w:lineRule="auto" w:after="80" w:before="80"/>
              <w:jc w:val="left"/>
            </w:pPr>
            <w:r>
              <w:rPr>
                <w:sz w:val="19"/>
              </w:rPr>
              <w:t>0,2817</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1</w:t>
            </w:r>
          </w:p>
        </w:tc>
        <w:tc>
          <w:tcPr>
            <w:tcW w:type="dxa" w:w="2016"/>
            <w:vAlign w:val="center"/>
          </w:tcPr>
          <w:p>
            <w:pPr>
              <w:spacing w:line="240" w:lineRule="auto" w:after="80" w:before="80"/>
              <w:jc w:val="left"/>
            </w:pPr>
            <w:r>
              <w:rPr>
                <w:sz w:val="19"/>
              </w:rPr>
              <w:t>0,2801</w:t>
            </w:r>
          </w:p>
        </w:tc>
        <w:tc>
          <w:tcPr>
            <w:tcW w:type="dxa" w:w="1344"/>
            <w:vAlign w:val="center"/>
          </w:tcPr>
          <w:p>
            <w:pPr>
              <w:spacing w:line="240" w:lineRule="auto" w:after="80" w:before="80"/>
              <w:jc w:val="left"/>
            </w:pPr>
            <w:r>
              <w:rPr>
                <w:sz w:val="19"/>
              </w:rPr>
              <w:t>Ne</w:t>
            </w:r>
          </w:p>
        </w:tc>
        <w:tc>
          <w:tcPr>
            <w:tcW w:type="dxa" w:w="1512"/>
            <w:vAlign w:val="center"/>
          </w:tcPr>
          <w:p>
            <w:pPr>
              <w:spacing w:line="240" w:lineRule="auto" w:after="80" w:before="80"/>
              <w:jc w:val="left"/>
            </w:pPr>
            <w:r>
              <w:rPr>
                <w:sz w:val="19"/>
              </w:rPr>
              <w:t>—</w:t>
            </w:r>
          </w:p>
        </w:tc>
      </w:tr>
      <w:tr>
        <w:trPr>
          <w:cantSplit/>
        </w:trPr>
        <w:tc>
          <w:tcPr>
            <w:tcW w:type="dxa" w:w="4199"/>
            <w:vAlign w:val="center"/>
          </w:tcPr>
          <w:p>
            <w:pPr>
              <w:spacing w:line="240" w:lineRule="auto" w:after="80" w:before="80"/>
              <w:jc w:val="left"/>
            </w:pPr>
            <w:r>
              <w:rPr>
                <w:sz w:val="19"/>
              </w:rPr>
              <w:t>XGB: gylis 5, svoris 8,04</w:t>
            </w:r>
          </w:p>
        </w:tc>
        <w:tc>
          <w:tcPr>
            <w:tcW w:type="dxa" w:w="2016"/>
            <w:vAlign w:val="center"/>
          </w:tcPr>
          <w:p>
            <w:pPr>
              <w:spacing w:line="240" w:lineRule="auto" w:after="80" w:before="80"/>
              <w:jc w:val="left"/>
            </w:pPr>
            <w:r>
              <w:rPr>
                <w:sz w:val="19"/>
              </w:rPr>
              <w:t>0,2830</w:t>
            </w:r>
          </w:p>
        </w:tc>
        <w:tc>
          <w:tcPr>
            <w:tcW w:type="dxa" w:w="1344"/>
            <w:vAlign w:val="center"/>
          </w:tcPr>
          <w:p>
            <w:pPr>
              <w:spacing w:line="240" w:lineRule="auto" w:after="80" w:before="80"/>
              <w:jc w:val="left"/>
            </w:pPr>
            <w:r>
              <w:rPr>
                <w:sz w:val="19"/>
              </w:rPr>
              <w:t>Taip</w:t>
            </w:r>
          </w:p>
        </w:tc>
        <w:tc>
          <w:tcPr>
            <w:tcW w:type="dxa" w:w="1512"/>
            <w:vAlign w:val="center"/>
          </w:tcPr>
          <w:p>
            <w:pPr>
              <w:spacing w:line="240" w:lineRule="auto" w:after="80" w:before="80"/>
              <w:jc w:val="left"/>
            </w:pPr>
            <w:r>
              <w:rPr>
                <w:sz w:val="19"/>
              </w:rPr>
              <w:t>0,3324</w:t>
            </w:r>
          </w:p>
        </w:tc>
      </w:tr>
    </w:tbl>
    <w:p>
      <w:pPr>
        <w:spacing w:after="0"/>
      </w:pPr>
    </w:p>
    <w:p>
      <w:r>
        <w:rPr>
          <w:i w:val="0"/>
        </w:rPr>
        <w:t>Brūkšnys reiškia, kad papildomame palyginime neparinkto kandidato testas neskaičiuotas; pradinio RF rezultatas jau buvo žinomas iš pagrindinio eksperimento. Kiekvienos šeimos validacijos laimėtojui slenkstis nustatytas validacijoje, ne teste.</w:t>
      </w:r>
    </w:p>
    <w:p>
      <w:pPr>
        <w:pStyle w:val="Caption"/>
        <w:keepNext/>
      </w:pPr>
      <w:r>
        <w:t>10 lentelė. Parinktų tiriamųjų variantų testinės metrikos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296"/>
        <w:gridCol w:w="1296"/>
        <w:gridCol w:w="1296"/>
        <w:gridCol w:w="1296"/>
        <w:gridCol w:w="1296"/>
        <w:gridCol w:w="1296"/>
        <w:gridCol w:w="1296"/>
      </w:tblGrid>
      <w:tr>
        <w:trPr>
          <w:cantSplit/>
          <w:tblHeader/>
        </w:trPr>
        <w:tc>
          <w:tcPr>
            <w:tcW w:type="dxa" w:w="2073"/>
            <w:vAlign w:val="center"/>
            <w:shd w:fill="D9EAF7"/>
          </w:tcPr>
          <w:p>
            <w:pPr>
              <w:spacing w:line="240" w:lineRule="auto" w:after="80" w:before="80"/>
              <w:jc w:val="left"/>
            </w:pPr>
            <w:r>
              <w:rPr>
                <w:b/>
                <w:sz w:val="19"/>
              </w:rPr>
              <w:t>Variantas</w:t>
            </w:r>
          </w:p>
        </w:tc>
        <w:tc>
          <w:tcPr>
            <w:tcW w:type="dxa" w:w="1037"/>
            <w:vAlign w:val="center"/>
            <w:shd w:fill="D9EAF7"/>
          </w:tcPr>
          <w:p>
            <w:pPr>
              <w:spacing w:line="240" w:lineRule="auto" w:after="80" w:before="80"/>
              <w:jc w:val="left"/>
            </w:pPr>
            <w:r>
              <w:rPr>
                <w:b/>
                <w:sz w:val="19"/>
              </w:rPr>
              <w:t>AP</w:t>
            </w:r>
          </w:p>
        </w:tc>
        <w:tc>
          <w:tcPr>
            <w:tcW w:type="dxa" w:w="1166"/>
            <w:vAlign w:val="center"/>
            <w:shd w:fill="D9EAF7"/>
          </w:tcPr>
          <w:p>
            <w:pPr>
              <w:spacing w:line="240" w:lineRule="auto" w:after="80" w:before="80"/>
              <w:jc w:val="left"/>
            </w:pPr>
            <w:r>
              <w:rPr>
                <w:b/>
                <w:sz w:val="19"/>
              </w:rPr>
              <w:t>Brier</w:t>
            </w:r>
          </w:p>
        </w:tc>
        <w:tc>
          <w:tcPr>
            <w:tcW w:type="dxa" w:w="1296"/>
            <w:vAlign w:val="center"/>
            <w:shd w:fill="D9EAF7"/>
          </w:tcPr>
          <w:p>
            <w:pPr>
              <w:spacing w:line="240" w:lineRule="auto" w:after="80" w:before="80"/>
              <w:jc w:val="left"/>
            </w:pPr>
            <w:r>
              <w:rPr>
                <w:b/>
                <w:sz w:val="19"/>
              </w:rPr>
              <w:t>Precision</w:t>
            </w:r>
          </w:p>
        </w:tc>
        <w:tc>
          <w:tcPr>
            <w:tcW w:type="dxa" w:w="1166"/>
            <w:vAlign w:val="center"/>
            <w:shd w:fill="D9EAF7"/>
          </w:tcPr>
          <w:p>
            <w:pPr>
              <w:spacing w:line="240" w:lineRule="auto" w:after="80" w:before="80"/>
              <w:jc w:val="left"/>
            </w:pPr>
            <w:r>
              <w:rPr>
                <w:b/>
                <w:sz w:val="19"/>
              </w:rPr>
              <w:t>Recall</w:t>
            </w:r>
          </w:p>
        </w:tc>
        <w:tc>
          <w:tcPr>
            <w:tcW w:type="dxa" w:w="1037"/>
            <w:vAlign w:val="center"/>
            <w:shd w:fill="D9EAF7"/>
          </w:tcPr>
          <w:p>
            <w:pPr>
              <w:spacing w:line="240" w:lineRule="auto" w:after="80" w:before="80"/>
              <w:jc w:val="left"/>
            </w:pPr>
            <w:r>
              <w:rPr>
                <w:b/>
                <w:sz w:val="19"/>
              </w:rPr>
              <w:t>F2</w:t>
            </w:r>
          </w:p>
        </w:tc>
        <w:tc>
          <w:tcPr>
            <w:tcW w:type="dxa" w:w="1296"/>
            <w:vAlign w:val="center"/>
            <w:shd w:fill="D9EAF7"/>
          </w:tcPr>
          <w:p>
            <w:pPr>
              <w:spacing w:line="240" w:lineRule="auto" w:after="80" w:before="80"/>
              <w:jc w:val="left"/>
            </w:pPr>
            <w:r>
              <w:rPr>
                <w:b/>
                <w:sz w:val="19"/>
              </w:rPr>
              <w:t>Log loss</w:t>
            </w:r>
          </w:p>
        </w:tc>
      </w:tr>
      <w:tr>
        <w:trPr>
          <w:cantSplit/>
        </w:trPr>
        <w:tc>
          <w:tcPr>
            <w:tcW w:type="dxa" w:w="2073"/>
            <w:vAlign w:val="center"/>
          </w:tcPr>
          <w:p>
            <w:pPr>
              <w:spacing w:line="240" w:lineRule="auto" w:after="80" w:before="80"/>
              <w:jc w:val="left"/>
            </w:pPr>
            <w:r>
              <w:rPr>
                <w:sz w:val="19"/>
              </w:rPr>
              <w:t>RF variantas</w:t>
            </w:r>
          </w:p>
        </w:tc>
        <w:tc>
          <w:tcPr>
            <w:tcW w:type="dxa" w:w="1037"/>
            <w:vAlign w:val="center"/>
          </w:tcPr>
          <w:p>
            <w:pPr>
              <w:spacing w:line="240" w:lineRule="auto" w:after="80" w:before="80"/>
              <w:jc w:val="left"/>
            </w:pPr>
            <w:r>
              <w:rPr>
                <w:sz w:val="19"/>
              </w:rPr>
              <w:t>0,3297</w:t>
            </w:r>
          </w:p>
        </w:tc>
        <w:tc>
          <w:tcPr>
            <w:tcW w:type="dxa" w:w="1166"/>
            <w:vAlign w:val="center"/>
          </w:tcPr>
          <w:p>
            <w:pPr>
              <w:spacing w:line="240" w:lineRule="auto" w:after="80" w:before="80"/>
              <w:jc w:val="left"/>
            </w:pPr>
            <w:r>
              <w:rPr>
                <w:sz w:val="19"/>
              </w:rPr>
              <w:t>0,1586</w:t>
            </w:r>
          </w:p>
        </w:tc>
        <w:tc>
          <w:tcPr>
            <w:tcW w:type="dxa" w:w="1296"/>
            <w:vAlign w:val="center"/>
          </w:tcPr>
          <w:p>
            <w:pPr>
              <w:spacing w:line="240" w:lineRule="auto" w:after="80" w:before="80"/>
              <w:jc w:val="left"/>
            </w:pPr>
            <w:r>
              <w:rPr>
                <w:sz w:val="19"/>
              </w:rPr>
              <w:t>0,2428</w:t>
            </w:r>
          </w:p>
        </w:tc>
        <w:tc>
          <w:tcPr>
            <w:tcW w:type="dxa" w:w="1166"/>
            <w:vAlign w:val="center"/>
          </w:tcPr>
          <w:p>
            <w:pPr>
              <w:spacing w:line="240" w:lineRule="auto" w:after="80" w:before="80"/>
              <w:jc w:val="left"/>
            </w:pPr>
            <w:r>
              <w:rPr>
                <w:sz w:val="19"/>
              </w:rPr>
              <w:t>0,9764</w:t>
            </w:r>
          </w:p>
        </w:tc>
        <w:tc>
          <w:tcPr>
            <w:tcW w:type="dxa" w:w="1037"/>
            <w:vAlign w:val="center"/>
          </w:tcPr>
          <w:p>
            <w:pPr>
              <w:spacing w:line="240" w:lineRule="auto" w:after="80" w:before="80"/>
              <w:jc w:val="left"/>
            </w:pPr>
            <w:r>
              <w:rPr>
                <w:sz w:val="19"/>
              </w:rPr>
              <w:t>0,6086</w:t>
            </w:r>
          </w:p>
        </w:tc>
        <w:tc>
          <w:tcPr>
            <w:tcW w:type="dxa" w:w="1296"/>
            <w:vAlign w:val="center"/>
          </w:tcPr>
          <w:p>
            <w:pPr>
              <w:spacing w:line="240" w:lineRule="auto" w:after="80" w:before="80"/>
              <w:jc w:val="left"/>
            </w:pPr>
            <w:r>
              <w:rPr>
                <w:sz w:val="19"/>
              </w:rPr>
              <w:t>0,4972</w:t>
            </w:r>
          </w:p>
        </w:tc>
      </w:tr>
      <w:tr>
        <w:trPr>
          <w:cantSplit/>
        </w:trPr>
        <w:tc>
          <w:tcPr>
            <w:tcW w:type="dxa" w:w="2073"/>
            <w:vAlign w:val="center"/>
          </w:tcPr>
          <w:p>
            <w:pPr>
              <w:spacing w:line="240" w:lineRule="auto" w:after="80" w:before="80"/>
              <w:jc w:val="left"/>
            </w:pPr>
            <w:r>
              <w:rPr>
                <w:sz w:val="19"/>
              </w:rPr>
              <w:t>XGBoost</w:t>
            </w:r>
          </w:p>
        </w:tc>
        <w:tc>
          <w:tcPr>
            <w:tcW w:type="dxa" w:w="1037"/>
            <w:vAlign w:val="center"/>
          </w:tcPr>
          <w:p>
            <w:pPr>
              <w:spacing w:line="240" w:lineRule="auto" w:after="80" w:before="80"/>
              <w:jc w:val="left"/>
            </w:pPr>
            <w:r>
              <w:rPr>
                <w:sz w:val="19"/>
              </w:rPr>
              <w:t>0,3324</w:t>
            </w:r>
          </w:p>
        </w:tc>
        <w:tc>
          <w:tcPr>
            <w:tcW w:type="dxa" w:w="1166"/>
            <w:vAlign w:val="center"/>
          </w:tcPr>
          <w:p>
            <w:pPr>
              <w:spacing w:line="240" w:lineRule="auto" w:after="80" w:before="80"/>
              <w:jc w:val="left"/>
            </w:pPr>
            <w:r>
              <w:rPr>
                <w:sz w:val="19"/>
              </w:rPr>
              <w:t>0,2185</w:t>
            </w:r>
          </w:p>
        </w:tc>
        <w:tc>
          <w:tcPr>
            <w:tcW w:type="dxa" w:w="1296"/>
            <w:vAlign w:val="center"/>
          </w:tcPr>
          <w:p>
            <w:pPr>
              <w:spacing w:line="240" w:lineRule="auto" w:after="80" w:before="80"/>
              <w:jc w:val="left"/>
            </w:pPr>
            <w:r>
              <w:rPr>
                <w:sz w:val="19"/>
              </w:rPr>
              <w:t>0,2329</w:t>
            </w:r>
          </w:p>
        </w:tc>
        <w:tc>
          <w:tcPr>
            <w:tcW w:type="dxa" w:w="1166"/>
            <w:vAlign w:val="center"/>
          </w:tcPr>
          <w:p>
            <w:pPr>
              <w:spacing w:line="240" w:lineRule="auto" w:after="80" w:before="80"/>
              <w:jc w:val="left"/>
            </w:pPr>
            <w:r>
              <w:rPr>
                <w:sz w:val="19"/>
              </w:rPr>
              <w:t>0,9826</w:t>
            </w:r>
          </w:p>
        </w:tc>
        <w:tc>
          <w:tcPr>
            <w:tcW w:type="dxa" w:w="1037"/>
            <w:vAlign w:val="center"/>
          </w:tcPr>
          <w:p>
            <w:pPr>
              <w:spacing w:line="240" w:lineRule="auto" w:after="80" w:before="80"/>
              <w:jc w:val="left"/>
            </w:pPr>
            <w:r>
              <w:rPr>
                <w:sz w:val="19"/>
              </w:rPr>
              <w:t>0,5977</w:t>
            </w:r>
          </w:p>
        </w:tc>
        <w:tc>
          <w:tcPr>
            <w:tcW w:type="dxa" w:w="1296"/>
            <w:vAlign w:val="center"/>
          </w:tcPr>
          <w:p>
            <w:pPr>
              <w:spacing w:line="240" w:lineRule="auto" w:after="80" w:before="80"/>
              <w:jc w:val="left"/>
            </w:pPr>
            <w:r>
              <w:rPr>
                <w:sz w:val="19"/>
              </w:rPr>
              <w:t>0,6147</w:t>
            </w:r>
          </w:p>
        </w:tc>
      </w:tr>
    </w:tbl>
    <w:p>
      <w:pPr>
        <w:spacing w:after="0"/>
      </w:pPr>
    </w:p>
    <w:p>
      <w:pPr>
        <w:keepNext/>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improvement_comparison.png"/>
                    <pic:cNvPicPr/>
                  </pic:nvPicPr>
                  <pic:blipFill>
                    <a:blip r:embed="rId15"/>
                    <a:stretch>
                      <a:fillRect/>
                    </a:stretch>
                  </pic:blipFill>
                  <pic:spPr>
                    <a:xfrm>
                      <a:off x="0" y="0"/>
                      <a:ext cx="5220000" cy="2610000"/>
                    </a:xfrm>
                    <a:prstGeom prst="rect"/>
                  </pic:spPr>
                </pic:pic>
              </a:graphicData>
            </a:graphic>
          </wp:inline>
        </w:drawing>
      </w:r>
    </w:p>
    <w:p>
      <w:pPr>
        <w:pStyle w:val="Caption"/>
        <w:keepNext w:val="0"/>
        <w:jc w:val="center"/>
      </w:pPr>
      <w:r>
        <w:t>5 pav. Pagrindinių ir tiriamųjų variantų testo AP; nauji variantai nėra nepriklausomai patvirtinti</w:t>
      </w:r>
    </w:p>
    <w:p>
      <w:r>
        <w:rPr>
          <w:i w:val="0"/>
        </w:rPr>
        <w:t xml:space="preserve">Pagal validaciją parinktas RF variantas teste neviršijo pradinio RF (0,3297 prieš 0,3411). XGBoost taip pat neviršijo jo (0,3324), o jo Brier ir log loss buvo blogesni. RF variantas šiek tiek pakeitė </w:t>
      </w:r>
      <w:r>
        <w:rPr>
          <w:i/>
        </w:rPr>
        <w:t>precision</w:t>
      </w:r>
      <w:r>
        <w:rPr>
          <w:i w:val="0"/>
        </w:rPr>
        <w:t xml:space="preserve">, </w:t>
      </w:r>
      <w:r>
        <w:rPr>
          <w:i/>
        </w:rPr>
        <w:t>recall</w:t>
      </w:r>
      <w:r>
        <w:rPr>
          <w:i w:val="0"/>
        </w:rPr>
        <w:t xml:space="preserve"> ir F2 kompromisą, bet aiškaus rangavimo pagerėjimo nėra. Skirtingų šeimų negalima paskelbti laimėtojais renkantis pagal jau žinomą testą. Net jei naujas skaičius būtų didesnis, tai būtų tiriamoji, o ne nauja nepriklausoma generalizacijos patikra; jai reikia būsimo arba iki tol neliesto holdout laikotarpio.</w:t>
      </w:r>
    </w:p>
    <w:p>
      <w:pPr>
        <w:pStyle w:val="Heading2"/>
      </w:pPr>
      <w:r>
        <w:t>6.5. Išplėstinis hiperparametrų tyrimas</w:t>
      </w:r>
    </w:p>
    <w:p>
      <w:r>
        <w:rPr>
          <w:i w:val="0"/>
        </w:rPr>
        <w:t>Po pirminio eksperimento ir mažo literatūra grįsto bandymo ta pati komanda atliko platesnę post-test exploratory paiešką. Pagrindinis RF–LR rezultatas nepakeistas. Keturiuose didėjančiuose laiko folduose iki rugsėjo kiekvieno foldo paruošimas mokytas tik ankstesnių mėnesių train dalyje; Revenue, Month ir PageValues į modelių įvestį nepateko. Patikrintos 722 unikalios konfigūracijos: 22 LR, 250 RF, 200 histograminių GB ir 250 XGBoost; iš viso 3372 modelių mokymai. Kandidatai lyginti pagal vidutinę foldų AP. Dešimt geriausių kiekvienos šeimos variantų patikrinti dėl stabilumo; vienas šeimos variantas mokytas visu vasario–rugpjūčio rinkiniu ir vertintas rugsėjo–spalio validacijoje.</w:t>
      </w:r>
    </w:p>
    <w:p>
      <w:pPr>
        <w:pStyle w:val="Caption"/>
        <w:keepNext/>
      </w:pPr>
      <w:r>
        <w:t>11 lentelė. Išplėstinio tyrimo šeimų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2969"/>
            <w:vAlign w:val="center"/>
            <w:shd w:fill="D9EAF7"/>
          </w:tcPr>
          <w:p>
            <w:pPr>
              <w:spacing w:line="240" w:lineRule="auto" w:after="80" w:before="80"/>
              <w:jc w:val="left"/>
            </w:pPr>
            <w:r>
              <w:rPr>
                <w:b/>
                <w:sz w:val="19"/>
              </w:rPr>
              <w:t>Šeima</w:t>
            </w:r>
          </w:p>
        </w:tc>
        <w:tc>
          <w:tcPr>
            <w:tcW w:type="dxa" w:w="2474"/>
            <w:vAlign w:val="center"/>
            <w:shd w:fill="D9EAF7"/>
          </w:tcPr>
          <w:p>
            <w:pPr>
              <w:spacing w:line="240" w:lineRule="auto" w:after="80" w:before="80"/>
              <w:jc w:val="left"/>
            </w:pPr>
            <w:r>
              <w:rPr>
                <w:b/>
                <w:sz w:val="19"/>
              </w:rPr>
              <w:t>Temporal AP ± SD</w:t>
            </w:r>
          </w:p>
        </w:tc>
        <w:tc>
          <w:tcPr>
            <w:tcW w:type="dxa" w:w="1814"/>
            <w:vAlign w:val="center"/>
            <w:shd w:fill="D9EAF7"/>
          </w:tcPr>
          <w:p>
            <w:pPr>
              <w:spacing w:line="240" w:lineRule="auto" w:after="80" w:before="80"/>
              <w:jc w:val="left"/>
            </w:pPr>
            <w:r>
              <w:rPr>
                <w:b/>
                <w:sz w:val="19"/>
              </w:rPr>
              <w:t>Sep–Oct AP</w:t>
            </w:r>
          </w:p>
        </w:tc>
        <w:tc>
          <w:tcPr>
            <w:tcW w:type="dxa" w:w="1814"/>
            <w:vAlign w:val="center"/>
            <w:shd w:fill="D9EAF7"/>
          </w:tcPr>
          <w:p>
            <w:pPr>
              <w:spacing w:line="240" w:lineRule="auto" w:after="80" w:before="80"/>
              <w:jc w:val="left"/>
            </w:pPr>
            <w:r>
              <w:rPr>
                <w:b/>
                <w:sz w:val="19"/>
              </w:rPr>
              <w:t>Nov–Dec AP*</w:t>
            </w:r>
          </w:p>
        </w:tc>
      </w:tr>
      <w:tr>
        <w:trPr>
          <w:cantSplit/>
        </w:trPr>
        <w:tc>
          <w:tcPr>
            <w:tcW w:type="dxa" w:w="2969"/>
            <w:vAlign w:val="center"/>
          </w:tcPr>
          <w:p>
            <w:pPr>
              <w:spacing w:line="240" w:lineRule="auto" w:after="80" w:before="80"/>
              <w:jc w:val="left"/>
            </w:pPr>
            <w:r>
              <w:rPr>
                <w:sz w:val="19"/>
              </w:rPr>
              <w:t>Logistinė regresija</w:t>
            </w:r>
          </w:p>
        </w:tc>
        <w:tc>
          <w:tcPr>
            <w:tcW w:type="dxa" w:w="2474"/>
            <w:vAlign w:val="center"/>
          </w:tcPr>
          <w:p>
            <w:pPr>
              <w:spacing w:line="240" w:lineRule="auto" w:after="80" w:before="80"/>
              <w:jc w:val="left"/>
            </w:pPr>
            <w:r>
              <w:rPr>
                <w:sz w:val="19"/>
              </w:rPr>
              <w:t>0,2397 ± 0,0623</w:t>
            </w:r>
          </w:p>
        </w:tc>
        <w:tc>
          <w:tcPr>
            <w:tcW w:type="dxa" w:w="1814"/>
            <w:vAlign w:val="center"/>
          </w:tcPr>
          <w:p>
            <w:pPr>
              <w:spacing w:line="240" w:lineRule="auto" w:after="80" w:before="80"/>
              <w:jc w:val="left"/>
            </w:pPr>
            <w:r>
              <w:rPr>
                <w:sz w:val="19"/>
              </w:rPr>
              <w:t>0,2464</w:t>
            </w:r>
          </w:p>
        </w:tc>
        <w:tc>
          <w:tcPr>
            <w:tcW w:type="dxa" w:w="1814"/>
            <w:vAlign w:val="center"/>
          </w:tcPr>
          <w:p>
            <w:pPr>
              <w:spacing w:line="240" w:lineRule="auto" w:after="80" w:before="80"/>
              <w:jc w:val="left"/>
            </w:pPr>
            <w:r>
              <w:rPr>
                <w:sz w:val="19"/>
              </w:rPr>
              <w:t>0,3360</w:t>
            </w:r>
          </w:p>
        </w:tc>
      </w:tr>
      <w:tr>
        <w:trPr>
          <w:cantSplit/>
        </w:trPr>
        <w:tc>
          <w:tcPr>
            <w:tcW w:type="dxa" w:w="2969"/>
            <w:vAlign w:val="center"/>
          </w:tcPr>
          <w:p>
            <w:pPr>
              <w:spacing w:line="240" w:lineRule="auto" w:after="80" w:before="80"/>
              <w:jc w:val="left"/>
            </w:pPr>
            <w:r>
              <w:rPr>
                <w:sz w:val="19"/>
              </w:rPr>
              <w:t>Atsitiktinis miškas</w:t>
            </w:r>
          </w:p>
        </w:tc>
        <w:tc>
          <w:tcPr>
            <w:tcW w:type="dxa" w:w="2474"/>
            <w:vAlign w:val="center"/>
          </w:tcPr>
          <w:p>
            <w:pPr>
              <w:spacing w:line="240" w:lineRule="auto" w:after="80" w:before="80"/>
              <w:jc w:val="left"/>
            </w:pPr>
            <w:r>
              <w:rPr>
                <w:sz w:val="19"/>
              </w:rPr>
              <w:t>0,2852 ± 0,0326</w:t>
            </w:r>
          </w:p>
        </w:tc>
        <w:tc>
          <w:tcPr>
            <w:tcW w:type="dxa" w:w="1814"/>
            <w:vAlign w:val="center"/>
          </w:tcPr>
          <w:p>
            <w:pPr>
              <w:spacing w:line="240" w:lineRule="auto" w:after="80" w:before="80"/>
              <w:jc w:val="left"/>
            </w:pPr>
            <w:r>
              <w:rPr>
                <w:sz w:val="19"/>
              </w:rPr>
              <w:t>0,3052</w:t>
            </w:r>
          </w:p>
        </w:tc>
        <w:tc>
          <w:tcPr>
            <w:tcW w:type="dxa" w:w="1814"/>
            <w:vAlign w:val="center"/>
          </w:tcPr>
          <w:p>
            <w:pPr>
              <w:spacing w:line="240" w:lineRule="auto" w:after="80" w:before="80"/>
              <w:jc w:val="left"/>
            </w:pPr>
            <w:r>
              <w:rPr>
                <w:sz w:val="19"/>
              </w:rPr>
              <w:t>0,3325</w:t>
            </w:r>
          </w:p>
        </w:tc>
      </w:tr>
      <w:tr>
        <w:trPr>
          <w:cantSplit/>
        </w:trPr>
        <w:tc>
          <w:tcPr>
            <w:tcW w:type="dxa" w:w="2969"/>
            <w:vAlign w:val="center"/>
          </w:tcPr>
          <w:p>
            <w:pPr>
              <w:spacing w:line="240" w:lineRule="auto" w:after="80" w:before="80"/>
              <w:jc w:val="left"/>
            </w:pPr>
            <w:r>
              <w:rPr>
                <w:sz w:val="19"/>
              </w:rPr>
              <w:t>Histograminis GB</w:t>
            </w:r>
          </w:p>
        </w:tc>
        <w:tc>
          <w:tcPr>
            <w:tcW w:type="dxa" w:w="2474"/>
            <w:vAlign w:val="center"/>
          </w:tcPr>
          <w:p>
            <w:pPr>
              <w:spacing w:line="240" w:lineRule="auto" w:after="80" w:before="80"/>
              <w:jc w:val="left"/>
            </w:pPr>
            <w:r>
              <w:rPr>
                <w:sz w:val="19"/>
              </w:rPr>
              <w:t>0,2876 ± 0,0216</w:t>
            </w:r>
          </w:p>
        </w:tc>
        <w:tc>
          <w:tcPr>
            <w:tcW w:type="dxa" w:w="1814"/>
            <w:vAlign w:val="center"/>
          </w:tcPr>
          <w:p>
            <w:pPr>
              <w:spacing w:line="240" w:lineRule="auto" w:after="80" w:before="80"/>
              <w:jc w:val="left"/>
            </w:pPr>
            <w:r>
              <w:rPr>
                <w:sz w:val="19"/>
              </w:rPr>
              <w:t>0,2920</w:t>
            </w:r>
          </w:p>
        </w:tc>
        <w:tc>
          <w:tcPr>
            <w:tcW w:type="dxa" w:w="1814"/>
            <w:vAlign w:val="center"/>
          </w:tcPr>
          <w:p>
            <w:pPr>
              <w:spacing w:line="240" w:lineRule="auto" w:after="80" w:before="80"/>
              <w:jc w:val="left"/>
            </w:pPr>
            <w:r>
              <w:rPr>
                <w:sz w:val="19"/>
              </w:rPr>
              <w:t>0,3380</w:t>
            </w:r>
          </w:p>
        </w:tc>
      </w:tr>
      <w:tr>
        <w:trPr>
          <w:cantSplit/>
        </w:trPr>
        <w:tc>
          <w:tcPr>
            <w:tcW w:type="dxa" w:w="2969"/>
            <w:vAlign w:val="center"/>
          </w:tcPr>
          <w:p>
            <w:pPr>
              <w:spacing w:line="240" w:lineRule="auto" w:after="80" w:before="80"/>
              <w:jc w:val="left"/>
            </w:pPr>
            <w:r>
              <w:rPr>
                <w:sz w:val="19"/>
              </w:rPr>
              <w:t>XGBoost</w:t>
            </w:r>
          </w:p>
        </w:tc>
        <w:tc>
          <w:tcPr>
            <w:tcW w:type="dxa" w:w="2474"/>
            <w:vAlign w:val="center"/>
          </w:tcPr>
          <w:p>
            <w:pPr>
              <w:spacing w:line="240" w:lineRule="auto" w:after="80" w:before="80"/>
              <w:jc w:val="left"/>
            </w:pPr>
            <w:r>
              <w:rPr>
                <w:sz w:val="19"/>
              </w:rPr>
              <w:t>0,2892 ± 0,0149</w:t>
            </w:r>
          </w:p>
        </w:tc>
        <w:tc>
          <w:tcPr>
            <w:tcW w:type="dxa" w:w="1814"/>
            <w:vAlign w:val="center"/>
          </w:tcPr>
          <w:p>
            <w:pPr>
              <w:spacing w:line="240" w:lineRule="auto" w:after="80" w:before="80"/>
              <w:jc w:val="left"/>
            </w:pPr>
            <w:r>
              <w:rPr>
                <w:sz w:val="19"/>
              </w:rPr>
              <w:t>0,2863</w:t>
            </w:r>
          </w:p>
        </w:tc>
        <w:tc>
          <w:tcPr>
            <w:tcW w:type="dxa" w:w="1814"/>
            <w:vAlign w:val="center"/>
          </w:tcPr>
          <w:p>
            <w:pPr>
              <w:spacing w:line="240" w:lineRule="auto" w:after="80" w:before="80"/>
              <w:jc w:val="left"/>
            </w:pPr>
            <w:r>
              <w:rPr>
                <w:sz w:val="19"/>
              </w:rPr>
              <w:t>0,3407</w:t>
            </w:r>
          </w:p>
        </w:tc>
      </w:tr>
    </w:tbl>
    <w:p>
      <w:pPr>
        <w:spacing w:after="0"/>
      </w:pPr>
    </w:p>
    <w:p>
      <w:r>
        <w:rPr>
          <w:i w:val="0"/>
        </w:rPr>
        <w:t>Pastaba. Nov–Dec reikšmės apskaičiuotos tik po to, kai rugsėjo–spalio AP parinko bendrą laimėtoją. Kitų šeimų test rezultatai pateikti palyginimui, ne naujam pasirinkimui. Visos konfigūracijos ir stabilumo rodikliai išsaugoti results/tuning/ kataloge.</w:t>
      </w:r>
    </w:p>
    <w:p>
      <w:pPr>
        <w:keepNext/>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family_comparison.png"/>
                    <pic:cNvPicPr/>
                  </pic:nvPicPr>
                  <pic:blipFill>
                    <a:blip r:embed="rId16"/>
                    <a:stretch>
                      <a:fillRect/>
                    </a:stretch>
                  </pic:blipFill>
                  <pic:spPr>
                    <a:xfrm>
                      <a:off x="0" y="0"/>
                      <a:ext cx="5220000" cy="2610000"/>
                    </a:xfrm>
                    <a:prstGeom prst="rect"/>
                  </pic:spPr>
                </pic:pic>
              </a:graphicData>
            </a:graphic>
          </wp:inline>
        </w:drawing>
      </w:r>
    </w:p>
    <w:p>
      <w:pPr>
        <w:pStyle w:val="Caption"/>
        <w:keepNext w:val="0"/>
        <w:jc w:val="center"/>
      </w:pPr>
      <w:r>
        <w:t>6 pav. Išplėstinio tyrimo AP pagal vertinimo laikotarpį; Nov–Dec rodikliai tiriamieji</w:t>
      </w:r>
    </w:p>
    <w:p>
      <w:r>
        <w:rPr>
          <w:i w:val="0"/>
        </w:rPr>
        <w:t xml:space="preserve">Rugsėjo–spalio validacija pasirinko RF (AP 0,3052): 200 medžių, entropy kriterijus, min_samples_leaf = 2, min_samples_split = 20, max_features = sqrt, be gylio ribos ir klasės svorių. Toje pačioje validacijoje pagal F2 parinktas 0,01 slenkstis. Užfiksuoto RF Nov–Dec AP = 0,3325, Brier = 0,1563, </w:t>
      </w:r>
      <w:r>
        <w:rPr>
          <w:i/>
        </w:rPr>
        <w:t>precision</w:t>
      </w:r>
      <w:r>
        <w:rPr>
          <w:i w:val="0"/>
        </w:rPr>
        <w:t xml:space="preserve"> = 0,2303, </w:t>
      </w:r>
      <w:r>
        <w:rPr>
          <w:i/>
        </w:rPr>
        <w:t>recall</w:t>
      </w:r>
      <w:r>
        <w:rPr>
          <w:i w:val="0"/>
        </w:rPr>
        <w:t xml:space="preserve"> = 0,9908, F1 = 0,3737, F2 = 0,5967, log loss = 0,4838. Jis aptiko 967 iš 976 pirkimų, bet klaidingai pažymėjo 3232 nepirkusias sesijas.</w:t>
      </w:r>
    </w:p>
    <w:p>
      <w:r>
        <w:rPr>
          <w:i w:val="0"/>
        </w:rPr>
        <w:t>Pradinis RF turėjo AP 0,3411; naujai parinkto RF skirtumas −0,0087. Plati paieška šiame duomenų skaidyme neatskleidė paslėpto AP pagerėjimo, bet neįrodo, kad parametrai apskritai nesvarbūs. XGBoost Nov–Dec AP 0,3407 buvo didesnė už naujo RF 0,3325, tačiau Sep–Oct AP 0,2863 buvo mažesnė; perrinkimas pagal testą būtų neteisingas. XGBoost Brier 0,2196 taip pat blogesnis už pradinio RF 0,1555. Kadangi Nov–Dec jau buvo analizuotas ankstesniuose etapuose, ši plati paieška nėra naujas nepriklausomas patvirtinimas net ir parinkus modelį be testo rezultatų.</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Paleista 14 automatinių testų; visi baigėsi sėkmingai. Ankstesni aštuoni tikrina pirminio eksperimento skaidymą, požymius, paruošimą, RF formulę, AP, slenkstį ir rezultatų įrašymą. Šeši nauji tikrina didėjančius laiko foldus, paruošimą tik foldo train dalyje, 722 unikalių konfigūracijų atkuriamumą, draudžiamų požymių pašalinimą ir modelio pasirinkimo nepriklausomumą nuo pakeistų test balų. Pilnas naujas žurnalas yra results/test_log.txt. Istorinio pirminio eksperimento manifeste įrašytas 6,45 s laikas neapima 3372 vėlesnių mokymų.</w:t>
      </w:r>
    </w:p>
    <w:p>
      <w:r>
        <w:rPr>
          <w:i w:val="0"/>
        </w:rPr>
        <w:t>Duomenų SHA256 sutampa su naudotu CSV. manifest.json programos kontrolinės sumos aprašo pradinį pagrindinį paleidimą, o ne dabartinius src/ failus po papildomos abliacijos; atskirame pakartotiniame paleidime visi pagrindinių variantų AP tiksliai sutapo su išsaugotais rezultatais.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r>
        <w:rPr>
          <w:i w:val="0"/>
        </w:rPr>
        <w:t>UCI aprašymas nurodo, kad puslapių skaičius ir trukmė gali būti atnaujinami naršant, tačiau pateiktas CSV neturi tarpinių momentinių kopijų. Todėl galutinių sesijos suvestinės reikšmių prieinamumas konkrečiu realaus laiko prognozės momentu nėra įrodytas.</w:t>
      </w:r>
    </w:p>
    <w:p>
      <w:pPr>
        <w:pStyle w:val="Caption"/>
        <w:keepNext/>
      </w:pPr>
      <w:r>
        <w:t>12 lentelė. Požymių prieinamumas prognozės momentu</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660"/>
            <w:vAlign w:val="center"/>
            <w:shd w:fill="D9EAF7"/>
          </w:tcPr>
          <w:p>
            <w:pPr>
              <w:spacing w:line="240" w:lineRule="auto" w:after="80" w:before="80"/>
              <w:jc w:val="left"/>
            </w:pPr>
            <w:r>
              <w:rPr>
                <w:b/>
                <w:sz w:val="19"/>
              </w:rPr>
              <w:t>Požymis</w:t>
            </w:r>
          </w:p>
        </w:tc>
        <w:tc>
          <w:tcPr>
            <w:tcW w:type="dxa" w:w="2609"/>
            <w:vAlign w:val="center"/>
            <w:shd w:fill="D9EAF7"/>
          </w:tcPr>
          <w:p>
            <w:pPr>
              <w:spacing w:line="240" w:lineRule="auto" w:after="80" w:before="80"/>
              <w:jc w:val="left"/>
            </w:pPr>
            <w:r>
              <w:rPr>
                <w:b/>
                <w:sz w:val="19"/>
              </w:rPr>
              <w:t>Ką reiškia</w:t>
            </w:r>
          </w:p>
        </w:tc>
        <w:tc>
          <w:tcPr>
            <w:tcW w:type="dxa" w:w="1719"/>
            <w:vAlign w:val="center"/>
            <w:shd w:fill="D9EAF7"/>
          </w:tcPr>
          <w:p>
            <w:pPr>
              <w:spacing w:line="240" w:lineRule="auto" w:after="80" w:before="80"/>
              <w:jc w:val="left"/>
            </w:pPr>
            <w:r>
              <w:rPr>
                <w:b/>
                <w:sz w:val="19"/>
              </w:rPr>
              <w:t>Kada atsiranda</w:t>
            </w:r>
          </w:p>
        </w:tc>
        <w:tc>
          <w:tcPr>
            <w:tcW w:type="dxa" w:w="2016"/>
            <w:vAlign w:val="center"/>
            <w:shd w:fill="D9EAF7"/>
          </w:tcPr>
          <w:p>
            <w:pPr>
              <w:spacing w:line="240" w:lineRule="auto" w:after="80" w:before="80"/>
              <w:jc w:val="left"/>
            </w:pPr>
            <w:r>
              <w:rPr>
                <w:b/>
                <w:sz w:val="19"/>
              </w:rPr>
              <w:t>Tarpiniu momentu</w:t>
            </w:r>
          </w:p>
        </w:tc>
        <w:tc>
          <w:tcPr>
            <w:tcW w:type="dxa" w:w="1067"/>
            <w:vAlign w:val="center"/>
            <w:shd w:fill="D9EAF7"/>
          </w:tcPr>
          <w:p>
            <w:pPr>
              <w:spacing w:line="240" w:lineRule="auto" w:after="80" w:before="80"/>
              <w:jc w:val="left"/>
            </w:pPr>
            <w:r>
              <w:rPr>
                <w:b/>
                <w:sz w:val="19"/>
              </w:rPr>
              <w:t>Pabaigos rizika</w:t>
            </w:r>
          </w:p>
        </w:tc>
      </w:tr>
      <w:tr>
        <w:trPr>
          <w:cantSplit/>
        </w:trPr>
        <w:tc>
          <w:tcPr>
            <w:tcW w:type="dxa" w:w="1660"/>
            <w:vAlign w:val="center"/>
          </w:tcPr>
          <w:p>
            <w:pPr>
              <w:spacing w:line="240" w:lineRule="auto" w:after="80" w:before="80"/>
              <w:jc w:val="left"/>
            </w:pPr>
            <w:r>
              <w:rPr>
                <w:sz w:val="19"/>
              </w:rPr>
              <w:t>Administrative</w:t>
            </w:r>
          </w:p>
        </w:tc>
        <w:tc>
          <w:tcPr>
            <w:tcW w:type="dxa" w:w="2609"/>
            <w:vAlign w:val="center"/>
          </w:tcPr>
          <w:p>
            <w:pPr>
              <w:spacing w:line="240" w:lineRule="auto" w:after="80" w:before="80"/>
              <w:jc w:val="left"/>
            </w:pPr>
            <w:r>
              <w:rPr>
                <w:sz w:val="19"/>
              </w:rPr>
              <w:t>Administracinių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Administrative_Duration</w:t>
            </w:r>
          </w:p>
        </w:tc>
        <w:tc>
          <w:tcPr>
            <w:tcW w:type="dxa" w:w="2609"/>
            <w:vAlign w:val="center"/>
          </w:tcPr>
          <w:p>
            <w:pPr>
              <w:spacing w:line="240" w:lineRule="auto" w:after="80" w:before="80"/>
              <w:jc w:val="left"/>
            </w:pPr>
            <w:r>
              <w:rPr>
                <w:sz w:val="19"/>
              </w:rPr>
              <w:t>Laikas administraciniuose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w:t>
            </w:r>
          </w:p>
        </w:tc>
        <w:tc>
          <w:tcPr>
            <w:tcW w:type="dxa" w:w="2609"/>
            <w:vAlign w:val="center"/>
          </w:tcPr>
          <w:p>
            <w:pPr>
              <w:spacing w:line="240" w:lineRule="auto" w:after="80" w:before="80"/>
              <w:jc w:val="left"/>
            </w:pPr>
            <w:r>
              <w:rPr>
                <w:sz w:val="19"/>
              </w:rPr>
              <w:t>Informacinių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Informational_Duration</w:t>
            </w:r>
          </w:p>
        </w:tc>
        <w:tc>
          <w:tcPr>
            <w:tcW w:type="dxa" w:w="2609"/>
            <w:vAlign w:val="center"/>
          </w:tcPr>
          <w:p>
            <w:pPr>
              <w:spacing w:line="240" w:lineRule="auto" w:after="80" w:before="80"/>
              <w:jc w:val="left"/>
            </w:pPr>
            <w:r>
              <w:rPr>
                <w:sz w:val="19"/>
              </w:rPr>
              <w:t>Laikas informaciniuose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w:t>
            </w:r>
          </w:p>
        </w:tc>
        <w:tc>
          <w:tcPr>
            <w:tcW w:type="dxa" w:w="2609"/>
            <w:vAlign w:val="center"/>
          </w:tcPr>
          <w:p>
            <w:pPr>
              <w:spacing w:line="240" w:lineRule="auto" w:after="80" w:before="80"/>
              <w:jc w:val="left"/>
            </w:pPr>
            <w:r>
              <w:rPr>
                <w:sz w:val="19"/>
              </w:rPr>
              <w:t>Produktų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ProductRelated_Duration</w:t>
            </w:r>
          </w:p>
        </w:tc>
        <w:tc>
          <w:tcPr>
            <w:tcW w:type="dxa" w:w="2609"/>
            <w:vAlign w:val="center"/>
          </w:tcPr>
          <w:p>
            <w:pPr>
              <w:spacing w:line="240" w:lineRule="auto" w:after="80" w:before="80"/>
              <w:jc w:val="left"/>
            </w:pPr>
            <w:r>
              <w:rPr>
                <w:sz w:val="19"/>
              </w:rPr>
              <w:t>Laikas produktų puslapiuose</w:t>
            </w:r>
          </w:p>
        </w:tc>
        <w:tc>
          <w:tcPr>
            <w:tcW w:type="dxa" w:w="1719"/>
            <w:vAlign w:val="center"/>
          </w:tcPr>
          <w:p>
            <w:pPr>
              <w:spacing w:line="240" w:lineRule="auto" w:after="80" w:before="80"/>
              <w:jc w:val="left"/>
            </w:pPr>
            <w:r>
              <w:rPr>
                <w:sz w:val="19"/>
              </w:rPr>
              <w:t>Kaupiasi per sesiją</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BounceRates</w:t>
            </w:r>
          </w:p>
        </w:tc>
        <w:tc>
          <w:tcPr>
            <w:tcW w:type="dxa" w:w="2609"/>
            <w:vAlign w:val="center"/>
          </w:tcPr>
          <w:p>
            <w:pPr>
              <w:spacing w:line="240" w:lineRule="auto" w:after="80" w:before="80"/>
              <w:jc w:val="left"/>
            </w:pPr>
            <w:r>
              <w:rPr>
                <w:sz w:val="19"/>
              </w:rPr>
              <w:t>Puslapių atmetimo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ExitRates</w:t>
            </w:r>
          </w:p>
        </w:tc>
        <w:tc>
          <w:tcPr>
            <w:tcW w:type="dxa" w:w="2609"/>
            <w:vAlign w:val="center"/>
          </w:tcPr>
          <w:p>
            <w:pPr>
              <w:spacing w:line="240" w:lineRule="auto" w:after="80" w:before="80"/>
              <w:jc w:val="left"/>
            </w:pPr>
            <w:r>
              <w:rPr>
                <w:sz w:val="19"/>
              </w:rPr>
              <w:t>Puslapių išėjimo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SpecialDay</w:t>
            </w:r>
          </w:p>
        </w:tc>
        <w:tc>
          <w:tcPr>
            <w:tcW w:type="dxa" w:w="2609"/>
            <w:vAlign w:val="center"/>
          </w:tcPr>
          <w:p>
            <w:pPr>
              <w:spacing w:line="240" w:lineRule="auto" w:after="80" w:before="80"/>
              <w:jc w:val="left"/>
            </w:pPr>
            <w:r>
              <w:rPr>
                <w:sz w:val="19"/>
              </w:rPr>
              <w:t>Datos artumas specialiai dienai</w:t>
            </w:r>
          </w:p>
        </w:tc>
        <w:tc>
          <w:tcPr>
            <w:tcW w:type="dxa" w:w="1719"/>
            <w:vAlign w:val="center"/>
          </w:tcPr>
          <w:p>
            <w:pPr>
              <w:spacing w:line="240" w:lineRule="auto" w:after="80" w:before="80"/>
              <w:jc w:val="left"/>
            </w:pPr>
            <w:r>
              <w:rPr>
                <w:sz w:val="19"/>
              </w:rPr>
              <w:t>Žinomas iš kalendoriaus</w:t>
            </w:r>
          </w:p>
        </w:tc>
        <w:tc>
          <w:tcPr>
            <w:tcW w:type="dxa" w:w="2016"/>
            <w:vAlign w:val="center"/>
          </w:tcPr>
          <w:p>
            <w:pPr>
              <w:spacing w:line="240" w:lineRule="auto" w:after="80" w:before="80"/>
              <w:jc w:val="left"/>
            </w:pPr>
            <w:r>
              <w:rPr>
                <w:sz w:val="19"/>
              </w:rPr>
              <w:t>Taip</w:t>
            </w:r>
          </w:p>
        </w:tc>
        <w:tc>
          <w:tcPr>
            <w:tcW w:type="dxa" w:w="1067"/>
            <w:vAlign w:val="center"/>
          </w:tcPr>
          <w:p>
            <w:pPr>
              <w:spacing w:line="240" w:lineRule="auto" w:after="80" w:before="80"/>
              <w:jc w:val="left"/>
            </w:pPr>
            <w:r>
              <w:rPr>
                <w:sz w:val="19"/>
              </w:rPr>
              <w:t>Maža</w:t>
            </w:r>
          </w:p>
        </w:tc>
      </w:tr>
      <w:tr>
        <w:trPr>
          <w:cantSplit/>
        </w:trPr>
        <w:tc>
          <w:tcPr>
            <w:tcW w:type="dxa" w:w="1660"/>
            <w:vAlign w:val="center"/>
          </w:tcPr>
          <w:p>
            <w:pPr>
              <w:spacing w:line="240" w:lineRule="auto" w:after="80" w:before="80"/>
              <w:jc w:val="left"/>
            </w:pPr>
            <w:r>
              <w:rPr>
                <w:sz w:val="19"/>
              </w:rPr>
              <w:t>PageValues</w:t>
            </w:r>
          </w:p>
        </w:tc>
        <w:tc>
          <w:tcPr>
            <w:tcW w:type="dxa" w:w="2609"/>
            <w:vAlign w:val="center"/>
          </w:tcPr>
          <w:p>
            <w:pPr>
              <w:spacing w:line="240" w:lineRule="auto" w:after="80" w:before="80"/>
              <w:jc w:val="left"/>
            </w:pPr>
            <w:r>
              <w:rPr>
                <w:sz w:val="19"/>
              </w:rPr>
              <w:t>Puslapių komercinės vertės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Labai didelė</w:t>
            </w:r>
          </w:p>
        </w:tc>
      </w:tr>
    </w:tbl>
    <w:p>
      <w:pPr>
        <w:spacing w:after="0"/>
      </w:pPr>
    </w:p>
    <w:p>
      <w:r>
        <w:rPr>
          <w:i w:val="0"/>
        </w:rPr>
        <w:t>Revenue nepatenka į įvestį, o PageValues pašalintas iš pagrindinio varianto, tačiau vien tai neįrodo, kad temporalinis informacijos nutekėjimas visiškai pašalintas. Galutinės trukmės, BounceRates ir ExitRates taip pat reikalauja kilmės ir prieinamumo audito.</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Pirminis mažas parametrų tinklas buvo vėliau papildytas 722 konfigūracijų tyrimu; nei vienas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Mokomi modeliai rikiavo pirkimus geriau už pastovų modelį (AP = 0,2066). RF turėjo didžiausią stebėtą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Validacijoje parinktas 0,03 slenkstis aptiko 956 iš 976 pirkimų, bet sukūrė 3 004 klaidingus teigiamus atvejus. Aukštas recall gautas mažo precision kaina; prieš naudojimą reikia žinoti klaidų kainas arba veiksmų biudžetą.</w:t>
      </w:r>
    </w:p>
    <w:p>
      <w:pPr>
        <w:pStyle w:val="ListBullet"/>
      </w:pPr>
      <w:r>
        <w:t>PageValues suteikė stiprų prognozavimo signalą ir esant vienodam RF lapo dydžiui, tačiau jo laikinė kilmė nepatvirtinta, todėl jis neįtrauktas į pagrindinę išvadą.</w:t>
      </w:r>
    </w:p>
    <w:p>
      <w:pPr>
        <w:pStyle w:val="ListBullet"/>
      </w:pPr>
      <w:r>
        <w:t>Po pradinio testo atlikti RF parametrų ir literatūra motyvuoto XGBoost bandymai neparodė aiškaus AP pagerėjimo: parinktų variantų testo AP buvo 0,3297 ir 0,3324. Tai tiriamieji, o ne naujas nepriklausomas patvirtinimas.</w:t>
      </w:r>
    </w:p>
    <w:p>
      <w:pPr>
        <w:pStyle w:val="ListBullet"/>
      </w:pPr>
      <w:r>
        <w:t>Vėlesniame 722 konfigūracijų tyrime Sep–Oct validacija pasirinko RF, kurio tiriamasis Nov–Dec AP 0,3325 nesiekė pradinio RF 0,3411. Plati paieška neatskleidė papildomo AP rezervo šiame skaidyme.</w:t>
      </w:r>
    </w:p>
    <w:p>
      <w:pPr>
        <w:pStyle w:val="ListBullet"/>
      </w:pPr>
      <w:r>
        <w:t>Programa patikrinta 14 automatinių testų. Rezultatai pagrindžia offline/post-session tyrimą; realaus laiko taikymui reikia požymių prieinamumo audito ir naujo būsimo laikotarpio testo.</w:t>
      </w:r>
    </w:p>
    <w:p>
      <w:pPr>
        <w:pStyle w:val="Heading1"/>
      </w:pPr>
      <w:r>
        <w:t>10. AI naudojimo auditas</w:t>
      </w:r>
    </w:p>
    <w:p>
      <w:r>
        <w:rPr>
          <w:i w:val="0"/>
        </w:rPr>
        <w:t>Darbas parengtas su ChatGPT Codex pagalba. AI padėjo rengti eksperimento kodą, dokumentaciją ir rezultatų patikras. Studentas pats paleido išplėstinį eksperimentą savo kompiuteryje; AI vėliau patikrino išsaugotus rezultatus. Gyvas gynimas ir dėstytojo nematytas bandymas dar neatlikti. Šiame skyriuje pateikiama audito santrauka, o pilna užklausų ir pakeitimų istorija saugoma docs/AI_ZURNALAS.md.</w:t>
      </w:r>
    </w:p>
    <w:p>
      <w:pPr>
        <w:pStyle w:val="Heading2"/>
      </w:pPr>
      <w:r>
        <w:t>10.1. Svarbiausios užklausos ir sprendimai</w:t>
      </w:r>
    </w:p>
    <w:p>
      <w:r>
        <w:rPr>
          <w:i w:val="0"/>
        </w:rPr>
        <w:t>Pagrindinės užklausos buvo įgyvendinti užduotį ir įkelti kodą bei dokumentaciją į GitHub; patikrinti testų įrodymus ir požymių prieinamumą laike; pridėti fiksuotų parametrų PageValues abliaciją; pagal dėstytojo pastabas atlikti papildomą metodų ir hiperparametrų tyrimą; prieš pateikimą sutikrinti rezultatus ir ataskaitą.</w:t>
      </w:r>
    </w:p>
    <w:p>
      <w:r>
        <w:rPr>
          <w:i w:val="0"/>
        </w:rPr>
        <w:t>Priimti AI pasiūlymai: laikinis skaidymas pagal mėnesius, mokymo imtyje išmokstamas Pipeline, pirkimų dažnio baseline, RF ir gradientinis stiprinimas. PageValues pagrindiniame variante pašalintas, nes jo saugus prieinamumas prognozės momentu nepatvirtintas. Papildomas CPU XGBoost bandymas pasirinktas kaip literatūra motyvuotas palyginimas.</w:t>
      </w:r>
    </w:p>
    <w:p>
      <w:r>
        <w:rPr>
          <w:i w:val="0"/>
        </w:rPr>
        <w:t>Atmesti pasiūlymai ar prielaidos: skelbti sudėtingesnį modelį savaime geresniu, rinktis slenkstį pagal testą ir vadinti rezultatą įrodyta realaus laiko sistema. SMOTE su požymių atranka ir stacking netaikyti, nes keistų daugiau eksperimento grandžių ir apsunkintų paaiškinimą. RF pranašumo teiginį pakeitė faktinė išvada: AP skirtumas tik 0,0076, o bootstrap intervalas apima 0.</w:t>
      </w:r>
    </w:p>
    <w:p>
      <w:pPr>
        <w:pStyle w:val="Heading2"/>
      </w:pPr>
      <w:r>
        <w:t>10.2. Aptiktos AI klaidos ir nepatikrintos prielaidos</w:t>
      </w:r>
    </w:p>
    <w:p>
      <w:pPr>
        <w:pStyle w:val="ListBullet"/>
      </w:pPr>
      <w:r>
        <w:t>Pradžioje AI nepatikrinęs nurodė scipy==1.16.3. Faktinės aplinkos scipy.__version__ patikra parodė 1.17.0; requirements.txt pataisytas. Tai priklausomybių aprašo klaida, ne rezultatų pasikeitimas.</w:t>
      </w:r>
    </w:p>
    <w:p>
      <w:pPr>
        <w:pStyle w:val="ListBullet"/>
      </w:pPr>
      <w:r>
        <w:t>Buvo rizika sutapatinti AP su trapeciniu PR-AUC. Pastovaus modelio trapecinis plotas 0,6033 atrodė didelis, nors modelis sesijų neranguoja. Perskaičiavus AP gauta 0,2066; metrikos atskirtos, o test_constant_score_ap_equals_prevalence tikrina šią savybę.</w:t>
      </w:r>
    </w:p>
    <w:p>
      <w:pPr>
        <w:pStyle w:val="ListBullet"/>
      </w:pPr>
      <w:r>
        <w:t>PageValues laikyti saugiu arba tikru nutekėjimu vien pagal jo pavadinimą būtų nepatikrinta prielaida. Tikrintas UCI aprašymas ir fiksuotų parametrų abliacija. Stiprus signalas išliko, tačiau CSV neturi tarpinių laiko kopijų, todėl saugus prieinamumas ir faktinis nutekėjimas neįrodyti.</w:t>
      </w:r>
    </w:p>
    <w:p>
      <w:pPr>
        <w:pStyle w:val="Heading2"/>
      </w:pPr>
      <w:r>
        <w:t>10.3. Patikros ir atsakomybės ribos</w:t>
      </w:r>
    </w:p>
    <w:p>
      <w:r>
        <w:rPr>
          <w:i w:val="0"/>
        </w:rPr>
        <w:t>AI pasiūlymai tikrinti vykdant kodą: 14 unit testų baigėsi OK, RF formulės ir bibliotekos tikimybių skirtumas buvo 0. Metrikos ir porinis bootstrap perskaičiuoti iš išsaugotų prognozių, sutikrintos duomenų SHA256 ir skaidymo eilutės. Konfigūracijų pasirinkimas tikrintas pakeičiant dirbtinius test balus; validacijos pasirinkimas nesikeitė. Ataskaitos MD, DOCX ir PDF sutikrinti su rezultatų failais. Šios patikros nepakeičia studento pareigos suprasti kodą, paaiškinti sprendimus ir savarankiškai atlikti gyvą bandymą.</w:t>
      </w:r>
    </w:p>
    <w:p>
      <w:pPr>
        <w:pStyle w:val="Heading1"/>
      </w:pPr>
      <w:r>
        <w:t>11. Šaltiniai</w:t>
      </w:r>
    </w:p>
    <w:p>
      <w:pPr>
        <w:spacing w:line="276" w:lineRule="auto" w:after="120"/>
        <w:ind w:left="454" w:hanging="454"/>
        <w:jc w:val="left"/>
      </w:pPr>
      <w:r>
        <w:rPr>
          <w:sz w:val="22"/>
        </w:rPr>
        <w:t>1. Abdullah-All-Tanvir, Khandokar, I. A., Islam, A. K. M. M., Islam, S., Shatabda, S. (2023). A gradient boosting classifier for purchase intention prediction of online shoppers. Heliyon, 9(4), e15163. https://doi.org/10.1016/j.heliyon.2023.e15163</w:t>
      </w:r>
    </w:p>
    <w:p>
      <w:pPr>
        <w:spacing w:line="276" w:lineRule="auto" w:after="120"/>
        <w:ind w:left="454" w:hanging="454"/>
        <w:jc w:val="left"/>
      </w:pPr>
      <w:r>
        <w:rPr>
          <w:sz w:val="22"/>
        </w:rPr>
        <w:t>2. Breiman, L. (2001). Random Forests. Machine Learning, 45, 5–32. https://doi.org/10.1023/A:1010933404324</w:t>
      </w:r>
    </w:p>
    <w:p>
      <w:pPr>
        <w:spacing w:line="276" w:lineRule="auto" w:after="120"/>
        <w:ind w:left="454" w:hanging="454"/>
        <w:jc w:val="left"/>
      </w:pPr>
      <w:r>
        <w:rPr>
          <w:sz w:val="22"/>
        </w:rPr>
        <w:t>3. Cawley, G. C., Talbot, N. L. C. (2010). On Over-fitting in Model Selection and Subsequent Selection Bias in Performance Evaluation. Journal of Machine Learning Research, 11, 2079–2107. https://www.jmlr.org/papers/v11/cawley10a.html</w:t>
      </w:r>
    </w:p>
    <w:p>
      <w:pPr>
        <w:spacing w:line="276" w:lineRule="auto" w:after="120"/>
        <w:ind w:left="454" w:hanging="454"/>
        <w:jc w:val="left"/>
      </w:pPr>
      <w:r>
        <w:rPr>
          <w:sz w:val="22"/>
        </w:rPr>
        <w:t>4. Friedman, J. H. (2001). Greedy Function Approximation: A Gradient Boosting Machine. The Annals of Statistics, 29(5), 1189–1232. https://doi.org/10.1214/aos/1013203451</w:t>
      </w:r>
    </w:p>
    <w:p>
      <w:pPr>
        <w:spacing w:line="276" w:lineRule="auto" w:after="120"/>
        <w:ind w:left="454" w:hanging="454"/>
        <w:jc w:val="left"/>
      </w:pPr>
      <w:r>
        <w:rPr>
          <w:sz w:val="22"/>
        </w:rPr>
        <w:t>5. Kapoor, S., Narayanan, A. (2022). Leakage and the Reproducibility Crisis in ML-based Science. arXiv. https://doi.org/10.48550/arXiv.2207.07048</w:t>
      </w:r>
    </w:p>
    <w:p>
      <w:pPr>
        <w:spacing w:line="276" w:lineRule="auto" w:after="120"/>
        <w:ind w:left="454" w:hanging="454"/>
        <w:jc w:val="left"/>
      </w:pPr>
      <w:r>
        <w:rPr>
          <w:sz w:val="22"/>
        </w:rPr>
        <w:t>6. Niculescu-Mizil, A., Caruana, R. (2005). Predicting Good Probabilities with Supervised Learning. ICML. https://www.cs.cornell.edu/~alexn/papers/calibration.icml05.crc.rev3.pdf</w:t>
      </w:r>
    </w:p>
    <w:p>
      <w:pPr>
        <w:spacing w:line="276" w:lineRule="auto" w:after="120"/>
        <w:ind w:left="454" w:hanging="454"/>
        <w:jc w:val="left"/>
      </w:pPr>
      <w:r>
        <w:rPr>
          <w:sz w:val="22"/>
        </w:rPr>
        <w:t>7. Pedregosa, F. ir kt. (2011). Scikit-learn: Machine Learning in Python. Journal of Machine Learning Research, 12, 2825–2830. https://www.jmlr.org/papers/v12/pedregosa11a.html</w:t>
      </w:r>
    </w:p>
    <w:p>
      <w:pPr>
        <w:spacing w:line="276" w:lineRule="auto" w:after="120"/>
        <w:ind w:left="454" w:hanging="454"/>
        <w:jc w:val="left"/>
      </w:pPr>
      <w:r>
        <w:rPr>
          <w:sz w:val="22"/>
        </w:rPr>
        <w:t>8. Saito, T., Rehmsmeier, M. (2015). The Precision-Recall Plot Is More Informative than the ROC Plot When Evaluating Binary Classifiers on Imbalanced Datasets. PLOS ONE, 10(3), e0118432. https://doi.org/10.1371/journal.pone.0118432</w:t>
      </w:r>
    </w:p>
    <w:p>
      <w:pPr>
        <w:spacing w:line="276" w:lineRule="auto" w:after="120"/>
        <w:ind w:left="454" w:hanging="454"/>
        <w:jc w:val="left"/>
      </w:pPr>
      <w:r>
        <w:rPr>
          <w:sz w:val="22"/>
        </w:rPr>
        <w:t>9. Satu, M. S., Islam, S. F. (2023). Modeling online customer purchase intention behavior applying different feature engineering and classification techniques. Discover Artificial Intelligence, 3, 36. https://doi.org/10.1007/s44163-023-00086-0</w:t>
      </w:r>
    </w:p>
    <w:p>
      <w:pPr>
        <w:spacing w:line="276" w:lineRule="auto" w:after="120"/>
        <w:ind w:left="454" w:hanging="454"/>
        <w:jc w:val="left"/>
      </w:pPr>
      <w:r>
        <w:rPr>
          <w:sz w:val="22"/>
        </w:rPr>
        <w:t>10. Setyawan, I. B., Himawan, H. (2026). Optimasi Bayesian pada Gradient Boosting untuk Prediksi Niat Beli E-Commerce pada Dataset dengan Ketidakseimbangan Kelas. Building of Informatics, Technology and Science, 8(1), 51–61. https://doi.org/10.47065/bits.v8i1.9710</w:t>
      </w:r>
    </w:p>
    <w:p>
      <w:pPr>
        <w:spacing w:line="276" w:lineRule="auto" w:after="120"/>
        <w:ind w:left="454" w:hanging="454"/>
        <w:jc w:val="left"/>
      </w:pPr>
      <w:r>
        <w:rPr>
          <w:sz w:val="22"/>
        </w:rPr>
        <w:t>11. Sakar, C. O., Kastro, Y. (2018). Online Shoppers Purchasing Intention Dataset. UCI Machine Learning Repository. https://doi.org/10.24432/C5F88Q</w:t>
      </w:r>
    </w:p>
    <w:p>
      <w:pPr>
        <w:spacing w:line="276" w:lineRule="auto" w:after="120"/>
        <w:ind w:left="454" w:hanging="454"/>
        <w:jc w:val="left"/>
      </w:pPr>
      <w:r>
        <w:rPr>
          <w:sz w:val="22"/>
        </w:rPr>
        <w:t>12. Sakar, C. O. ir kt. (2019). Real-time prediction of online shoppers’ purchasing intention using multilayer perceptron and LSTM recurrent neural networks. Neural Computing and Applications, 31, 6893–6908. https://doi.org/10.1007/s00521-018-3523-0</w:t>
      </w:r>
    </w:p>
    <w:p>
      <w:pPr>
        <w:spacing w:line="276" w:lineRule="auto" w:after="120"/>
        <w:ind w:left="454" w:hanging="454"/>
        <w:jc w:val="left"/>
      </w:pPr>
      <w:r>
        <w:rPr>
          <w:sz w:val="22"/>
        </w:rPr>
        <w:t>13. scikit-learn developers (n.d.-a). average_precision_score documentation (version 1.8). https://scikit-learn.org/1.8/modules/generated/sklearn.metrics.average_precision_score.html</w:t>
      </w:r>
    </w:p>
    <w:p>
      <w:pPr>
        <w:spacing w:line="276" w:lineRule="auto" w:after="120"/>
        <w:ind w:left="454" w:hanging="454"/>
        <w:jc w:val="left"/>
      </w:pPr>
      <w:r>
        <w:rPr>
          <w:sz w:val="22"/>
        </w:rPr>
        <w:t>14. scikit-learn developers (n.d.-b). DummyClassifier (version 1.8). https://scikit-learn.org/1.8/modules/generated/sklearn.dummy.DummyClassifier.html</w:t>
      </w:r>
    </w:p>
    <w:p>
      <w:pPr>
        <w:spacing w:line="276" w:lineRule="auto" w:after="120"/>
        <w:ind w:left="454" w:hanging="454"/>
        <w:jc w:val="left"/>
      </w:pPr>
      <w:r>
        <w:rPr>
          <w:sz w:val="22"/>
        </w:rPr>
        <w:t>15. scikit-learn developers (n.d.-c). Logistic Regression (version 1.8). https://scikit-learn.org/1.8/modules/linear_model.html#logistic-regression</w:t>
      </w:r>
    </w:p>
    <w:p>
      <w:pPr>
        <w:spacing w:line="276" w:lineRule="auto" w:after="120"/>
        <w:ind w:left="454" w:hanging="454"/>
        <w:jc w:val="left"/>
      </w:pPr>
      <w:r>
        <w:rPr>
          <w:sz w:val="22"/>
        </w:rPr>
        <w:t>16. scikit-learn developers (n.d.-d). RandomForestClassifier (version 1.8). https://scikit-learn.org/1.8/modules/generated/sklearn.ensemble.RandomForestClassifier.html</w:t>
      </w:r>
    </w:p>
    <w:p>
      <w:pPr>
        <w:spacing w:line="276" w:lineRule="auto" w:after="120"/>
        <w:ind w:left="454" w:hanging="454"/>
        <w:jc w:val="left"/>
      </w:pPr>
      <w:r>
        <w:rPr>
          <w:sz w:val="22"/>
        </w:rPr>
        <w:t>17. scikit-learn developers (n.d.-e). HistGradientBoostingClassifier (version 1.8). https://scikit-learn.org/1.8/modules/generated/sklearn.ensemble.HistGradientBoostingClassifier.html</w:t>
      </w:r>
    </w:p>
    <w:p>
      <w:pPr>
        <w:spacing w:line="276" w:lineRule="auto" w:after="120"/>
        <w:ind w:left="454" w:hanging="454"/>
        <w:jc w:val="left"/>
      </w:pPr>
      <w:r>
        <w:rPr>
          <w:sz w:val="22"/>
        </w:rPr>
        <w:t>18. scikit-learn developers (n.d.-f). fbeta_score documentation (version 1.8). https://scikit-learn.org/1.8/modules/generated/sklearn.metrics.fbeta_score.html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