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81BB3" w14:textId="77777777" w:rsidR="00FB3E23" w:rsidRDefault="00000000">
      <w:pPr>
        <w:pStyle w:val="-"/>
        <w:adjustRightInd w:val="0"/>
        <w:ind w:firstLine="0"/>
        <w:outlineLvl w:val="0"/>
        <w:rPr>
          <w:rFonts w:eastAsia="黑体" w:cs="Times New Roman"/>
          <w:bCs/>
        </w:rPr>
      </w:pPr>
      <w:r>
        <w:rPr>
          <w:rFonts w:eastAsia="黑体" w:cs="Times New Roman"/>
          <w:bCs/>
        </w:rPr>
        <w:t>附件</w:t>
      </w:r>
      <w:r>
        <w:rPr>
          <w:rFonts w:eastAsia="黑体" w:cs="Times New Roman"/>
          <w:bCs/>
        </w:rPr>
        <w:t>3</w:t>
      </w:r>
    </w:p>
    <w:p w14:paraId="678B4C54" w14:textId="77777777" w:rsidR="00FB3E23" w:rsidRDefault="00FB3E23">
      <w:pPr>
        <w:pStyle w:val="-"/>
        <w:adjustRightInd w:val="0"/>
        <w:ind w:firstLine="0"/>
        <w:outlineLvl w:val="0"/>
        <w:rPr>
          <w:rFonts w:eastAsia="黑体" w:cs="Times New Roman"/>
          <w:bCs/>
        </w:rPr>
      </w:pPr>
    </w:p>
    <w:p w14:paraId="45B68BB3" w14:textId="77777777" w:rsidR="00FB3E23" w:rsidRDefault="00000000">
      <w:pPr>
        <w:pStyle w:val="-"/>
        <w:adjustRightInd w:val="0"/>
        <w:ind w:firstLine="0"/>
        <w:jc w:val="center"/>
        <w:outlineLvl w:val="0"/>
        <w:rPr>
          <w:rFonts w:eastAsia="方正小标宋_GBK" w:cs="Times New Roman"/>
          <w:bCs/>
          <w:sz w:val="44"/>
          <w:szCs w:val="44"/>
        </w:rPr>
      </w:pPr>
      <w:r>
        <w:rPr>
          <w:rFonts w:eastAsia="方正小标宋_GBK" w:cs="Times New Roman"/>
          <w:bCs/>
          <w:sz w:val="44"/>
          <w:szCs w:val="44"/>
        </w:rPr>
        <w:t>项目申报书提纲</w:t>
      </w:r>
    </w:p>
    <w:p w14:paraId="335F6166" w14:textId="77777777" w:rsidR="00FB3E23" w:rsidRDefault="00FB3E23">
      <w:pPr>
        <w:pStyle w:val="-"/>
        <w:adjustRightInd w:val="0"/>
        <w:ind w:firstLineChars="200" w:firstLine="880"/>
        <w:jc w:val="center"/>
        <w:outlineLvl w:val="0"/>
        <w:rPr>
          <w:rFonts w:eastAsia="方正小标宋_GBK" w:cs="Times New Roman"/>
          <w:bCs/>
          <w:sz w:val="44"/>
          <w:szCs w:val="44"/>
        </w:rPr>
      </w:pPr>
    </w:p>
    <w:p w14:paraId="75D59974" w14:textId="77777777" w:rsidR="00FB3E23" w:rsidRDefault="00000000">
      <w:pPr>
        <w:pStyle w:val="-"/>
        <w:adjustRightInd w:val="0"/>
        <w:ind w:firstLineChars="200"/>
        <w:outlineLvl w:val="0"/>
        <w:rPr>
          <w:rFonts w:eastAsia="黑体" w:cs="Times New Roman"/>
          <w:bCs/>
        </w:rPr>
      </w:pPr>
      <w:r>
        <w:rPr>
          <w:rFonts w:eastAsia="黑体" w:cs="Times New Roman"/>
          <w:bCs/>
        </w:rPr>
        <w:t>一、项目整体概述</w:t>
      </w:r>
    </w:p>
    <w:p w14:paraId="116E8E3A" w14:textId="77777777" w:rsidR="00FB3E23" w:rsidRDefault="00000000">
      <w:pPr>
        <w:widowControl/>
        <w:ind w:firstLineChars="200" w:firstLine="640"/>
        <w:jc w:val="left"/>
        <w:rPr>
          <w:rFonts w:ascii="Times New Roman" w:eastAsia="方正楷体_GBK" w:hAnsi="Times New Roman" w:cs="Times New Roman"/>
          <w:bCs/>
          <w:sz w:val="32"/>
          <w:szCs w:val="32"/>
        </w:rPr>
      </w:pPr>
      <w:r>
        <w:rPr>
          <w:rFonts w:ascii="Times New Roman" w:eastAsia="方正楷体_GBK" w:hAnsi="Times New Roman" w:cs="Times New Roman"/>
          <w:bCs/>
          <w:sz w:val="32"/>
          <w:szCs w:val="32"/>
        </w:rPr>
        <w:t>1.</w:t>
      </w:r>
      <w:r>
        <w:rPr>
          <w:rFonts w:ascii="Times New Roman" w:eastAsia="方正楷体_GBK" w:hAnsi="Times New Roman" w:cs="Times New Roman" w:hint="eastAsia"/>
          <w:bCs/>
          <w:sz w:val="32"/>
          <w:szCs w:val="32"/>
        </w:rPr>
        <w:t xml:space="preserve"> </w:t>
      </w:r>
      <w:r>
        <w:rPr>
          <w:rFonts w:ascii="Times New Roman" w:eastAsia="方正楷体_GBK" w:hAnsi="Times New Roman" w:cs="Times New Roman"/>
          <w:bCs/>
          <w:sz w:val="32"/>
          <w:szCs w:val="32"/>
        </w:rPr>
        <w:t>项目名称</w:t>
      </w:r>
    </w:p>
    <w:p w14:paraId="26FBCD5C"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hint="eastAsia"/>
          <w:bCs/>
          <w:sz w:val="32"/>
          <w:szCs w:val="32"/>
        </w:rPr>
        <w:t>锦弘脑机接口多场景融合高价值应用示范项目</w:t>
      </w:r>
    </w:p>
    <w:p w14:paraId="412666BC" w14:textId="77777777" w:rsidR="00FB3E23" w:rsidRDefault="00000000">
      <w:pPr>
        <w:pStyle w:val="-"/>
        <w:numPr>
          <w:ilvl w:val="0"/>
          <w:numId w:val="1"/>
        </w:numPr>
        <w:adjustRightInd w:val="0"/>
        <w:ind w:firstLineChars="200"/>
        <w:outlineLvl w:val="0"/>
        <w:rPr>
          <w:rFonts w:eastAsia="方正楷体_GBK" w:cs="Times New Roman"/>
          <w:bCs/>
        </w:rPr>
      </w:pPr>
      <w:r>
        <w:rPr>
          <w:rFonts w:eastAsia="方正楷体_GBK" w:cs="Times New Roman"/>
          <w:bCs/>
        </w:rPr>
        <w:t>目前已确定参与场景建设主要单位情况</w:t>
      </w:r>
    </w:p>
    <w:p w14:paraId="07EDFC3E" w14:textId="77777777" w:rsidR="00FB3E23" w:rsidRDefault="00000000">
      <w:pPr>
        <w:pStyle w:val="-"/>
        <w:adjustRightInd w:val="0"/>
        <w:ind w:leftChars="200" w:left="420" w:firstLineChars="100" w:firstLine="320"/>
        <w:outlineLvl w:val="0"/>
        <w:rPr>
          <w:rFonts w:cs="Times New Roman"/>
          <w:bCs/>
        </w:rPr>
      </w:pPr>
      <w:r>
        <w:rPr>
          <w:rFonts w:cs="Times New Roman" w:hint="eastAsia"/>
          <w:bCs/>
        </w:rPr>
        <w:t>电子科技大学、四川脑科学与类脑智能研究院、绛溪实验室、四川脑佳科技有限公司、青羊区少城街道养老服务中心、成都青阳智慧锦弘中医诊所有限公司、成都金牛锦弘中医诊所有限公司等。</w:t>
      </w:r>
    </w:p>
    <w:p w14:paraId="2F1F8A9B" w14:textId="77777777" w:rsidR="00FB3E23" w:rsidRDefault="00000000">
      <w:pPr>
        <w:pStyle w:val="-"/>
        <w:numPr>
          <w:ilvl w:val="0"/>
          <w:numId w:val="1"/>
        </w:numPr>
        <w:adjustRightInd w:val="0"/>
        <w:ind w:firstLineChars="200"/>
        <w:outlineLvl w:val="0"/>
        <w:rPr>
          <w:rFonts w:eastAsia="方正楷体_GBK" w:cs="Times New Roman"/>
          <w:bCs/>
        </w:rPr>
      </w:pPr>
      <w:r>
        <w:rPr>
          <w:rFonts w:eastAsia="方正楷体_GBK" w:cs="Times New Roman"/>
          <w:bCs/>
        </w:rPr>
        <w:t>项目背景与战略意义</w:t>
      </w:r>
    </w:p>
    <w:p w14:paraId="10174905"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bCs/>
          <w:sz w:val="32"/>
          <w:szCs w:val="32"/>
        </w:rPr>
        <w:t>脑机接口是国家未来产业和颠覆性技术的核心领域，国家及四川省相继出台专项政策推动其产业创新发展，四川更是锚定打造全国一流脑机接口产业创新发展高地的目标。当前国内脑机接口产业存在科研与产业应用脱节、中试转化环节缺失的核心痛点，而人口老龄化加剧、全民健康消费升级、青少年认知健康需求提升的社会现状，也对脑机接口技术的产业化应用提出迫切需求。依托川内顶尖脑科学科研资源，</w:t>
      </w:r>
      <w:r>
        <w:rPr>
          <w:rFonts w:ascii="Times New Roman" w:eastAsia="仿宋_GB2312" w:hAnsi="Times New Roman" w:cs="Times New Roman" w:hint="eastAsia"/>
          <w:bCs/>
          <w:sz w:val="32"/>
          <w:szCs w:val="32"/>
        </w:rPr>
        <w:t>全资国企</w:t>
      </w:r>
      <w:r>
        <w:rPr>
          <w:rFonts w:ascii="Times New Roman" w:eastAsia="仿宋_GB2312" w:hAnsi="Times New Roman" w:cs="Times New Roman"/>
          <w:bCs/>
          <w:sz w:val="32"/>
          <w:szCs w:val="32"/>
        </w:rPr>
        <w:t>四川锦弘中医药科技联合四川省脑科学与类脑智能研究院打造本项目，通过建设四川脑机接口中试公共技术</w:t>
      </w:r>
      <w:r>
        <w:rPr>
          <w:rFonts w:ascii="Times New Roman" w:eastAsia="仿宋_GB2312" w:hAnsi="Times New Roman" w:cs="Times New Roman"/>
          <w:bCs/>
          <w:sz w:val="32"/>
          <w:szCs w:val="32"/>
        </w:rPr>
        <w:lastRenderedPageBreak/>
        <w:t>服务平台、落地脑老化干预、助眠、注意力调控三大自研产品线，精准破解产业痛点、承接国家与区域战略部署。</w:t>
      </w:r>
    </w:p>
    <w:p w14:paraId="5FED1D5D"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t>本项目的实施，是落实国家脑机接口产业培育、科技创新与产业创新深度融合、健康中国等顶层战略的具体实践，为培育新质生产力提供重要场景支撑；同时精准对接四川脑机接口产业攻坚行动计划，填补西南区域脑机接口全链条中试转化空白，完善区域产业链条、集聚产业上下游资源，助力四川打造全国一流脑机接口产业创新发展高地，提升区域在全国该领域的产业话语权。此外，项目能有效压缩技术成果产业化周期与成本，推动行业标准化、规范化发展，让脑机接口技术落地医疗、康养、教育等民生领域，切实惠及民生发展；其构建的</w:t>
      </w:r>
      <w:r>
        <w:rPr>
          <w:rFonts w:ascii="Times New Roman" w:eastAsia="仿宋_GB2312" w:hAnsi="Times New Roman" w:cs="Times New Roman"/>
          <w:bCs/>
          <w:sz w:val="32"/>
          <w:szCs w:val="32"/>
        </w:rPr>
        <w:t xml:space="preserve"> “</w:t>
      </w:r>
      <w:r>
        <w:rPr>
          <w:rFonts w:ascii="Times New Roman" w:eastAsia="仿宋_GB2312" w:hAnsi="Times New Roman" w:cs="Times New Roman"/>
          <w:bCs/>
          <w:sz w:val="32"/>
          <w:szCs w:val="32"/>
        </w:rPr>
        <w:t>国企</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科研机构</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高校</w:t>
      </w:r>
      <w:r>
        <w:rPr>
          <w:rFonts w:ascii="Times New Roman" w:eastAsia="仿宋_GB2312" w:hAnsi="Times New Roman" w:cs="Times New Roman"/>
          <w:bCs/>
          <w:sz w:val="32"/>
          <w:szCs w:val="32"/>
        </w:rPr>
        <w:t xml:space="preserve">” </w:t>
      </w:r>
      <w:r>
        <w:rPr>
          <w:rFonts w:ascii="Times New Roman" w:eastAsia="仿宋_GB2312" w:hAnsi="Times New Roman" w:cs="Times New Roman"/>
          <w:bCs/>
          <w:sz w:val="32"/>
          <w:szCs w:val="32"/>
        </w:rPr>
        <w:t>产学研用协同模式，也为脑科学领域科技成果转化提供可复制、可推广的实践范本，推动科技创新与产业创新双向赋能、深度融合，助力我国脑机接口产业高质量发展。</w:t>
      </w:r>
    </w:p>
    <w:p w14:paraId="00A5B604" w14:textId="77777777" w:rsidR="00FB3E23" w:rsidRDefault="00000000">
      <w:pPr>
        <w:pStyle w:val="-"/>
        <w:numPr>
          <w:ilvl w:val="0"/>
          <w:numId w:val="1"/>
        </w:numPr>
        <w:adjustRightInd w:val="0"/>
        <w:ind w:firstLineChars="200"/>
        <w:outlineLvl w:val="0"/>
        <w:rPr>
          <w:rFonts w:eastAsia="方正楷体_GBK" w:cs="Times New Roman"/>
          <w:bCs/>
        </w:rPr>
      </w:pPr>
      <w:r>
        <w:rPr>
          <w:rFonts w:eastAsia="方正楷体_GBK" w:cs="Times New Roman"/>
          <w:bCs/>
        </w:rPr>
        <w:t>项目建设范围（区域）与总体目标（新技术、新产品、新业态产业化应用的突破情况）</w:t>
      </w:r>
    </w:p>
    <w:p w14:paraId="7B4516FF"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hint="eastAsia"/>
          <w:bCs/>
          <w:sz w:val="32"/>
          <w:szCs w:val="32"/>
        </w:rPr>
        <w:t>本项目建设范围落地成都市温江区，核心打造脑机接口成果孵化中试服务核心阵地，同步在医疗、康养、教育等多元场景落地产品应用验证，形成以温江为核心、辐射西南的脑机接口技术产业化与场景应用示范格局；项目总体目标围绕非侵入式脑机接口技术实现新技术、新产品、新业态产业</w:t>
      </w:r>
      <w:r>
        <w:rPr>
          <w:rFonts w:ascii="Times New Roman" w:eastAsia="仿宋_GB2312" w:hAnsi="Times New Roman" w:cs="Times New Roman" w:hint="eastAsia"/>
          <w:bCs/>
          <w:sz w:val="32"/>
          <w:szCs w:val="32"/>
        </w:rPr>
        <w:lastRenderedPageBreak/>
        <w:t>化应用的全方位突破，打造西南首个脑机接口全链条产业示范标杆，其中在新技术层面完成脑电精准监测、闭环调控等核心技术的迭代优化，形成标准化、可复制的技术体系，攻克产业化工程化难题；在新产品层面推动脑老化调控仪、助眠仪、注意力调控仪三大自研产品线完成中试熟化与合规化推进，实现医疗级、消费级产品的产业化落地和小批量量产，打造自有品牌标杆产品；在新业态层面建成并运营</w:t>
      </w:r>
      <w:r>
        <w:rPr>
          <w:rFonts w:ascii="Times New Roman" w:eastAsia="仿宋_GB2312" w:hAnsi="Times New Roman" w:cs="Times New Roman" w:hint="eastAsia"/>
          <w:bCs/>
          <w:sz w:val="32"/>
          <w:szCs w:val="32"/>
        </w:rPr>
        <w:t xml:space="preserve"> </w:t>
      </w:r>
      <w:r>
        <w:rPr>
          <w:rFonts w:ascii="Times New Roman" w:eastAsia="仿宋_GB2312" w:hAnsi="Times New Roman" w:cs="Times New Roman" w:hint="eastAsia"/>
          <w:bCs/>
          <w:sz w:val="32"/>
          <w:szCs w:val="32"/>
        </w:rPr>
        <w:t>“研发验证</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中试熟化</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合规注册</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生产制造</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场景落地”</w:t>
      </w:r>
      <w:r>
        <w:rPr>
          <w:rFonts w:ascii="Times New Roman" w:eastAsia="仿宋_GB2312" w:hAnsi="Times New Roman" w:cs="Times New Roman" w:hint="eastAsia"/>
          <w:bCs/>
          <w:sz w:val="32"/>
          <w:szCs w:val="32"/>
        </w:rPr>
        <w:t xml:space="preserve"> </w:t>
      </w:r>
      <w:r>
        <w:rPr>
          <w:rFonts w:ascii="Times New Roman" w:eastAsia="仿宋_GB2312" w:hAnsi="Times New Roman" w:cs="Times New Roman" w:hint="eastAsia"/>
          <w:bCs/>
          <w:sz w:val="32"/>
          <w:szCs w:val="32"/>
        </w:rPr>
        <w:t>全链条脑机接口中试公共技术服务平台，形成平台化、市场化的科技成果转化新业态，同时推动脑机接口与医疗康复、居家康养、青少年教育等领域深度融合，培育脑机接口多场景应用的产业新业态，为行业输出可借鉴的技术产业化与场景应用范式。</w:t>
      </w:r>
    </w:p>
    <w:p w14:paraId="7ABC22C8" w14:textId="77777777" w:rsidR="00FB3E23" w:rsidRDefault="00000000">
      <w:pPr>
        <w:pStyle w:val="-"/>
        <w:numPr>
          <w:ilvl w:val="0"/>
          <w:numId w:val="1"/>
        </w:numPr>
        <w:adjustRightInd w:val="0"/>
        <w:ind w:firstLineChars="200"/>
        <w:outlineLvl w:val="0"/>
        <w:rPr>
          <w:rFonts w:eastAsia="方正楷体_GBK" w:cs="Times New Roman"/>
          <w:bCs/>
        </w:rPr>
      </w:pPr>
      <w:r>
        <w:rPr>
          <w:rFonts w:eastAsia="方正楷体_GBK" w:cs="Times New Roman"/>
          <w:bCs/>
        </w:rPr>
        <w:t>主要建设内容</w:t>
      </w:r>
      <w:r>
        <w:rPr>
          <w:rFonts w:eastAsia="方正楷体_GBK" w:cs="Times New Roman"/>
          <w:bCs/>
        </w:rPr>
        <w:t>/</w:t>
      </w:r>
      <w:r>
        <w:rPr>
          <w:rFonts w:eastAsia="方正楷体_GBK" w:cs="Times New Roman"/>
          <w:bCs/>
        </w:rPr>
        <w:t>核心任务</w:t>
      </w:r>
    </w:p>
    <w:p w14:paraId="6049B700" w14:textId="77777777" w:rsidR="00FB3E23" w:rsidRDefault="00000000">
      <w:pPr>
        <w:widowControl/>
        <w:jc w:val="left"/>
        <w:rPr>
          <w:rFonts w:ascii="Times New Roman" w:eastAsia="方正楷体_GBK" w:hAnsi="Times New Roman" w:cs="Times New Roman"/>
          <w:bCs/>
          <w:szCs w:val="32"/>
        </w:rPr>
      </w:pPr>
      <w:r>
        <w:rPr>
          <w:rFonts w:ascii="Times New Roman" w:eastAsia="仿宋_GB2312" w:hAnsi="Times New Roman" w:cs="Times New Roman" w:hint="eastAsia"/>
          <w:bCs/>
          <w:sz w:val="32"/>
          <w:szCs w:val="32"/>
        </w:rPr>
        <w:t>项目核心围绕脑机接口多场景融合应用推进建设，核心任务与建设内容主要包含四方面：一是落地成都温江区</w:t>
      </w:r>
      <w:r>
        <w:rPr>
          <w:rFonts w:ascii="Times New Roman" w:eastAsia="仿宋_GB2312" w:hAnsi="Times New Roman" w:cs="Times New Roman" w:hint="eastAsia"/>
          <w:bCs/>
          <w:sz w:val="32"/>
          <w:szCs w:val="32"/>
        </w:rPr>
        <w:t>5000</w:t>
      </w:r>
      <w:r>
        <w:rPr>
          <w:rFonts w:ascii="Times New Roman" w:eastAsia="仿宋_GB2312" w:hAnsi="Times New Roman" w:cs="Times New Roman" w:hint="eastAsia"/>
          <w:bCs/>
          <w:sz w:val="32"/>
          <w:szCs w:val="32"/>
        </w:rPr>
        <w:t>平方成果孵化中试服务中心，升级</w:t>
      </w:r>
      <w:r>
        <w:rPr>
          <w:rFonts w:ascii="Times New Roman" w:eastAsia="仿宋_GB2312" w:hAnsi="Times New Roman" w:cs="Times New Roman" w:hint="eastAsia"/>
          <w:bCs/>
          <w:sz w:val="32"/>
          <w:szCs w:val="32"/>
        </w:rPr>
        <w:t>3</w:t>
      </w:r>
      <w:r>
        <w:rPr>
          <w:rFonts w:ascii="Times New Roman" w:eastAsia="仿宋_GB2312" w:hAnsi="Times New Roman" w:cs="Times New Roman" w:hint="eastAsia"/>
          <w:bCs/>
          <w:sz w:val="32"/>
          <w:szCs w:val="32"/>
        </w:rPr>
        <w:t>个万级洁净生产区，新增</w:t>
      </w:r>
      <w:r>
        <w:rPr>
          <w:rFonts w:ascii="Times New Roman" w:eastAsia="仿宋_GB2312" w:hAnsi="Times New Roman" w:cs="Times New Roman" w:hint="eastAsia"/>
          <w:bCs/>
          <w:sz w:val="32"/>
          <w:szCs w:val="32"/>
        </w:rPr>
        <w:t xml:space="preserve"> SMT </w:t>
      </w:r>
      <w:r>
        <w:rPr>
          <w:rFonts w:ascii="Times New Roman" w:eastAsia="仿宋_GB2312" w:hAnsi="Times New Roman" w:cs="Times New Roman" w:hint="eastAsia"/>
          <w:bCs/>
          <w:sz w:val="32"/>
          <w:szCs w:val="32"/>
        </w:rPr>
        <w:t>贴片线、</w:t>
      </w:r>
      <w:r>
        <w:rPr>
          <w:rFonts w:ascii="Times New Roman" w:eastAsia="仿宋_GB2312" w:hAnsi="Times New Roman" w:cs="Times New Roman" w:hint="eastAsia"/>
          <w:bCs/>
          <w:sz w:val="32"/>
          <w:szCs w:val="32"/>
        </w:rPr>
        <w:t xml:space="preserve">EMC </w:t>
      </w:r>
      <w:r>
        <w:rPr>
          <w:rFonts w:ascii="Times New Roman" w:eastAsia="仿宋_GB2312" w:hAnsi="Times New Roman" w:cs="Times New Roman" w:hint="eastAsia"/>
          <w:bCs/>
          <w:sz w:val="32"/>
          <w:szCs w:val="32"/>
        </w:rPr>
        <w:t>测试等核心设备，搭建实验室、模拟家居</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医疗</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教育环境的多场景验证场地等硬件工程；二是推进脑老化调控仪、助眠仪、注意力调控仪三大自研产品线产业化落地，完成脑电精准监测、闭环调控等核心技术的迭代优化；三是运营西部首个“研发</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中试</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注册</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生产</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场景落地”</w:t>
      </w:r>
      <w:r>
        <w:rPr>
          <w:rFonts w:ascii="Times New Roman" w:eastAsia="仿宋_GB2312" w:hAnsi="Times New Roman" w:cs="Times New Roman" w:hint="eastAsia"/>
          <w:bCs/>
          <w:sz w:val="32"/>
          <w:szCs w:val="32"/>
        </w:rPr>
        <w:t xml:space="preserve"> </w:t>
      </w:r>
      <w:r>
        <w:rPr>
          <w:rFonts w:ascii="Times New Roman" w:eastAsia="仿宋_GB2312" w:hAnsi="Times New Roman" w:cs="Times New Roman" w:hint="eastAsia"/>
          <w:bCs/>
          <w:sz w:val="32"/>
          <w:szCs w:val="32"/>
        </w:rPr>
        <w:t>全链条脑机接口中试公共技术服务平台，为第三方提供技术验</w:t>
      </w:r>
      <w:r>
        <w:rPr>
          <w:rFonts w:ascii="Times New Roman" w:eastAsia="仿宋_GB2312" w:hAnsi="Times New Roman" w:cs="Times New Roman" w:hint="eastAsia"/>
          <w:bCs/>
          <w:sz w:val="32"/>
          <w:szCs w:val="32"/>
        </w:rPr>
        <w:lastRenderedPageBreak/>
        <w:t>证、小批量试制等全流程服务；四是开展标准体系、管理制度等软建设，牵头制定</w:t>
      </w:r>
      <w:r>
        <w:rPr>
          <w:rFonts w:ascii="Times New Roman" w:eastAsia="仿宋_GB2312" w:hAnsi="Times New Roman" w:cs="Times New Roman" w:hint="eastAsia"/>
          <w:bCs/>
          <w:sz w:val="32"/>
          <w:szCs w:val="32"/>
        </w:rPr>
        <w:t>1</w:t>
      </w:r>
      <w:r>
        <w:rPr>
          <w:rFonts w:ascii="Times New Roman" w:eastAsia="仿宋_GB2312" w:hAnsi="Times New Roman" w:cs="Times New Roman" w:hint="eastAsia"/>
          <w:bCs/>
          <w:sz w:val="32"/>
          <w:szCs w:val="32"/>
        </w:rPr>
        <w:t>项省级脑机接口医疗器械行业标准、参与</w:t>
      </w:r>
      <w:r>
        <w:rPr>
          <w:rFonts w:ascii="Times New Roman" w:eastAsia="仿宋_GB2312" w:hAnsi="Times New Roman" w:cs="Times New Roman" w:hint="eastAsia"/>
          <w:bCs/>
          <w:sz w:val="32"/>
          <w:szCs w:val="32"/>
        </w:rPr>
        <w:t>2</w:t>
      </w:r>
      <w:r>
        <w:rPr>
          <w:rFonts w:ascii="Times New Roman" w:eastAsia="仿宋_GB2312" w:hAnsi="Times New Roman" w:cs="Times New Roman" w:hint="eastAsia"/>
          <w:bCs/>
          <w:sz w:val="32"/>
          <w:szCs w:val="32"/>
        </w:rPr>
        <w:t>项国家级标准研讨，完善</w:t>
      </w:r>
      <w:r>
        <w:rPr>
          <w:rFonts w:ascii="Times New Roman" w:eastAsia="仿宋_GB2312" w:hAnsi="Times New Roman" w:cs="Times New Roman" w:hint="eastAsia"/>
          <w:bCs/>
          <w:sz w:val="32"/>
          <w:szCs w:val="32"/>
        </w:rPr>
        <w:t xml:space="preserve"> GMP</w:t>
      </w:r>
      <w:r>
        <w:rPr>
          <w:rFonts w:ascii="Times New Roman" w:eastAsia="仿宋_GB2312" w:hAnsi="Times New Roman" w:cs="Times New Roman" w:hint="eastAsia"/>
          <w:bCs/>
          <w:sz w:val="32"/>
          <w:szCs w:val="32"/>
        </w:rPr>
        <w:t>（药品生产和质量管理的基本准则）生产质量管理规范、脑电数据脱敏合规与隐私保护监管机制，布局核心知识产权，构建“技术</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标准</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知识产权”协同保护体系，并推动核心技术与产品在睡眠干预、认知障碍康复、注意力训练等民生场景落地应用。</w:t>
      </w:r>
    </w:p>
    <w:p w14:paraId="35F0D60E" w14:textId="77777777" w:rsidR="00FB3E23" w:rsidRDefault="00000000">
      <w:pPr>
        <w:pStyle w:val="-"/>
        <w:numPr>
          <w:ilvl w:val="0"/>
          <w:numId w:val="1"/>
        </w:numPr>
        <w:adjustRightInd w:val="0"/>
        <w:ind w:firstLineChars="200"/>
        <w:outlineLvl w:val="0"/>
        <w:rPr>
          <w:rFonts w:eastAsia="方正楷体_GBK" w:cs="Times New Roman"/>
          <w:bCs/>
        </w:rPr>
      </w:pPr>
      <w:r>
        <w:rPr>
          <w:rFonts w:eastAsia="方正楷体_GBK" w:cs="Times New Roman"/>
          <w:bCs/>
        </w:rPr>
        <w:t>组织方式与管理架构</w:t>
      </w:r>
    </w:p>
    <w:p w14:paraId="0F1A6921" w14:textId="77777777" w:rsidR="00FB3E23" w:rsidRDefault="00000000">
      <w:pPr>
        <w:widowControl/>
        <w:ind w:firstLineChars="200" w:firstLine="640"/>
        <w:jc w:val="left"/>
        <w:rPr>
          <w:rFonts w:ascii="Times New Roman" w:eastAsia="方正楷体_GBK" w:hAnsi="Times New Roman" w:cs="Times New Roman"/>
          <w:bCs/>
          <w:szCs w:val="32"/>
          <w:highlight w:val="yellow"/>
        </w:rPr>
      </w:pPr>
      <w:r>
        <w:rPr>
          <w:rFonts w:ascii="Times New Roman" w:eastAsia="仿宋_GB2312" w:hAnsi="Times New Roman" w:cs="Times New Roman" w:hint="eastAsia"/>
          <w:bCs/>
          <w:sz w:val="32"/>
          <w:szCs w:val="32"/>
        </w:rPr>
        <w:t>项目采用“项目总负责制</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平台化统筹</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产学研协同”的组织方式，建立权责清晰、分工协同、高效闭环的管理运行机制，统筹推进中试平台建设、自研产品工业化、合作洽谈、资金申报、风险管控及合规运营等全流程工作。项目实行</w:t>
      </w:r>
      <w:r>
        <w:rPr>
          <w:rFonts w:ascii="Times New Roman" w:eastAsia="仿宋_GB2312" w:hAnsi="Times New Roman" w:cs="Times New Roman"/>
          <w:bCs/>
          <w:sz w:val="32"/>
          <w:szCs w:val="32"/>
        </w:rPr>
        <w:t>“</w:t>
      </w:r>
      <w:r>
        <w:rPr>
          <w:rFonts w:ascii="Times New Roman" w:eastAsia="仿宋_GB2312" w:hAnsi="Times New Roman" w:cs="Times New Roman"/>
          <w:bCs/>
          <w:sz w:val="32"/>
          <w:szCs w:val="32"/>
        </w:rPr>
        <w:t>领导小组统筹、管理办公室执行、专项工作组落实</w:t>
      </w:r>
      <w:r>
        <w:rPr>
          <w:rFonts w:ascii="Times New Roman" w:eastAsia="仿宋_GB2312" w:hAnsi="Times New Roman" w:cs="Times New Roman"/>
          <w:bCs/>
          <w:sz w:val="32"/>
          <w:szCs w:val="32"/>
        </w:rPr>
        <w:t>”</w:t>
      </w:r>
      <w:r>
        <w:rPr>
          <w:rFonts w:ascii="Times New Roman" w:eastAsia="仿宋_GB2312" w:hAnsi="Times New Roman" w:cs="Times New Roman"/>
          <w:bCs/>
          <w:sz w:val="32"/>
          <w:szCs w:val="32"/>
        </w:rPr>
        <w:t>的三级管理架构，项目领导小组为决策核心，由公司主要负责人及核心管理层组成，负责项目战略定位、重大事项决策、资源统筹与外部协调；项目管理办公室为执行主体，承担日常管理、进度管控、计划落实、跨部门协同及对外对接工作；下设技术研发组、平台建设组、产业合作组、合规风控组、资金与后勤保障组五大专项工作组，分别负责核心技术攻关与产品工业化、中试公共服务平台搭建、企业及高校合作对接洽谈、风险防控与合规体系建设、资金申报及场地设备保障等具体实施工作，同时联动电子科技大学、四川脑科学与类脑智能</w:t>
      </w:r>
      <w:r>
        <w:rPr>
          <w:rFonts w:ascii="Times New Roman" w:eastAsia="仿宋_GB2312" w:hAnsi="Times New Roman" w:cs="Times New Roman"/>
          <w:bCs/>
          <w:sz w:val="32"/>
          <w:szCs w:val="32"/>
        </w:rPr>
        <w:lastRenderedPageBreak/>
        <w:t>研究院等科研单位建立产学研协同管理机制，确保项目建设、运营、合作及创新各项工作高效有序推进。</w:t>
      </w:r>
    </w:p>
    <w:p w14:paraId="782B1008"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7.</w:t>
      </w:r>
      <w:r>
        <w:rPr>
          <w:rFonts w:eastAsia="方正楷体_GBK" w:cs="Times New Roman"/>
          <w:bCs/>
        </w:rPr>
        <w:t>建设周期与关键里程碑</w:t>
      </w:r>
    </w:p>
    <w:p w14:paraId="431C9048" w14:textId="77777777" w:rsidR="00FB3E23" w:rsidRDefault="00000000">
      <w:pPr>
        <w:widowControl/>
        <w:shd w:val="clear" w:color="auto" w:fill="FFFFFF"/>
        <w:spacing w:line="480" w:lineRule="atLeast"/>
        <w:ind w:firstLineChars="200" w:firstLine="640"/>
        <w:jc w:val="left"/>
        <w:rPr>
          <w:rFonts w:ascii="Times New Roman" w:eastAsia="方正楷体_GBK" w:hAnsi="Times New Roman" w:cs="Times New Roman"/>
          <w:bCs/>
          <w:szCs w:val="32"/>
          <w:highlight w:val="yellow"/>
        </w:rPr>
      </w:pPr>
      <w:r>
        <w:rPr>
          <w:rFonts w:ascii="Times New Roman" w:eastAsia="仿宋_GB2312" w:hAnsi="Times New Roman" w:cs="Times New Roman" w:hint="eastAsia"/>
          <w:bCs/>
          <w:sz w:val="32"/>
          <w:szCs w:val="32"/>
        </w:rPr>
        <w:t>项目于</w:t>
      </w:r>
      <w:r>
        <w:rPr>
          <w:rFonts w:ascii="Times New Roman" w:eastAsia="仿宋_GB2312" w:hAnsi="Times New Roman" w:cs="Times New Roman" w:hint="eastAsia"/>
          <w:bCs/>
          <w:sz w:val="32"/>
          <w:szCs w:val="32"/>
        </w:rPr>
        <w:t xml:space="preserve"> 2025 </w:t>
      </w:r>
      <w:r>
        <w:rPr>
          <w:rFonts w:ascii="Times New Roman" w:eastAsia="仿宋_GB2312" w:hAnsi="Times New Roman" w:cs="Times New Roman" w:hint="eastAsia"/>
          <w:bCs/>
          <w:sz w:val="32"/>
          <w:szCs w:val="32"/>
        </w:rPr>
        <w:t>年</w:t>
      </w:r>
      <w:r>
        <w:rPr>
          <w:rFonts w:ascii="Times New Roman" w:eastAsia="仿宋_GB2312" w:hAnsi="Times New Roman" w:cs="Times New Roman" w:hint="eastAsia"/>
          <w:bCs/>
          <w:sz w:val="32"/>
          <w:szCs w:val="32"/>
        </w:rPr>
        <w:t>7</w:t>
      </w:r>
      <w:r>
        <w:rPr>
          <w:rFonts w:ascii="Times New Roman" w:eastAsia="仿宋_GB2312" w:hAnsi="Times New Roman" w:cs="Times New Roman" w:hint="eastAsia"/>
          <w:bCs/>
          <w:sz w:val="32"/>
          <w:szCs w:val="32"/>
        </w:rPr>
        <w:t>月正式揭牌启动，整体建设周期规划为</w:t>
      </w:r>
      <w:r>
        <w:rPr>
          <w:rFonts w:ascii="Times New Roman" w:eastAsia="仿宋_GB2312" w:hAnsi="Times New Roman" w:cs="Times New Roman" w:hint="eastAsia"/>
          <w:bCs/>
          <w:sz w:val="32"/>
          <w:szCs w:val="32"/>
        </w:rPr>
        <w:t>3</w:t>
      </w:r>
      <w:r>
        <w:rPr>
          <w:rFonts w:ascii="Times New Roman" w:eastAsia="仿宋_GB2312" w:hAnsi="Times New Roman" w:cs="Times New Roman" w:hint="eastAsia"/>
          <w:bCs/>
          <w:sz w:val="32"/>
          <w:szCs w:val="32"/>
        </w:rPr>
        <w:t>年，按照前期对接筹备、平台基础建设、产品工业化推进、合作落地转化、规模化运营发展的节奏分阶段推进，目前正处于启动对接期，已完成项目前期规划、场地布局、核心团队组建等基础筹备工作，正与多家脑机接口领域企业、高校开展中试研发合作意向接洽，同步推进自研产品的工业化前期研发与技术转化，后续将持续深化意向合作对接，推动合作意向转化为正式协议，完成中试平台核心设备选型、制度体系搭建与基础硬件筹备，自研产品完成原型优化与工业化工艺设计并启动医疗器械合规认证前期准备，进而完成中试平台核心实验室与基础产线建设调试、落地首批合作项目、推进产品小批量试产与场景验证，最终实现中试平台全链路服务常态化运营、自研产品工业化量产与市场投放，建成西南区域领先的脑机接口中试公共服务平台，形成完善产业生态与可持续运营模式，打造国内非侵入式脑机接口产业化与成果转化标杆项目。</w:t>
      </w:r>
    </w:p>
    <w:p w14:paraId="01B22A47"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8.</w:t>
      </w:r>
      <w:r>
        <w:rPr>
          <w:rFonts w:eastAsia="方正楷体_GBK" w:cs="Times New Roman"/>
          <w:bCs/>
        </w:rPr>
        <w:t>项目规模（如有投资计划方案，说明投资估算）</w:t>
      </w:r>
    </w:p>
    <w:p w14:paraId="478D63C1"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t>项目为西南区域首个脑机接口全链路产业项目，落地成都市温江区成渝双城医疗器械产业园，核心打造四川脑机接</w:t>
      </w:r>
      <w:r>
        <w:rPr>
          <w:rFonts w:ascii="Times New Roman" w:eastAsia="仿宋_GB2312" w:hAnsi="Times New Roman" w:cs="Times New Roman"/>
          <w:bCs/>
          <w:sz w:val="32"/>
          <w:szCs w:val="32"/>
        </w:rPr>
        <w:lastRenderedPageBreak/>
        <w:t>口中试公共技术服务平台与自研脑机接口系列产品两</w:t>
      </w:r>
      <w:r>
        <w:rPr>
          <w:rFonts w:ascii="Times New Roman" w:eastAsia="仿宋_GB2312" w:hAnsi="Times New Roman" w:cs="Times New Roman" w:hint="eastAsia"/>
          <w:bCs/>
          <w:sz w:val="32"/>
          <w:szCs w:val="32"/>
        </w:rPr>
        <w:t>大</w:t>
      </w:r>
      <w:r>
        <w:rPr>
          <w:rFonts w:ascii="Times New Roman" w:eastAsia="仿宋_GB2312" w:hAnsi="Times New Roman" w:cs="Times New Roman"/>
          <w:bCs/>
          <w:sz w:val="32"/>
          <w:szCs w:val="32"/>
        </w:rPr>
        <w:t>核心板块，构建脑机接口全产业链体系。其中，中试平台作为西部首个脑机接口全链路中试载体，启动期年服务</w:t>
      </w:r>
      <w:r>
        <w:rPr>
          <w:rFonts w:ascii="Times New Roman" w:eastAsia="仿宋_GB2312" w:hAnsi="Times New Roman" w:cs="Times New Roman"/>
          <w:bCs/>
          <w:sz w:val="32"/>
          <w:szCs w:val="32"/>
        </w:rPr>
        <w:t>5-8</w:t>
      </w:r>
      <w:r>
        <w:rPr>
          <w:rFonts w:ascii="Times New Roman" w:eastAsia="仿宋_GB2312" w:hAnsi="Times New Roman" w:cs="Times New Roman"/>
          <w:bCs/>
          <w:sz w:val="32"/>
          <w:szCs w:val="32"/>
        </w:rPr>
        <w:t>家企业，稳定期（</w:t>
      </w:r>
      <w:r>
        <w:rPr>
          <w:rFonts w:ascii="Times New Roman" w:eastAsia="仿宋_GB2312" w:hAnsi="Times New Roman" w:cs="Times New Roman"/>
          <w:bCs/>
          <w:sz w:val="32"/>
          <w:szCs w:val="32"/>
        </w:rPr>
        <w:t xml:space="preserve">T3 </w:t>
      </w:r>
      <w:r>
        <w:rPr>
          <w:rFonts w:ascii="Times New Roman" w:eastAsia="仿宋_GB2312" w:hAnsi="Times New Roman" w:cs="Times New Roman"/>
          <w:bCs/>
          <w:sz w:val="32"/>
          <w:szCs w:val="32"/>
        </w:rPr>
        <w:t>年起）年服务</w:t>
      </w:r>
      <w:r>
        <w:rPr>
          <w:rFonts w:ascii="Times New Roman" w:eastAsia="仿宋_GB2312" w:hAnsi="Times New Roman" w:cs="Times New Roman"/>
          <w:bCs/>
          <w:sz w:val="32"/>
          <w:szCs w:val="32"/>
        </w:rPr>
        <w:t>15-20</w:t>
      </w:r>
      <w:r>
        <w:rPr>
          <w:rFonts w:ascii="Times New Roman" w:eastAsia="仿宋_GB2312" w:hAnsi="Times New Roman" w:cs="Times New Roman"/>
          <w:bCs/>
          <w:sz w:val="32"/>
          <w:szCs w:val="32"/>
        </w:rPr>
        <w:t>家，可提供研发验证、中试熟化、合规注册、小批量量产一站式服务；自研产品聚焦睡眠、康复、老龄化三大赛道，打造智享睡眠头环、注意力训练仪、医疗康复系统三款核心产品，覆盖医疗康复、消费健康、科研服务三大市场</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T1-T2</w:t>
      </w:r>
      <w:r>
        <w:rPr>
          <w:rFonts w:ascii="Times New Roman" w:eastAsia="仿宋_GB2312" w:hAnsi="Times New Roman" w:cs="Times New Roman"/>
          <w:bCs/>
          <w:sz w:val="32"/>
          <w:szCs w:val="32"/>
        </w:rPr>
        <w:t>年以科研版设备及种子客户为主，</w:t>
      </w:r>
      <w:r>
        <w:rPr>
          <w:rFonts w:ascii="Times New Roman" w:eastAsia="仿宋_GB2312" w:hAnsi="Times New Roman" w:cs="Times New Roman"/>
          <w:bCs/>
          <w:sz w:val="32"/>
          <w:szCs w:val="32"/>
        </w:rPr>
        <w:t>T3-T5</w:t>
      </w:r>
      <w:r>
        <w:rPr>
          <w:rFonts w:ascii="Times New Roman" w:eastAsia="仿宋_GB2312" w:hAnsi="Times New Roman" w:cs="Times New Roman"/>
          <w:bCs/>
          <w:sz w:val="32"/>
          <w:szCs w:val="32"/>
        </w:rPr>
        <w:t>年获医疗器械注册证后实现规模化商业化。项目营收呈阶梯式增长，</w:t>
      </w:r>
      <w:r>
        <w:rPr>
          <w:rFonts w:ascii="Times New Roman" w:eastAsia="仿宋_GB2312" w:hAnsi="Times New Roman" w:cs="Times New Roman"/>
          <w:bCs/>
          <w:sz w:val="32"/>
          <w:szCs w:val="32"/>
        </w:rPr>
        <w:t>T+1</w:t>
      </w:r>
      <w:r>
        <w:rPr>
          <w:rFonts w:ascii="Times New Roman" w:eastAsia="仿宋_GB2312" w:hAnsi="Times New Roman" w:cs="Times New Roman"/>
          <w:bCs/>
          <w:sz w:val="32"/>
          <w:szCs w:val="32"/>
        </w:rPr>
        <w:t>年至</w:t>
      </w:r>
      <w:r>
        <w:rPr>
          <w:rFonts w:ascii="Times New Roman" w:eastAsia="仿宋_GB2312" w:hAnsi="Times New Roman" w:cs="Times New Roman"/>
          <w:bCs/>
          <w:sz w:val="32"/>
          <w:szCs w:val="32"/>
        </w:rPr>
        <w:t>T+5</w:t>
      </w:r>
      <w:r>
        <w:rPr>
          <w:rFonts w:ascii="Times New Roman" w:eastAsia="仿宋_GB2312" w:hAnsi="Times New Roman" w:cs="Times New Roman"/>
          <w:bCs/>
          <w:sz w:val="32"/>
          <w:szCs w:val="32"/>
        </w:rPr>
        <w:t>年总营收从</w:t>
      </w:r>
      <w:r>
        <w:rPr>
          <w:rFonts w:ascii="Times New Roman" w:eastAsia="仿宋_GB2312" w:hAnsi="Times New Roman" w:cs="Times New Roman"/>
          <w:bCs/>
          <w:sz w:val="32"/>
          <w:szCs w:val="32"/>
        </w:rPr>
        <w:t>0.2</w:t>
      </w:r>
      <w:r>
        <w:rPr>
          <w:rFonts w:ascii="Times New Roman" w:eastAsia="仿宋_GB2312" w:hAnsi="Times New Roman" w:cs="Times New Roman"/>
          <w:bCs/>
          <w:sz w:val="32"/>
          <w:szCs w:val="32"/>
        </w:rPr>
        <w:t>亿元增长至</w:t>
      </w:r>
      <w:r>
        <w:rPr>
          <w:rFonts w:ascii="Times New Roman" w:eastAsia="仿宋_GB2312" w:hAnsi="Times New Roman" w:cs="Times New Roman"/>
          <w:bCs/>
          <w:sz w:val="32"/>
          <w:szCs w:val="32"/>
        </w:rPr>
        <w:t>2.8</w:t>
      </w:r>
      <w:r>
        <w:rPr>
          <w:rFonts w:ascii="Times New Roman" w:eastAsia="仿宋_GB2312" w:hAnsi="Times New Roman" w:cs="Times New Roman"/>
          <w:bCs/>
          <w:sz w:val="32"/>
          <w:szCs w:val="32"/>
        </w:rPr>
        <w:t>亿元，利润率</w:t>
      </w:r>
      <w:r>
        <w:rPr>
          <w:rFonts w:ascii="Times New Roman" w:eastAsia="仿宋_GB2312" w:hAnsi="Times New Roman" w:cs="Times New Roman" w:hint="eastAsia"/>
          <w:bCs/>
          <w:sz w:val="32"/>
          <w:szCs w:val="32"/>
        </w:rPr>
        <w:t>从</w:t>
      </w:r>
      <w:r>
        <w:rPr>
          <w:rFonts w:ascii="Times New Roman" w:eastAsia="仿宋_GB2312" w:hAnsi="Times New Roman" w:cs="Times New Roman"/>
          <w:bCs/>
          <w:sz w:val="32"/>
          <w:szCs w:val="32"/>
        </w:rPr>
        <w:t>8%</w:t>
      </w:r>
      <w:r>
        <w:rPr>
          <w:rFonts w:ascii="Times New Roman" w:eastAsia="仿宋_GB2312" w:hAnsi="Times New Roman" w:cs="Times New Roman"/>
          <w:bCs/>
          <w:sz w:val="32"/>
          <w:szCs w:val="32"/>
        </w:rPr>
        <w:t>逐步提升</w:t>
      </w:r>
      <w:r>
        <w:rPr>
          <w:rFonts w:ascii="Times New Roman" w:eastAsia="仿宋_GB2312" w:hAnsi="Times New Roman" w:cs="Times New Roman" w:hint="eastAsia"/>
          <w:bCs/>
          <w:sz w:val="32"/>
          <w:szCs w:val="32"/>
        </w:rPr>
        <w:t>至</w:t>
      </w:r>
      <w:r>
        <w:rPr>
          <w:rFonts w:ascii="Times New Roman" w:eastAsia="仿宋_GB2312" w:hAnsi="Times New Roman" w:cs="Times New Roman"/>
          <w:bCs/>
          <w:sz w:val="32"/>
          <w:szCs w:val="32"/>
        </w:rPr>
        <w:t>28%</w:t>
      </w:r>
      <w:r>
        <w:rPr>
          <w:rFonts w:ascii="Times New Roman" w:eastAsia="仿宋_GB2312" w:hAnsi="Times New Roman" w:cs="Times New Roman"/>
          <w:bCs/>
          <w:sz w:val="32"/>
          <w:szCs w:val="32"/>
        </w:rPr>
        <w:t>。</w:t>
      </w:r>
    </w:p>
    <w:p w14:paraId="69A1E573" w14:textId="77777777" w:rsidR="00FB3E23" w:rsidRDefault="00000000">
      <w:pPr>
        <w:pStyle w:val="-"/>
        <w:adjustRightInd w:val="0"/>
        <w:ind w:firstLineChars="200"/>
        <w:outlineLvl w:val="0"/>
        <w:rPr>
          <w:rFonts w:eastAsia="黑体" w:cs="Times New Roman"/>
          <w:bCs/>
        </w:rPr>
      </w:pPr>
      <w:r>
        <w:rPr>
          <w:rFonts w:eastAsia="黑体" w:cs="Times New Roman"/>
          <w:bCs/>
        </w:rPr>
        <w:t>二、所属领域分析</w:t>
      </w:r>
    </w:p>
    <w:p w14:paraId="17251F7C"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1.</w:t>
      </w:r>
      <w:r>
        <w:rPr>
          <w:rFonts w:eastAsia="方正楷体_GBK" w:cs="Times New Roman"/>
          <w:bCs/>
        </w:rPr>
        <w:t>所属主要领域类别（单选）</w:t>
      </w:r>
    </w:p>
    <w:p w14:paraId="71E8C35E" w14:textId="77777777" w:rsidR="00FB3E23" w:rsidRDefault="00000000">
      <w:pPr>
        <w:pStyle w:val="-"/>
        <w:adjustRightInd w:val="0"/>
        <w:ind w:firstLineChars="200"/>
        <w:outlineLvl w:val="0"/>
        <w:rPr>
          <w:rFonts w:cs="Times New Roman"/>
          <w:bCs/>
        </w:rPr>
      </w:pPr>
      <w:r>
        <w:rPr>
          <w:rFonts w:cs="Times New Roman"/>
          <w:bCs/>
        </w:rPr>
        <w:t>科技创新和产业创新深度融合应用场景</w:t>
      </w:r>
    </w:p>
    <w:p w14:paraId="0697B960" w14:textId="77777777" w:rsidR="00FB3E23" w:rsidRDefault="00000000">
      <w:pPr>
        <w:pStyle w:val="-"/>
        <w:adjustRightInd w:val="0"/>
        <w:ind w:firstLineChars="200"/>
        <w:outlineLvl w:val="0"/>
        <w:rPr>
          <w:rFonts w:eastAsia="方正楷体_GBK" w:cs="Times New Roman"/>
          <w:bCs/>
        </w:rPr>
      </w:pPr>
      <w:r>
        <w:rPr>
          <w:rFonts w:eastAsia="方正楷体_GBK" w:cs="Times New Roman" w:hint="eastAsia"/>
          <w:bCs/>
        </w:rPr>
        <w:t>2.</w:t>
      </w:r>
      <w:r>
        <w:rPr>
          <w:rFonts w:eastAsia="方正楷体_GBK" w:cs="Times New Roman"/>
          <w:bCs/>
        </w:rPr>
        <w:t>领域契合度分析</w:t>
      </w:r>
    </w:p>
    <w:p w14:paraId="377B2CD7" w14:textId="77777777" w:rsidR="00FB3E23" w:rsidRDefault="00000000">
      <w:pPr>
        <w:widowControl/>
        <w:spacing w:line="480" w:lineRule="atLeast"/>
        <w:jc w:val="left"/>
        <w:rPr>
          <w:rFonts w:ascii="Times New Roman" w:eastAsia="方正楷体_GBK" w:hAnsi="Times New Roman" w:cs="Times New Roman"/>
          <w:bCs/>
          <w:szCs w:val="32"/>
        </w:rPr>
      </w:pPr>
      <w:r>
        <w:rPr>
          <w:rFonts w:eastAsia="方正楷体_GBK" w:cs="Times New Roman" w:hint="eastAsia"/>
          <w:bCs/>
          <w:szCs w:val="32"/>
        </w:rPr>
        <w:t xml:space="preserve">     </w:t>
      </w:r>
      <w:r>
        <w:rPr>
          <w:rFonts w:ascii="Times New Roman" w:eastAsia="仿宋_GB2312" w:hAnsi="Times New Roman" w:cs="Times New Roman" w:hint="eastAsia"/>
          <w:bCs/>
          <w:sz w:val="32"/>
          <w:szCs w:val="32"/>
        </w:rPr>
        <w:t>本项目以四川脑机接口中试公共技术服务平台为核心载体、脑老化干预、助眠调控、注意力调控三大自研产品线为落地抓手，形成“平台赋能技术转化、产品承接场景落地”的双轮驱动模式，从技术供给、产业转化、融合机制、战略适配四大维度，与科技创新和产业创新深度融合应用场景领域核心要求高度契合，具体匹配性如下：第一，技术创新端为产业创新提供高质量供给：依托顶尖科研团队攻克非侵入</w:t>
      </w:r>
      <w:r>
        <w:rPr>
          <w:rFonts w:ascii="Times New Roman" w:eastAsia="仿宋_GB2312" w:hAnsi="Times New Roman" w:cs="Times New Roman" w:hint="eastAsia"/>
          <w:bCs/>
          <w:sz w:val="32"/>
          <w:szCs w:val="32"/>
        </w:rPr>
        <w:lastRenderedPageBreak/>
        <w:t>式脑机接口核心技术，形成专利、核心算法等自主成果，平台具备科研验证与定制研发能力，三大自研产品线直接衔接平台核心技术做场景化迭代，实现技术研发与产业应用无缝对接，让科技创新成果有明确产业落地出口。第二，产业创新端为科技创新提供市场化验证：中试平台精准解决脑机接口产业中试转化缺失的核心痛点，构建全链条服务体系，大幅压缩技术转化周期与成本；三大产品线切入医疗、养老、教育等民生刚需赛道，同时平台为第三方提供中试服务，实现技术成果的产业辐射，让科技创新在真实产业场景中完成验证与规模化应用。第三，科产融合机制契合双向赋能核心内涵：构建</w:t>
      </w:r>
      <w:r>
        <w:rPr>
          <w:rFonts w:ascii="Times New Roman" w:eastAsia="仿宋_GB2312" w:hAnsi="Times New Roman" w:cs="Times New Roman" w:hint="eastAsia"/>
          <w:bCs/>
          <w:sz w:val="32"/>
          <w:szCs w:val="32"/>
        </w:rPr>
        <w:t xml:space="preserve"> </w:t>
      </w:r>
      <w:r>
        <w:rPr>
          <w:rFonts w:ascii="Times New Roman" w:eastAsia="仿宋_GB2312" w:hAnsi="Times New Roman" w:cs="Times New Roman" w:hint="eastAsia"/>
          <w:bCs/>
          <w:sz w:val="32"/>
          <w:szCs w:val="32"/>
        </w:rPr>
        <w:t>“国企产业主体</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科研机构</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高校”</w:t>
      </w:r>
      <w:r>
        <w:rPr>
          <w:rFonts w:ascii="Times New Roman" w:eastAsia="仿宋_GB2312" w:hAnsi="Times New Roman" w:cs="Times New Roman" w:hint="eastAsia"/>
          <w:bCs/>
          <w:sz w:val="32"/>
          <w:szCs w:val="32"/>
        </w:rPr>
        <w:t xml:space="preserve"> </w:t>
      </w:r>
      <w:r>
        <w:rPr>
          <w:rFonts w:ascii="Times New Roman" w:eastAsia="仿宋_GB2312" w:hAnsi="Times New Roman" w:cs="Times New Roman" w:hint="eastAsia"/>
          <w:bCs/>
          <w:sz w:val="32"/>
          <w:szCs w:val="32"/>
        </w:rPr>
        <w:t>的产学研用一体化协同模式，形成“平台赋能产品、产品反哺平台“的双向闭环；同时推进省级行业标准制定、</w:t>
      </w:r>
      <w:r>
        <w:rPr>
          <w:rFonts w:ascii="Times New Roman" w:eastAsia="仿宋_GB2312" w:hAnsi="Times New Roman" w:cs="Times New Roman" w:hint="eastAsia"/>
          <w:bCs/>
          <w:sz w:val="32"/>
          <w:szCs w:val="32"/>
        </w:rPr>
        <w:t xml:space="preserve">GMP </w:t>
      </w:r>
      <w:r>
        <w:rPr>
          <w:rFonts w:ascii="Times New Roman" w:eastAsia="仿宋_GB2312" w:hAnsi="Times New Roman" w:cs="Times New Roman" w:hint="eastAsia"/>
          <w:bCs/>
          <w:sz w:val="32"/>
          <w:szCs w:val="32"/>
        </w:rPr>
        <w:t>生产规范完善、数据合规机制建立等“软建设”，实现技术、产业、制度的全方位深度融合，贴合领域申报核心要求。第四，战略与场景适配国家及区域发展布局：紧扣国家脑机接口技术创新与产业融合的战略要求，同时落地四川成都温江，精准匹配四川省脑机接口产业攻坚行动计划，助力四川打造全国一流产业创新高地；项目多场景落地模式，让科产融合成果服务于民生改善和产业升级，契合领域培育新质生产力的核心目标。本项目以中试平台为关键桥梁，实现了科技创新从实验室到产业端、产业创新从需求端反哺研发端的双向深度融</w:t>
      </w:r>
      <w:r>
        <w:rPr>
          <w:rFonts w:ascii="Times New Roman" w:eastAsia="仿宋_GB2312" w:hAnsi="Times New Roman" w:cs="Times New Roman" w:hint="eastAsia"/>
          <w:bCs/>
          <w:sz w:val="32"/>
          <w:szCs w:val="32"/>
        </w:rPr>
        <w:lastRenderedPageBreak/>
        <w:t>合，各维度均贴合科技创新和产业创新深度融合应用场景领域的核心要求。</w:t>
      </w:r>
    </w:p>
    <w:p w14:paraId="3E5E71C4" w14:textId="77777777" w:rsidR="00FB3E23" w:rsidRDefault="00000000">
      <w:pPr>
        <w:pStyle w:val="-"/>
        <w:numPr>
          <w:ilvl w:val="0"/>
          <w:numId w:val="1"/>
        </w:numPr>
        <w:adjustRightInd w:val="0"/>
        <w:ind w:firstLineChars="200"/>
        <w:outlineLvl w:val="0"/>
        <w:rPr>
          <w:rFonts w:eastAsia="方正楷体_GBK" w:cs="Times New Roman"/>
          <w:bCs/>
        </w:rPr>
      </w:pPr>
      <w:r>
        <w:rPr>
          <w:rFonts w:eastAsia="方正楷体_GBK" w:cs="Times New Roman"/>
          <w:bCs/>
        </w:rPr>
        <w:t>与国家</w:t>
      </w:r>
      <w:r>
        <w:rPr>
          <w:rFonts w:eastAsia="方正楷体_GBK" w:cs="Times New Roman"/>
          <w:bCs/>
        </w:rPr>
        <w:t>/</w:t>
      </w:r>
      <w:r>
        <w:rPr>
          <w:rFonts w:eastAsia="方正楷体_GBK" w:cs="Times New Roman"/>
          <w:bCs/>
        </w:rPr>
        <w:t>区域战略的关联性</w:t>
      </w:r>
    </w:p>
    <w:p w14:paraId="6C4D1786"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hint="eastAsia"/>
          <w:bCs/>
          <w:sz w:val="32"/>
          <w:szCs w:val="32"/>
        </w:rPr>
        <w:t>本项目紧扣国家与四川省核心发展战略，是国家顶层部署落地四川、区域战略承接国家布局的重要实践载体，在国家层面，高度契合国家将脑机接口列为未来产业和颠覆性技术的培育要求，精准落实科技创新与产业创新深度融合、场景培育开放的国家导向，同时以脑老化干预、助眠调控、注意力调控三大自研产品线为抓手，对接健康中国与积极应对人口老龄化国家战略，为医疗康复、居家健康、青少年教育等民生健康领域提供核心技术与产品支撑；在四川层面，精准承接《四川省脑机接口及人机交互产业攻坚突破行动计划（</w:t>
      </w:r>
      <w:r>
        <w:rPr>
          <w:rFonts w:ascii="Times New Roman" w:eastAsia="仿宋_GB2312" w:hAnsi="Times New Roman" w:cs="Times New Roman" w:hint="eastAsia"/>
          <w:bCs/>
          <w:sz w:val="32"/>
          <w:szCs w:val="32"/>
        </w:rPr>
        <w:t>2025-2030</w:t>
      </w:r>
      <w:r>
        <w:rPr>
          <w:rFonts w:ascii="Times New Roman" w:eastAsia="仿宋_GB2312" w:hAnsi="Times New Roman" w:cs="Times New Roman" w:hint="eastAsia"/>
          <w:bCs/>
          <w:sz w:val="32"/>
          <w:szCs w:val="32"/>
        </w:rPr>
        <w:t>年）》打造全国一流脑机接口产业创新发展高地的核心目标，作为四川首个、西南首个脑机接口中试公共技术服务平台，填补了区域脑机接口产业中试转化的关键空白，完善了区域产业链条，同时依托川内顶尖科研资源构建</w:t>
      </w:r>
      <w:r>
        <w:rPr>
          <w:rFonts w:ascii="Times New Roman" w:eastAsia="仿宋_GB2312" w:hAnsi="Times New Roman" w:cs="Times New Roman" w:hint="eastAsia"/>
          <w:bCs/>
          <w:sz w:val="32"/>
          <w:szCs w:val="32"/>
        </w:rPr>
        <w:t xml:space="preserve"> </w:t>
      </w:r>
      <w:r>
        <w:rPr>
          <w:rFonts w:ascii="Times New Roman" w:eastAsia="仿宋_GB2312" w:hAnsi="Times New Roman" w:cs="Times New Roman" w:hint="eastAsia"/>
          <w:bCs/>
          <w:sz w:val="32"/>
          <w:szCs w:val="32"/>
        </w:rPr>
        <w:t>“产学研用”</w:t>
      </w:r>
      <w:r>
        <w:rPr>
          <w:rFonts w:ascii="Times New Roman" w:eastAsia="仿宋_GB2312" w:hAnsi="Times New Roman" w:cs="Times New Roman" w:hint="eastAsia"/>
          <w:bCs/>
          <w:sz w:val="32"/>
          <w:szCs w:val="32"/>
        </w:rPr>
        <w:t xml:space="preserve"> </w:t>
      </w:r>
      <w:r>
        <w:rPr>
          <w:rFonts w:ascii="Times New Roman" w:eastAsia="仿宋_GB2312" w:hAnsi="Times New Roman" w:cs="Times New Roman" w:hint="eastAsia"/>
          <w:bCs/>
          <w:sz w:val="32"/>
          <w:szCs w:val="32"/>
        </w:rPr>
        <w:t>一体化协同模式，推动脑机接口核心技术本地研发、转化与产业化，吸引产业链上下游资源向西南集聚，助力四川培育脑机接口产业集群、提升在全国该领域的产业话语权，切实落实四川省未来产业布局、科技成果转化与区域创新能力提升的战略要求。</w:t>
      </w:r>
    </w:p>
    <w:p w14:paraId="397D5D9C" w14:textId="77777777" w:rsidR="00FB3E23" w:rsidRDefault="00000000">
      <w:pPr>
        <w:pStyle w:val="-"/>
        <w:adjustRightInd w:val="0"/>
        <w:ind w:firstLineChars="200"/>
        <w:outlineLvl w:val="0"/>
        <w:rPr>
          <w:rFonts w:eastAsia="黑体" w:cs="Times New Roman"/>
          <w:bCs/>
        </w:rPr>
      </w:pPr>
      <w:r>
        <w:rPr>
          <w:rFonts w:eastAsia="黑体" w:cs="Times New Roman"/>
          <w:bCs/>
        </w:rPr>
        <w:t>三、系统性验证方案设计</w:t>
      </w:r>
    </w:p>
    <w:p w14:paraId="5C181BDB"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lastRenderedPageBreak/>
        <w:t>1.</w:t>
      </w:r>
      <w:r>
        <w:rPr>
          <w:rFonts w:eastAsia="方正楷体_GBK" w:cs="Times New Roman"/>
          <w:bCs/>
        </w:rPr>
        <w:t>拟验证的新技术</w:t>
      </w:r>
      <w:r>
        <w:rPr>
          <w:rFonts w:eastAsia="方正楷体_GBK" w:cs="Times New Roman"/>
          <w:bCs/>
        </w:rPr>
        <w:t>/</w:t>
      </w:r>
      <w:r>
        <w:rPr>
          <w:rFonts w:eastAsia="方正楷体_GBK" w:cs="Times New Roman"/>
          <w:bCs/>
        </w:rPr>
        <w:t>新产品</w:t>
      </w:r>
      <w:r>
        <w:rPr>
          <w:rFonts w:eastAsia="方正楷体_GBK" w:cs="Times New Roman"/>
          <w:bCs/>
        </w:rPr>
        <w:t>/</w:t>
      </w:r>
      <w:r>
        <w:rPr>
          <w:rFonts w:eastAsia="方正楷体_GBK" w:cs="Times New Roman"/>
          <w:bCs/>
        </w:rPr>
        <w:t>新业态清单与说明</w:t>
      </w:r>
    </w:p>
    <w:p w14:paraId="00023EC2"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hint="eastAsia"/>
          <w:bCs/>
          <w:sz w:val="32"/>
          <w:szCs w:val="32"/>
        </w:rPr>
        <w:t>系统性验证方案围绕非侵入式脑机接口技术产业化落地与多场景融合应用核心目标，对拟落地的新技术、新产品、新业态开展全维度实操性验证，通过实际场景应用检验技术成熟度、产品适配性与业态可持续性，为脑机接口产业发展提供可复制的实践范式。拟验证的新技术包含高精度非侵入式脑电信号采集与抗干扰技术、基于深度学习的脑电信号核心算法模型、非侵入式脑机接口技术工程化与产品化转化技术，重点验证非侵入操作下脑电信号采集的精准性与稳定性，检验算法模型对认知、情绪、睡眠状态的实时解码及智能干预能力，同时验证实验室技术向商业化软硬件转化的工程化适配性与量产可行性，突破行业技术转化的核心痛点。拟验证的新产品为自研脑机接口产品，涵盖智享睡眠头环、注意力训练仪、医疗康复系统，分别验证睡眠头环的居家助眠干预效果与使用体验，注意力训练仪在教育场景的注意力提升效果与场景适配性，医疗康复系统针对神经退行性疾病、脑损伤后遗症的临床有效性与安全性，满足医疗康复、消费健康、教育训练等多领域的实际应用需求。拟验证的新业态涵盖四大类，一是脑机接口全链路中试公共服务模式，验证一站式中试服务的运营效率与产业辐射能力，解决行业产线、注册、标准等核心痛点；二是非侵入式脑机接口“硬件</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服务”融合商业化模式，验证硬件搭配定制化增值服务对提升</w:t>
      </w:r>
      <w:r>
        <w:rPr>
          <w:rFonts w:ascii="Times New Roman" w:eastAsia="仿宋_GB2312" w:hAnsi="Times New Roman" w:cs="Times New Roman" w:hint="eastAsia"/>
          <w:bCs/>
          <w:sz w:val="32"/>
          <w:szCs w:val="32"/>
        </w:rPr>
        <w:lastRenderedPageBreak/>
        <w:t>产品附加值与市场接受度的实际作用；三是产学研用协同的脑机接口科研成果转化业态，验证“科</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工</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医”一体化机制对科研成果工程化与产业化转化效率的优化效果；四是适配</w:t>
      </w:r>
      <w:r>
        <w:rPr>
          <w:rFonts w:ascii="Times New Roman" w:eastAsia="仿宋_GB2312" w:hAnsi="Times New Roman" w:cs="Times New Roman" w:hint="eastAsia"/>
          <w:bCs/>
          <w:sz w:val="32"/>
          <w:szCs w:val="32"/>
        </w:rPr>
        <w:t xml:space="preserve"> MAH</w:t>
      </w:r>
      <w:r>
        <w:rPr>
          <w:rFonts w:ascii="Times New Roman" w:eastAsia="仿宋_GB2312" w:hAnsi="Times New Roman" w:cs="Times New Roman" w:hint="eastAsia"/>
          <w:bCs/>
          <w:sz w:val="32"/>
          <w:szCs w:val="32"/>
        </w:rPr>
        <w:t>（药品上市许可持有人）制度的脑机接口医疗器械产业化业态，验证研发与生产分离模式对压缩医疗级产品注册周期、降低中小企业研发门槛的落地价值，形成适配行业特性的合规产业化路径。</w:t>
      </w:r>
    </w:p>
    <w:p w14:paraId="40E2242B"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2.</w:t>
      </w:r>
      <w:r>
        <w:rPr>
          <w:rFonts w:eastAsia="方正楷体_GBK" w:cs="Times New Roman"/>
          <w:bCs/>
        </w:rPr>
        <w:t>产业化应用验证路径设计</w:t>
      </w:r>
    </w:p>
    <w:p w14:paraId="2EE94230"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hint="eastAsia"/>
          <w:bCs/>
          <w:sz w:val="32"/>
          <w:szCs w:val="32"/>
        </w:rPr>
        <w:t>本项目产业化应用验证路径围绕四川脑机接口中试公共技术服务平台与脑老化调控仪、助眠仪、注意力调控仪三大自研产品线协同推进，平台端遵循“基础能力校准→内部试运营→第三方赋能→业态标准化输出”路径，先依托建成的中试服务中心、洁净生产区及核心设备，对照</w:t>
      </w:r>
      <w:r>
        <w:rPr>
          <w:rFonts w:ascii="Times New Roman" w:eastAsia="仿宋_GB2312" w:hAnsi="Times New Roman" w:cs="Times New Roman" w:hint="eastAsia"/>
          <w:bCs/>
          <w:sz w:val="32"/>
          <w:szCs w:val="32"/>
        </w:rPr>
        <w:t xml:space="preserve"> GMP </w:t>
      </w:r>
      <w:r>
        <w:rPr>
          <w:rFonts w:ascii="Times New Roman" w:eastAsia="仿宋_GB2312" w:hAnsi="Times New Roman" w:cs="Times New Roman" w:hint="eastAsia"/>
          <w:bCs/>
          <w:sz w:val="32"/>
          <w:szCs w:val="32"/>
        </w:rPr>
        <w:t>规范与</w:t>
      </w:r>
      <w:r>
        <w:rPr>
          <w:rFonts w:ascii="Times New Roman" w:eastAsia="仿宋_GB2312" w:hAnsi="Times New Roman" w:cs="Times New Roman" w:hint="eastAsia"/>
          <w:bCs/>
          <w:sz w:val="32"/>
          <w:szCs w:val="32"/>
        </w:rPr>
        <w:t xml:space="preserve"> MAH </w:t>
      </w:r>
      <w:r>
        <w:rPr>
          <w:rFonts w:ascii="Times New Roman" w:eastAsia="仿宋_GB2312" w:hAnsi="Times New Roman" w:cs="Times New Roman" w:hint="eastAsia"/>
          <w:bCs/>
          <w:sz w:val="32"/>
          <w:szCs w:val="32"/>
        </w:rPr>
        <w:t>制度校准技术验证、中试熟化等基础服务能力，再以三大自研产品线为内部样本验证全链条服务衔接效率并优化流程，面向高校、科研机构及行业中小企业开放服务，验证公共服务通用性与市场化可持续性，最后梳理经验提炼中试转化技术规范，融入省、国家级行业标准制定，完善制度机制并形成可复制的中试公共服务业态模式；产品线端以合规为先行原则，遵循“核心技术中试熟化</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分场景小试验证</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小批量量产试点</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规模化推广迭代”路径，先依托平台完成脑电精准监测等底层核心技术的工程化改造与定型验证，再</w:t>
      </w:r>
      <w:r>
        <w:rPr>
          <w:rFonts w:ascii="Times New Roman" w:eastAsia="仿宋_GB2312" w:hAnsi="Times New Roman" w:cs="Times New Roman" w:hint="eastAsia"/>
          <w:bCs/>
          <w:sz w:val="32"/>
          <w:szCs w:val="32"/>
        </w:rPr>
        <w:lastRenderedPageBreak/>
        <w:t>按产品定位分专属场景小范围验证，助眠仪聚焦居家及康养机构、注意力调控仪切入中小学及特殊教育机构、脑老化调控仪联合三甲医院及养老机构，收集反馈快速迭代优化产品，接着实现小批量量产并以成都温江区为核心辐射西南开展市场化试点，验证量产工艺与市场接受度，最后完成产品定型与合规准入并全国规模化推广，同时依托场景应用数据持续反哺核心技术升级，形成“产品应用</w:t>
      </w:r>
      <w:r>
        <w:rPr>
          <w:rFonts w:ascii="Times New Roman" w:eastAsia="仿宋_GB2312" w:hAnsi="Times New Roman" w:cs="Times New Roman" w:hint="eastAsia"/>
          <w:bCs/>
          <w:sz w:val="32"/>
          <w:szCs w:val="32"/>
        </w:rPr>
        <w:t xml:space="preserve"> - </w:t>
      </w:r>
      <w:r>
        <w:rPr>
          <w:rFonts w:ascii="Times New Roman" w:eastAsia="仿宋_GB2312" w:hAnsi="Times New Roman" w:cs="Times New Roman" w:hint="eastAsia"/>
          <w:bCs/>
          <w:sz w:val="32"/>
          <w:szCs w:val="32"/>
        </w:rPr>
        <w:t>数据反馈</w:t>
      </w:r>
      <w:r>
        <w:rPr>
          <w:rFonts w:ascii="Times New Roman" w:eastAsia="仿宋_GB2312" w:hAnsi="Times New Roman" w:cs="Times New Roman" w:hint="eastAsia"/>
          <w:bCs/>
          <w:sz w:val="32"/>
          <w:szCs w:val="32"/>
        </w:rPr>
        <w:t xml:space="preserve"> - </w:t>
      </w:r>
      <w:r>
        <w:rPr>
          <w:rFonts w:ascii="Times New Roman" w:eastAsia="仿宋_GB2312" w:hAnsi="Times New Roman" w:cs="Times New Roman" w:hint="eastAsia"/>
          <w:bCs/>
          <w:sz w:val="32"/>
          <w:szCs w:val="32"/>
        </w:rPr>
        <w:t>技术优化”的良性循环，实现平台与产品线相互支撑、协同验证的产业化应用落地。</w:t>
      </w:r>
    </w:p>
    <w:p w14:paraId="33156DCB" w14:textId="77777777" w:rsidR="00FB3E23" w:rsidRDefault="00000000">
      <w:pPr>
        <w:pStyle w:val="-"/>
        <w:numPr>
          <w:ilvl w:val="0"/>
          <w:numId w:val="2"/>
        </w:numPr>
        <w:adjustRightInd w:val="0"/>
        <w:ind w:firstLineChars="200"/>
        <w:outlineLvl w:val="0"/>
        <w:rPr>
          <w:rFonts w:eastAsia="方正楷体_GBK" w:cs="Times New Roman"/>
          <w:bCs/>
        </w:rPr>
      </w:pPr>
      <w:r>
        <w:rPr>
          <w:rFonts w:eastAsia="方正楷体_GBK" w:cs="Times New Roman"/>
          <w:bCs/>
        </w:rPr>
        <w:t>配套基础设施需求与建设安排</w:t>
      </w:r>
    </w:p>
    <w:p w14:paraId="5F144F50"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hint="eastAsia"/>
          <w:bCs/>
          <w:sz w:val="32"/>
          <w:szCs w:val="32"/>
        </w:rPr>
        <w:t>项目配套基础设施的核心需求涵盖五大类，既需要配置高精度非侵入式脑电信号采集检测、自动化中试试制产线、</w:t>
      </w:r>
      <w:r>
        <w:rPr>
          <w:rFonts w:ascii="Times New Roman" w:eastAsia="仿宋_GB2312" w:hAnsi="Times New Roman" w:cs="Times New Roman" w:hint="eastAsia"/>
          <w:bCs/>
          <w:sz w:val="32"/>
          <w:szCs w:val="32"/>
        </w:rPr>
        <w:t xml:space="preserve">MAH </w:t>
      </w:r>
      <w:r>
        <w:rPr>
          <w:rFonts w:ascii="Times New Roman" w:eastAsia="仿宋_GB2312" w:hAnsi="Times New Roman" w:cs="Times New Roman" w:hint="eastAsia"/>
          <w:bCs/>
          <w:sz w:val="32"/>
          <w:szCs w:val="32"/>
        </w:rPr>
        <w:t>合规检测等中试平台核心硬件设备，也需要建设标准化中试服务中心、专属临床验证基地、产业链配套辅助场地等专业化场地载体，还需搭建脑机接口专属数据管理平台、产学研用协同数字化平台等数字化基础设施，配套医疗康复、基础教育、养老康养等多类型场景验证设施，以及完善能源网络、环保消防等公共保障设施和人才实训基地、会议交流区等产业配套设施，全方位支撑平台全链路服务、产品研发合规及产业生态集聚。项目基础设施建设分阶段推进且优先保障中试平台核心能力与产品研发试制的相关建设，启动期优先复用产业园现有基础公共设施，完成核心场地规划装修、</w:t>
      </w:r>
      <w:r>
        <w:rPr>
          <w:rFonts w:ascii="Times New Roman" w:eastAsia="仿宋_GB2312" w:hAnsi="Times New Roman" w:cs="Times New Roman" w:hint="eastAsia"/>
          <w:bCs/>
          <w:sz w:val="32"/>
          <w:szCs w:val="32"/>
        </w:rPr>
        <w:lastRenderedPageBreak/>
        <w:t>核心硬件购置部署、数据管理平台基础框架搭建，同时联合本地高校、医院初步共建临床验证基地，满足项目初期轻量运营与产品研发的基本需求；建设期依托自有资金，完成中试平台自动化产线搭建升级、</w:t>
      </w:r>
      <w:r>
        <w:rPr>
          <w:rFonts w:ascii="Times New Roman" w:eastAsia="仿宋_GB2312" w:hAnsi="Times New Roman" w:cs="Times New Roman" w:hint="eastAsia"/>
          <w:bCs/>
          <w:sz w:val="32"/>
          <w:szCs w:val="32"/>
        </w:rPr>
        <w:t xml:space="preserve">MAH </w:t>
      </w:r>
      <w:r>
        <w:rPr>
          <w:rFonts w:ascii="Times New Roman" w:eastAsia="仿宋_GB2312" w:hAnsi="Times New Roman" w:cs="Times New Roman" w:hint="eastAsia"/>
          <w:bCs/>
          <w:sz w:val="32"/>
          <w:szCs w:val="32"/>
        </w:rPr>
        <w:t>合规检测设备配齐，实现平台全链路硬件能力覆盖，完成各类数字化平台的全功能开发上线，扩建并标准化临床验证基地，打造多场景模拟验证区，配齐各类基础配套设施，满足自研产品临床申报、场景测试及第三方企业中试服务的核心需求；运营完善期则根据平台运营与产品产业化的实际需求，迭代优化产线设备与数字化平台功能，拓展场景验证配套设施，规划建设产业链配套辅助场地与公共服务设施，推动基础设施从项目自用向产业共享升级，形成核心设施自用、公共设施共享的基础设施体系。整个项目建设过程中始终坚持协同共建模式，与电子科技大学、四川脑科学及类脑智能研究院等高校科研院所共建算法研发实验室，与本地三甲医院、康养机构、中小学等共建场景验证基地，共享科研、临床与场景资源，减少重复建设并提升设施利用效率，同时依托产业园的产业服务体系，完善金融、物流等配套服务，实现基础设施与产业服务的一体化配套，为项目全周期运营与脑机接口产业生态构建提供全方位支撑。</w:t>
      </w:r>
    </w:p>
    <w:p w14:paraId="53FF814C"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4.</w:t>
      </w:r>
      <w:r>
        <w:rPr>
          <w:rFonts w:eastAsia="方正楷体_GBK" w:cs="Times New Roman"/>
          <w:bCs/>
        </w:rPr>
        <w:t>商业模式验证计划</w:t>
      </w:r>
    </w:p>
    <w:p w14:paraId="6BBDA6EA" w14:textId="77777777" w:rsidR="00FB3E23" w:rsidRDefault="00000000">
      <w:pPr>
        <w:widowControl/>
        <w:spacing w:line="480" w:lineRule="atLeast"/>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bCs/>
          <w:sz w:val="32"/>
          <w:szCs w:val="32"/>
        </w:rPr>
        <w:lastRenderedPageBreak/>
        <w:t>围绕</w:t>
      </w:r>
      <w:r>
        <w:rPr>
          <w:rFonts w:ascii="Times New Roman" w:eastAsia="仿宋_GB2312" w:hAnsi="Times New Roman" w:cs="Times New Roman"/>
          <w:bCs/>
          <w:sz w:val="32"/>
          <w:szCs w:val="32"/>
        </w:rPr>
        <w:t>“</w:t>
      </w:r>
      <w:r>
        <w:rPr>
          <w:rFonts w:ascii="Times New Roman" w:eastAsia="仿宋_GB2312" w:hAnsi="Times New Roman" w:cs="Times New Roman"/>
          <w:bCs/>
          <w:sz w:val="32"/>
          <w:szCs w:val="32"/>
        </w:rPr>
        <w:t>平台赋能</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产品落地</w:t>
      </w:r>
      <w:r>
        <w:rPr>
          <w:rFonts w:ascii="Times New Roman" w:eastAsia="仿宋_GB2312" w:hAnsi="Times New Roman" w:cs="Times New Roman"/>
          <w:bCs/>
          <w:sz w:val="32"/>
          <w:szCs w:val="32"/>
        </w:rPr>
        <w:t>”</w:t>
      </w:r>
      <w:r>
        <w:rPr>
          <w:rFonts w:ascii="Times New Roman" w:eastAsia="仿宋_GB2312" w:hAnsi="Times New Roman" w:cs="Times New Roman"/>
          <w:bCs/>
          <w:sz w:val="32"/>
          <w:szCs w:val="32"/>
        </w:rPr>
        <w:t>双轮驱动的核心商业模式开展分阶段、分模块验证，聚焦四川脑机接口中试公共技术服务平台的技术服务型商业模式与脑老化调控仪、助眠仪、注意力调控仪三大自研产品线的</w:t>
      </w:r>
      <w:r>
        <w:rPr>
          <w:rFonts w:ascii="Times New Roman" w:eastAsia="仿宋_GB2312" w:hAnsi="Times New Roman" w:cs="Times New Roman"/>
          <w:bCs/>
          <w:sz w:val="32"/>
          <w:szCs w:val="32"/>
        </w:rPr>
        <w:t>“</w:t>
      </w:r>
      <w:r>
        <w:rPr>
          <w:rFonts w:ascii="Times New Roman" w:eastAsia="仿宋_GB2312" w:hAnsi="Times New Roman" w:cs="Times New Roman"/>
          <w:bCs/>
          <w:sz w:val="32"/>
          <w:szCs w:val="32"/>
        </w:rPr>
        <w:t>硬件</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服务</w:t>
      </w:r>
      <w:r>
        <w:rPr>
          <w:rFonts w:ascii="Times New Roman" w:eastAsia="仿宋_GB2312" w:hAnsi="Times New Roman" w:cs="Times New Roman"/>
          <w:bCs/>
          <w:sz w:val="32"/>
          <w:szCs w:val="32"/>
        </w:rPr>
        <w:t>”</w:t>
      </w:r>
      <w:r>
        <w:rPr>
          <w:rFonts w:ascii="Times New Roman" w:eastAsia="仿宋_GB2312" w:hAnsi="Times New Roman" w:cs="Times New Roman"/>
          <w:bCs/>
          <w:sz w:val="32"/>
          <w:szCs w:val="32"/>
        </w:rPr>
        <w:t>融合商业模式，按试运营验证、区域试点验证、规模化推广验证三个阶段推进，通过实际市场运营收集数据、优化模式，最终验证商业模式的盈利性、可持续性与可复制性，同时实现平台与产品线的商业模式协同互补、双向赋能。</w:t>
      </w:r>
    </w:p>
    <w:p w14:paraId="18846C2B" w14:textId="77777777" w:rsidR="00FB3E23" w:rsidRDefault="00000000">
      <w:pPr>
        <w:pStyle w:val="3"/>
        <w:widowControl/>
        <w:spacing w:beforeAutospacing="0" w:afterAutospacing="0" w:line="480" w:lineRule="atLeast"/>
        <w:ind w:firstLineChars="200" w:firstLine="640"/>
        <w:rPr>
          <w:rFonts w:ascii="Times New Roman" w:eastAsia="仿宋_GB2312" w:hAnsi="Times New Roman" w:hint="default"/>
          <w:b w:val="0"/>
          <w:kern w:val="2"/>
          <w:sz w:val="32"/>
          <w:szCs w:val="32"/>
        </w:rPr>
      </w:pPr>
      <w:r>
        <w:rPr>
          <w:rFonts w:ascii="Times New Roman" w:eastAsia="仿宋_GB2312" w:hAnsi="Times New Roman" w:hint="default"/>
          <w:b w:val="0"/>
          <w:kern w:val="2"/>
          <w:sz w:val="32"/>
          <w:szCs w:val="32"/>
        </w:rPr>
        <w:t>第一阶段：试运营基础验证（第</w:t>
      </w:r>
      <w:r>
        <w:rPr>
          <w:rFonts w:ascii="Times New Roman" w:eastAsia="仿宋_GB2312" w:hAnsi="Times New Roman" w:hint="default"/>
          <w:b w:val="0"/>
          <w:kern w:val="2"/>
          <w:sz w:val="32"/>
          <w:szCs w:val="32"/>
        </w:rPr>
        <w:t>1-12</w:t>
      </w:r>
      <w:r>
        <w:rPr>
          <w:rFonts w:ascii="Times New Roman" w:eastAsia="仿宋_GB2312" w:hAnsi="Times New Roman" w:hint="default"/>
          <w:b w:val="0"/>
          <w:kern w:val="2"/>
          <w:sz w:val="32"/>
          <w:szCs w:val="32"/>
        </w:rPr>
        <w:t>个月）</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以成都温江区为核心开展小范围试运营，平台端仅对自研产品线及少量合作科研机构、初创企业开放，验证技术验证、中试熟化、小批量试制等基础服务的定价合理性、服务效率与成本控制能力，探索基础服务费的梯度定价模式，初步验证平台技术服务的商业可行性；产品线端按产品定位开展场景化轻量试销，助眠仪以线上电商、线下康养体验店为轻渠道试销，注意力调控仪与温江本地中小学、特殊教育机构合作试点，脑老化调控仪联合温江三甲医院、养老机构开展临床试用与定向销售，验证各产品的定价体系、场景渠道适配性与单产品基础盈利性，收集用户反馈优化产品形态与销售策略，夯实</w:t>
      </w:r>
      <w:r>
        <w:rPr>
          <w:rFonts w:ascii="Times New Roman" w:eastAsia="仿宋_GB2312" w:hAnsi="Times New Roman" w:hint="default"/>
          <w:b w:val="0"/>
          <w:kern w:val="2"/>
          <w:sz w:val="32"/>
          <w:szCs w:val="32"/>
        </w:rPr>
        <w:t xml:space="preserve"> “</w:t>
      </w:r>
      <w:r>
        <w:rPr>
          <w:rFonts w:ascii="Times New Roman" w:eastAsia="仿宋_GB2312" w:hAnsi="Times New Roman" w:hint="default"/>
          <w:b w:val="0"/>
          <w:kern w:val="2"/>
          <w:sz w:val="32"/>
          <w:szCs w:val="32"/>
        </w:rPr>
        <w:t>硬件销售</w:t>
      </w:r>
      <w:r>
        <w:rPr>
          <w:rFonts w:ascii="Times New Roman" w:eastAsia="仿宋_GB2312" w:hAnsi="Times New Roman" w:hint="default"/>
          <w:b w:val="0"/>
          <w:kern w:val="2"/>
          <w:sz w:val="32"/>
          <w:szCs w:val="32"/>
        </w:rPr>
        <w:t xml:space="preserve">” </w:t>
      </w:r>
      <w:r>
        <w:rPr>
          <w:rFonts w:ascii="Times New Roman" w:eastAsia="仿宋_GB2312" w:hAnsi="Times New Roman" w:hint="default"/>
          <w:b w:val="0"/>
          <w:kern w:val="2"/>
          <w:sz w:val="32"/>
          <w:szCs w:val="32"/>
        </w:rPr>
        <w:t>核心模式的基础。</w:t>
      </w:r>
    </w:p>
    <w:p w14:paraId="42FDF37B" w14:textId="77777777" w:rsidR="00FB3E23" w:rsidRDefault="00000000">
      <w:pPr>
        <w:pStyle w:val="3"/>
        <w:widowControl/>
        <w:spacing w:beforeAutospacing="0" w:afterAutospacing="0" w:line="480" w:lineRule="atLeast"/>
        <w:ind w:firstLineChars="200" w:firstLine="640"/>
        <w:rPr>
          <w:rFonts w:ascii="Times New Roman" w:eastAsia="仿宋_GB2312" w:hAnsi="Times New Roman" w:hint="default"/>
          <w:b w:val="0"/>
          <w:kern w:val="2"/>
          <w:sz w:val="32"/>
          <w:szCs w:val="32"/>
        </w:rPr>
      </w:pPr>
      <w:r>
        <w:rPr>
          <w:rFonts w:ascii="Times New Roman" w:eastAsia="仿宋_GB2312" w:hAnsi="Times New Roman" w:hint="default"/>
          <w:b w:val="0"/>
          <w:kern w:val="2"/>
          <w:sz w:val="32"/>
          <w:szCs w:val="32"/>
        </w:rPr>
        <w:t>第二阶段：区域试点优化验证（第</w:t>
      </w:r>
      <w:r>
        <w:rPr>
          <w:rFonts w:ascii="Times New Roman" w:eastAsia="仿宋_GB2312" w:hAnsi="Times New Roman" w:hint="default"/>
          <w:b w:val="0"/>
          <w:kern w:val="2"/>
          <w:sz w:val="32"/>
          <w:szCs w:val="32"/>
        </w:rPr>
        <w:t>13-24</w:t>
      </w:r>
      <w:r>
        <w:rPr>
          <w:rFonts w:ascii="Times New Roman" w:eastAsia="仿宋_GB2312" w:hAnsi="Times New Roman" w:hint="default"/>
          <w:b w:val="0"/>
          <w:kern w:val="2"/>
          <w:sz w:val="32"/>
          <w:szCs w:val="32"/>
        </w:rPr>
        <w:t>个月）</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以温江为核心辐射西南区域开展试点运营，平台端全面开放西南</w:t>
      </w:r>
      <w:r>
        <w:rPr>
          <w:rFonts w:ascii="Times New Roman" w:eastAsia="仿宋_GB2312" w:hAnsi="Times New Roman" w:hint="default"/>
          <w:b w:val="0"/>
          <w:kern w:val="2"/>
          <w:sz w:val="32"/>
          <w:szCs w:val="32"/>
        </w:rPr>
        <w:lastRenderedPageBreak/>
        <w:t>区域脑机接口上下游企业、科研院所，新增医疗器械注册辅导、定制化研发、成果孵化等增值服务，验证增值服务的市场需求与盈利贡献，优化</w:t>
      </w:r>
      <w:r>
        <w:rPr>
          <w:rFonts w:ascii="Times New Roman" w:eastAsia="仿宋_GB2312" w:hAnsi="Times New Roman" w:hint="default"/>
          <w:b w:val="0"/>
          <w:kern w:val="2"/>
          <w:sz w:val="32"/>
          <w:szCs w:val="32"/>
        </w:rPr>
        <w:t>“</w:t>
      </w:r>
      <w:r>
        <w:rPr>
          <w:rFonts w:ascii="Times New Roman" w:eastAsia="仿宋_GB2312" w:hAnsi="Times New Roman" w:hint="default"/>
          <w:b w:val="0"/>
          <w:kern w:val="2"/>
          <w:sz w:val="32"/>
          <w:szCs w:val="32"/>
        </w:rPr>
        <w:t>基础服务费</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增值服务费</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成果转化分成</w:t>
      </w:r>
      <w:r>
        <w:rPr>
          <w:rFonts w:ascii="Times New Roman" w:eastAsia="仿宋_GB2312" w:hAnsi="Times New Roman" w:hint="default"/>
          <w:b w:val="0"/>
          <w:kern w:val="2"/>
          <w:sz w:val="32"/>
          <w:szCs w:val="32"/>
        </w:rPr>
        <w:t>”</w:t>
      </w:r>
      <w:r>
        <w:rPr>
          <w:rFonts w:ascii="Times New Roman" w:eastAsia="仿宋_GB2312" w:hAnsi="Times New Roman" w:hint="default"/>
          <w:b w:val="0"/>
          <w:kern w:val="2"/>
          <w:sz w:val="32"/>
          <w:szCs w:val="32"/>
        </w:rPr>
        <w:t>的多元盈利结构，同时验证平台公共服务的客户获取效率、复购率与区域辐射能力；产品线端实现小批量量产，在西南核心城市布局渠道网络，探索</w:t>
      </w:r>
      <w:r>
        <w:rPr>
          <w:rFonts w:ascii="Times New Roman" w:eastAsia="仿宋_GB2312" w:hAnsi="Times New Roman" w:hint="default"/>
          <w:b w:val="0"/>
          <w:kern w:val="2"/>
          <w:sz w:val="32"/>
          <w:szCs w:val="32"/>
        </w:rPr>
        <w:t>“</w:t>
      </w:r>
      <w:r>
        <w:rPr>
          <w:rFonts w:ascii="Times New Roman" w:eastAsia="仿宋_GB2312" w:hAnsi="Times New Roman" w:hint="default"/>
          <w:b w:val="0"/>
          <w:kern w:val="2"/>
          <w:sz w:val="32"/>
          <w:szCs w:val="32"/>
        </w:rPr>
        <w:t>硬件</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增值服务</w:t>
      </w:r>
      <w:r>
        <w:rPr>
          <w:rFonts w:ascii="Times New Roman" w:eastAsia="仿宋_GB2312" w:hAnsi="Times New Roman" w:hint="default"/>
          <w:b w:val="0"/>
          <w:kern w:val="2"/>
          <w:sz w:val="32"/>
          <w:szCs w:val="32"/>
        </w:rPr>
        <w:t>”</w:t>
      </w:r>
      <w:r>
        <w:rPr>
          <w:rFonts w:ascii="Times New Roman" w:eastAsia="仿宋_GB2312" w:hAnsi="Times New Roman" w:hint="default"/>
          <w:b w:val="0"/>
          <w:kern w:val="2"/>
          <w:sz w:val="32"/>
          <w:szCs w:val="32"/>
        </w:rPr>
        <w:t>融合模式，如注意力调控仪配套青少年注意力训练课程、脑老化调控仪提供定制化认知康复康养方案、助眠仪上线居家睡眠管理会员服务，验证增值服务对产品毛利率的提升作用，同时探索</w:t>
      </w:r>
      <w:r>
        <w:rPr>
          <w:rFonts w:ascii="Times New Roman" w:eastAsia="仿宋_GB2312" w:hAnsi="Times New Roman" w:hint="default"/>
          <w:b w:val="0"/>
          <w:kern w:val="2"/>
          <w:sz w:val="32"/>
          <w:szCs w:val="32"/>
        </w:rPr>
        <w:t xml:space="preserve"> ToB </w:t>
      </w:r>
      <w:r>
        <w:rPr>
          <w:rFonts w:ascii="Times New Roman" w:eastAsia="仿宋_GB2312" w:hAnsi="Times New Roman" w:hint="default"/>
          <w:b w:val="0"/>
          <w:kern w:val="2"/>
          <w:sz w:val="32"/>
          <w:szCs w:val="32"/>
        </w:rPr>
        <w:t>端机构合作的分成机制与</w:t>
      </w:r>
      <w:r>
        <w:rPr>
          <w:rFonts w:ascii="Times New Roman" w:eastAsia="仿宋_GB2312" w:hAnsi="Times New Roman" w:hint="default"/>
          <w:b w:val="0"/>
          <w:kern w:val="2"/>
          <w:sz w:val="32"/>
          <w:szCs w:val="32"/>
        </w:rPr>
        <w:t xml:space="preserve"> ToC </w:t>
      </w:r>
      <w:r>
        <w:rPr>
          <w:rFonts w:ascii="Times New Roman" w:eastAsia="仿宋_GB2312" w:hAnsi="Times New Roman" w:hint="default"/>
          <w:b w:val="0"/>
          <w:kern w:val="2"/>
          <w:sz w:val="32"/>
          <w:szCs w:val="32"/>
        </w:rPr>
        <w:t>端零售的渠道运营效率，优化成本结构与盈利模式。</w:t>
      </w:r>
    </w:p>
    <w:p w14:paraId="5885D0FE" w14:textId="77777777" w:rsidR="00FB3E23" w:rsidRDefault="00000000">
      <w:pPr>
        <w:pStyle w:val="3"/>
        <w:widowControl/>
        <w:spacing w:beforeAutospacing="0" w:afterAutospacing="0" w:line="480" w:lineRule="atLeast"/>
        <w:ind w:firstLineChars="200" w:firstLine="640"/>
        <w:rPr>
          <w:rFonts w:ascii="Times New Roman" w:eastAsia="仿宋_GB2312" w:hAnsi="Times New Roman" w:hint="default"/>
          <w:b w:val="0"/>
          <w:kern w:val="2"/>
          <w:sz w:val="32"/>
          <w:szCs w:val="32"/>
        </w:rPr>
      </w:pPr>
      <w:r>
        <w:rPr>
          <w:rFonts w:ascii="Times New Roman" w:eastAsia="仿宋_GB2312" w:hAnsi="Times New Roman" w:hint="default"/>
          <w:b w:val="0"/>
          <w:kern w:val="2"/>
          <w:sz w:val="32"/>
          <w:szCs w:val="32"/>
        </w:rPr>
        <w:t>第三阶段：规模化推广定型验证（第</w:t>
      </w:r>
      <w:r>
        <w:rPr>
          <w:rFonts w:ascii="Times New Roman" w:eastAsia="仿宋_GB2312" w:hAnsi="Times New Roman" w:hint="default"/>
          <w:b w:val="0"/>
          <w:kern w:val="2"/>
          <w:sz w:val="32"/>
          <w:szCs w:val="32"/>
        </w:rPr>
        <w:t>25-36</w:t>
      </w:r>
      <w:r>
        <w:rPr>
          <w:rFonts w:ascii="Times New Roman" w:eastAsia="仿宋_GB2312" w:hAnsi="Times New Roman" w:hint="default"/>
          <w:b w:val="0"/>
          <w:kern w:val="2"/>
          <w:sz w:val="32"/>
          <w:szCs w:val="32"/>
        </w:rPr>
        <w:t>个月）</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面向全国开展规模化推广，平台端打造标准化中试服务包，辐射全国脑机接口产业链主体，同时探索产业生态合作模式，如与产业链核心企业共建联合实验室、与地方政府合作打造脑机接口产业孵化基地，验证平台规模化运营的盈利性与生态可持续性，形成可复制的平台技术服务商业模式模板；产品线端完成全国线上线下全渠道布局，实现</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 xml:space="preserve">ToB </w:t>
      </w:r>
      <w:r>
        <w:rPr>
          <w:rFonts w:ascii="Times New Roman" w:eastAsia="仿宋_GB2312" w:hAnsi="Times New Roman" w:hint="default"/>
          <w:b w:val="0"/>
          <w:kern w:val="2"/>
          <w:sz w:val="32"/>
          <w:szCs w:val="32"/>
        </w:rPr>
        <w:t>机构整体解决方案</w:t>
      </w:r>
      <w:r>
        <w:rPr>
          <w:rFonts w:ascii="Times New Roman" w:eastAsia="仿宋_GB2312" w:hAnsi="Times New Roman" w:hint="default"/>
          <w:b w:val="0"/>
          <w:kern w:val="2"/>
          <w:sz w:val="32"/>
          <w:szCs w:val="32"/>
        </w:rPr>
        <w:t xml:space="preserve"> + ToC </w:t>
      </w:r>
      <w:r>
        <w:rPr>
          <w:rFonts w:ascii="Times New Roman" w:eastAsia="仿宋_GB2312" w:hAnsi="Times New Roman" w:hint="default"/>
          <w:b w:val="0"/>
          <w:kern w:val="2"/>
          <w:sz w:val="32"/>
          <w:szCs w:val="32"/>
        </w:rPr>
        <w:t>家用产品零售</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的双轨运营，</w:t>
      </w:r>
      <w:r>
        <w:rPr>
          <w:rFonts w:ascii="Times New Roman" w:eastAsia="仿宋_GB2312" w:hAnsi="Times New Roman" w:hint="default"/>
          <w:b w:val="0"/>
          <w:kern w:val="2"/>
          <w:sz w:val="32"/>
          <w:szCs w:val="32"/>
        </w:rPr>
        <w:t xml:space="preserve">ToB </w:t>
      </w:r>
      <w:r>
        <w:rPr>
          <w:rFonts w:ascii="Times New Roman" w:eastAsia="仿宋_GB2312" w:hAnsi="Times New Roman" w:hint="default"/>
          <w:b w:val="0"/>
          <w:kern w:val="2"/>
          <w:sz w:val="32"/>
          <w:szCs w:val="32"/>
        </w:rPr>
        <w:t>为医院、养老机构、教育机构提供定制化的脑机接口应用整体方案，</w:t>
      </w:r>
      <w:r>
        <w:rPr>
          <w:rFonts w:ascii="Times New Roman" w:eastAsia="仿宋_GB2312" w:hAnsi="Times New Roman" w:hint="default"/>
          <w:b w:val="0"/>
          <w:kern w:val="2"/>
          <w:sz w:val="32"/>
          <w:szCs w:val="32"/>
        </w:rPr>
        <w:t xml:space="preserve">ToC </w:t>
      </w:r>
      <w:r>
        <w:rPr>
          <w:rFonts w:ascii="Times New Roman" w:eastAsia="仿宋_GB2312" w:hAnsi="Times New Roman" w:hint="default"/>
          <w:b w:val="0"/>
          <w:kern w:val="2"/>
          <w:sz w:val="32"/>
          <w:szCs w:val="32"/>
        </w:rPr>
        <w:t>打造</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纽洛星</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自主品牌实现规模化零售，验证品牌化运营与双轨模式的协同效应，同时持续优化</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硬件</w:t>
      </w:r>
      <w:r>
        <w:rPr>
          <w:rFonts w:ascii="Times New Roman" w:eastAsia="仿宋_GB2312" w:hAnsi="Times New Roman" w:hint="default"/>
          <w:b w:val="0"/>
          <w:kern w:val="2"/>
          <w:sz w:val="32"/>
          <w:szCs w:val="32"/>
        </w:rPr>
        <w:t xml:space="preserve"> + </w:t>
      </w:r>
      <w:r>
        <w:rPr>
          <w:rFonts w:ascii="Times New Roman" w:eastAsia="仿宋_GB2312" w:hAnsi="Times New Roman" w:hint="default"/>
          <w:b w:val="0"/>
          <w:kern w:val="2"/>
          <w:sz w:val="32"/>
          <w:szCs w:val="32"/>
        </w:rPr>
        <w:t>服务</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lastRenderedPageBreak/>
        <w:t>的收入结构，提升服务收入占比；最终通过全维度数据复盘，验证整个项目</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平台服务反哺产品研发、产品落地带动平台流量</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的双轮驱动商业模式的整体盈利性、市场可持续性与全国可复制性，形成定型化的商业模式并全面推广。</w:t>
      </w:r>
    </w:p>
    <w:p w14:paraId="6BDF0347" w14:textId="77777777" w:rsidR="00FB3E23" w:rsidRDefault="00000000">
      <w:pPr>
        <w:pStyle w:val="3"/>
        <w:widowControl/>
        <w:spacing w:beforeAutospacing="0" w:afterAutospacing="0" w:line="480" w:lineRule="atLeast"/>
        <w:ind w:firstLineChars="200" w:firstLine="640"/>
        <w:rPr>
          <w:rFonts w:ascii="Times New Roman" w:eastAsia="方正楷体_GBK" w:hAnsi="Times New Roman" w:hint="default"/>
          <w:szCs w:val="32"/>
        </w:rPr>
      </w:pPr>
      <w:r>
        <w:rPr>
          <w:rFonts w:ascii="Times New Roman" w:eastAsia="仿宋_GB2312" w:hAnsi="Times New Roman" w:hint="default"/>
          <w:b w:val="0"/>
          <w:kern w:val="2"/>
          <w:sz w:val="32"/>
          <w:szCs w:val="32"/>
        </w:rPr>
        <w:t>核心验证指标与优化机制</w:t>
      </w:r>
      <w:r>
        <w:rPr>
          <w:rFonts w:ascii="Times New Roman" w:eastAsia="仿宋_GB2312" w:hAnsi="Times New Roman"/>
          <w:b w:val="0"/>
          <w:kern w:val="2"/>
          <w:sz w:val="32"/>
          <w:szCs w:val="32"/>
        </w:rPr>
        <w:t>，</w:t>
      </w:r>
      <w:r>
        <w:rPr>
          <w:rFonts w:ascii="Times New Roman" w:eastAsia="仿宋_GB2312" w:hAnsi="Times New Roman" w:hint="default"/>
          <w:b w:val="0"/>
          <w:kern w:val="2"/>
          <w:sz w:val="32"/>
          <w:szCs w:val="32"/>
        </w:rPr>
        <w:t>设定量化验证指标，平台端重点监测服务客户数、服务转化率、客单价、各服务模块毛利率、复购率；产品线端重点监测产品销量、渠道铺货率、毛利率、增值服务收入占比、</w:t>
      </w:r>
      <w:r>
        <w:rPr>
          <w:rFonts w:ascii="Times New Roman" w:eastAsia="仿宋_GB2312" w:hAnsi="Times New Roman" w:hint="default"/>
          <w:b w:val="0"/>
          <w:kern w:val="2"/>
          <w:sz w:val="32"/>
          <w:szCs w:val="32"/>
        </w:rPr>
        <w:t xml:space="preserve">ToB/ToC </w:t>
      </w:r>
      <w:r>
        <w:rPr>
          <w:rFonts w:ascii="Times New Roman" w:eastAsia="仿宋_GB2312" w:hAnsi="Times New Roman" w:hint="default"/>
          <w:b w:val="0"/>
          <w:kern w:val="2"/>
          <w:sz w:val="32"/>
          <w:szCs w:val="32"/>
        </w:rPr>
        <w:t>收入结构占比。建立数据实时反馈与快速优化机制，每个阶段结束后开展商业模式复盘，针对未达标的指标及时调整定价策略、服务内容、渠道布局或产品形态，确保商业模式始终贴合市场需求，实现商业价值与产业价值的双重提升。</w:t>
      </w:r>
    </w:p>
    <w:p w14:paraId="3CDF7862" w14:textId="77777777" w:rsidR="00FB3E23" w:rsidRDefault="00000000">
      <w:pPr>
        <w:pStyle w:val="-"/>
        <w:numPr>
          <w:ilvl w:val="0"/>
          <w:numId w:val="3"/>
        </w:numPr>
        <w:adjustRightInd w:val="0"/>
        <w:ind w:firstLineChars="200"/>
        <w:outlineLvl w:val="0"/>
        <w:rPr>
          <w:rFonts w:eastAsia="方正楷体_GBK" w:cs="Times New Roman"/>
          <w:bCs/>
        </w:rPr>
      </w:pPr>
      <w:r>
        <w:rPr>
          <w:rFonts w:eastAsia="方正楷体_GBK" w:cs="Times New Roman"/>
          <w:bCs/>
        </w:rPr>
        <w:t>制度政策创新考虑：管理制度试验要点、监管规则创新试点、标准体系研制与验证计划等</w:t>
      </w:r>
    </w:p>
    <w:p w14:paraId="1E20C20A"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bCs/>
          <w:sz w:val="32"/>
          <w:szCs w:val="32"/>
        </w:rPr>
        <w:t>结合脑机接口中试平台运营与自研产品线产业化实践，从管理制度试验、监管规则创新试点、标准体系研制与验证三大维度开展制度政策创新探索，打造适配脑机接口产业发展的制度政策体系，为行业提供可复制的实践样本。</w:t>
      </w:r>
    </w:p>
    <w:p w14:paraId="597C0DAB"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bCs/>
          <w:sz w:val="32"/>
          <w:szCs w:val="32"/>
        </w:rPr>
        <w:t>管理制度试验要点：围绕中试平台公共服务、产学研用协同创新、医疗器械</w:t>
      </w:r>
      <w:r>
        <w:rPr>
          <w:rFonts w:ascii="Times New Roman" w:eastAsia="仿宋_GB2312" w:hAnsi="Times New Roman" w:cs="Times New Roman"/>
          <w:bCs/>
          <w:sz w:val="32"/>
          <w:szCs w:val="32"/>
        </w:rPr>
        <w:t xml:space="preserve"> MAH </w:t>
      </w:r>
      <w:r>
        <w:rPr>
          <w:rFonts w:ascii="Times New Roman" w:eastAsia="仿宋_GB2312" w:hAnsi="Times New Roman" w:cs="Times New Roman"/>
          <w:bCs/>
          <w:sz w:val="32"/>
          <w:szCs w:val="32"/>
        </w:rPr>
        <w:t>制度适配、产品产业化全周期四大核心场景，试验平台服务全流程管理、协同创新利益联结与权责分配、脑机接口产品适配</w:t>
      </w:r>
      <w:r>
        <w:rPr>
          <w:rFonts w:ascii="Times New Roman" w:eastAsia="仿宋_GB2312" w:hAnsi="Times New Roman" w:cs="Times New Roman"/>
          <w:bCs/>
          <w:sz w:val="32"/>
          <w:szCs w:val="32"/>
        </w:rPr>
        <w:t xml:space="preserve"> MAH </w:t>
      </w:r>
      <w:r>
        <w:rPr>
          <w:rFonts w:ascii="Times New Roman" w:eastAsia="仿宋_GB2312" w:hAnsi="Times New Roman" w:cs="Times New Roman"/>
          <w:bCs/>
          <w:sz w:val="32"/>
          <w:szCs w:val="32"/>
        </w:rPr>
        <w:t>制度的落地管理、产</w:t>
      </w:r>
      <w:r>
        <w:rPr>
          <w:rFonts w:ascii="Times New Roman" w:eastAsia="仿宋_GB2312" w:hAnsi="Times New Roman" w:cs="Times New Roman"/>
          <w:bCs/>
          <w:sz w:val="32"/>
          <w:szCs w:val="32"/>
        </w:rPr>
        <w:lastRenderedPageBreak/>
        <w:t>业化全流程追溯考核等制度，突破产业创新管理瓶颈，提升平台运营与技术成果转化效率。</w:t>
      </w:r>
    </w:p>
    <w:p w14:paraId="56FB6621"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bCs/>
          <w:sz w:val="32"/>
          <w:szCs w:val="32"/>
        </w:rPr>
        <w:t>监管规则创新试点：针对脑机接口产业数据安全、产品监管、创新容错等核心痛点，开展脑电生物数据分级分类采集与隐私保护监管、医疗</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消费级产品差异化分类监管、平台服务质量追溯与第三方评估监管等试点，同时探索产业创新容错及尽职免责管理机制，构建兼顾安全管控与创新发展的差异化监管体系。</w:t>
      </w:r>
    </w:p>
    <w:p w14:paraId="209C0567"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t>标准体系研制与验证计划：聚焦技术、产品、服务三大类标准，牵头研制四川省非侵入式脑机接口核心技术规范、三大自研产品线行业标准、中试公共服务规范，同步参与国家级脑机接口相关标准研讨；分三阶段推进验证，先在项目内部试点应用标准草案并优化完善，再在西南区域推广开展联合验证，最终正式发布省级标准，为国家级脑机接口标准制定提供实践依据，填补行业标准空白。</w:t>
      </w:r>
    </w:p>
    <w:p w14:paraId="3BA2D298" w14:textId="77777777" w:rsidR="00FB3E23" w:rsidRDefault="00000000">
      <w:pPr>
        <w:pStyle w:val="-"/>
        <w:numPr>
          <w:ilvl w:val="0"/>
          <w:numId w:val="3"/>
        </w:numPr>
        <w:adjustRightInd w:val="0"/>
        <w:ind w:firstLineChars="200"/>
        <w:outlineLvl w:val="0"/>
        <w:rPr>
          <w:rFonts w:eastAsia="方正楷体_GBK" w:cs="Times New Roman"/>
          <w:bCs/>
        </w:rPr>
      </w:pPr>
      <w:r>
        <w:rPr>
          <w:rFonts w:eastAsia="方正楷体_GBK" w:cs="Times New Roman"/>
          <w:bCs/>
        </w:rPr>
        <w:t>拟验证的具体规则</w:t>
      </w:r>
      <w:r>
        <w:rPr>
          <w:rFonts w:eastAsia="方正楷体_GBK" w:cs="Times New Roman"/>
          <w:bCs/>
        </w:rPr>
        <w:t>/</w:t>
      </w:r>
      <w:r>
        <w:rPr>
          <w:rFonts w:eastAsia="方正楷体_GBK" w:cs="Times New Roman"/>
          <w:bCs/>
        </w:rPr>
        <w:t>标准清单（附简要说明）</w:t>
      </w:r>
    </w:p>
    <w:p w14:paraId="7CDB7C59"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hint="eastAsia"/>
          <w:bCs/>
          <w:sz w:val="32"/>
          <w:szCs w:val="32"/>
        </w:rPr>
        <w:t>针对脑机接口产业管理制度不完善、监管规则不适配、标准体系空白的行业痛点，结合四川脑机接口中试公共技术服务平台运营与脑老化调控仪、助眠仪、注意力调控仪三大自研产品线产业化实践，拟对以下具体规则、标准开展落地验证，通过实际应用检验其实操性、适配性与可推广性，为</w:t>
      </w:r>
      <w:r>
        <w:rPr>
          <w:rFonts w:ascii="Times New Roman" w:eastAsia="仿宋_GB2312" w:hAnsi="Times New Roman" w:cs="Times New Roman" w:hint="eastAsia"/>
          <w:bCs/>
          <w:sz w:val="32"/>
          <w:szCs w:val="32"/>
        </w:rPr>
        <w:lastRenderedPageBreak/>
        <w:t>脑机接口行业制度政策与标准体系的完善提供实践依据，具体清单及说明如下：</w:t>
      </w:r>
    </w:p>
    <w:p w14:paraId="7B630025"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hint="eastAsia"/>
          <w:bCs/>
          <w:sz w:val="32"/>
          <w:szCs w:val="32"/>
        </w:rPr>
        <w:t>拟验证的具体规则。第一，脑机接口脑电生物数据安全管理规则：明确脑电生物数据采集、存储、传输、使用的分级分类管理要求，制定数据脱敏、匿名化处理的实操规范与分级授权使用机制，界定各参与主体的数据隐私保护责任及追责流程，重点验证脑机接口特色生物数据安全管控体系的落地可行性。第二，脑机接口医疗</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消费级产品分类监管规则：根据产品风险等级，对医疗级脑老化调控仪、消费级助眠仪和注意力调控仪制定差异化的市场准入、生产质量管控、售后服务监管要求，重点验证非“一刀切”的分类监管模式对脑机接口产业创新发展的适配性。第三，脑机接口产学研用协同创新管理规则：明确国企产业主体、科研机构、高校在技术研发、成果转化、产品落地各环节的权责划分、收益分配方式及研发投入共担机制，重点验证多方协同主体间利益联结与高效管理的实操路径。第四，脑机接口中试公共服务平台运营管理规则：制定平台技术验证、中试熟化、小批量试制等核心服务的准入标准、流程规范、质量考核指标及收费管理细则，明确服务各环节的权责边界，重点验证平台公共服务标准化、规范化运营的可行性。第五，脑机接口产业创新容错与尽职免责管理规则：划定脑机接口技术研发、中试转化环节创新探索与违规操作的边界，制定科研及产业创</w:t>
      </w:r>
      <w:r>
        <w:rPr>
          <w:rFonts w:ascii="Times New Roman" w:eastAsia="仿宋_GB2312" w:hAnsi="Times New Roman" w:cs="Times New Roman" w:hint="eastAsia"/>
          <w:bCs/>
          <w:sz w:val="32"/>
          <w:szCs w:val="32"/>
        </w:rPr>
        <w:lastRenderedPageBreak/>
        <w:t>新过程中尽职免责的认定标准与实操流程，重点验证未来产业创新容错监管机制的落地性。第六，</w:t>
      </w:r>
      <w:r>
        <w:rPr>
          <w:rFonts w:ascii="Times New Roman" w:eastAsia="仿宋_GB2312" w:hAnsi="Times New Roman" w:cs="Times New Roman" w:hint="eastAsia"/>
          <w:bCs/>
          <w:sz w:val="32"/>
          <w:szCs w:val="32"/>
        </w:rPr>
        <w:t xml:space="preserve">MAH </w:t>
      </w:r>
      <w:r>
        <w:rPr>
          <w:rFonts w:ascii="Times New Roman" w:eastAsia="仿宋_GB2312" w:hAnsi="Times New Roman" w:cs="Times New Roman" w:hint="eastAsia"/>
          <w:bCs/>
          <w:sz w:val="32"/>
          <w:szCs w:val="32"/>
        </w:rPr>
        <w:t>制度适配脑机接口医疗器械管理规则：制定脑机接口医疗器械注册申报的标准化辅导流程，明确注册人与受托生产方的权责管理细则，重点验证</w:t>
      </w:r>
      <w:r>
        <w:rPr>
          <w:rFonts w:ascii="Times New Roman" w:eastAsia="仿宋_GB2312" w:hAnsi="Times New Roman" w:cs="Times New Roman" w:hint="eastAsia"/>
          <w:bCs/>
          <w:sz w:val="32"/>
          <w:szCs w:val="32"/>
        </w:rPr>
        <w:t xml:space="preserve"> MAH </w:t>
      </w:r>
      <w:r>
        <w:rPr>
          <w:rFonts w:ascii="Times New Roman" w:eastAsia="仿宋_GB2312" w:hAnsi="Times New Roman" w:cs="Times New Roman" w:hint="eastAsia"/>
          <w:bCs/>
          <w:sz w:val="32"/>
          <w:szCs w:val="32"/>
        </w:rPr>
        <w:t>制度在脑机接口医疗产品产业化落地中的适配方法。</w:t>
      </w:r>
    </w:p>
    <w:p w14:paraId="4099CFA9"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hint="eastAsia"/>
          <w:bCs/>
          <w:sz w:val="32"/>
          <w:szCs w:val="32"/>
        </w:rPr>
        <w:t>拟验证的具体标准。省级标准（牵头研制并验证），非侵入式脑机接口核心技术通用规范：规定非侵入式脑机接口脑电信号采集、闭环调控、信号抗干扰等核心技术的技术指标、测试方法与验收标准，验证核心技术产业化的通用技术要求。脑老化调控仪行业标准：明确脑老化调控仪的技术参数、生产工艺、质量检测标准、使用安全性及临床试用要求，验证医疗级脑机接口产品产业化标准的落地性。脑机接口助眠仪行业标准：规定助眠仪的脑电监测精度、智能干预方式、产品可靠性、使用安全性等核心指标及检测方法，验证消费级睡眠类脑机产品的标准化生产要求。脑机接口注意力调控仪行业标准：明确注意力调控仪的适用人群、训练效果评估指标、产品场景适配性及质量管控要求，验证教育类脑机产品的产业化标准规范。非侵入式脑机接口中试公共服务规范：界定脑机接口中试公共服务的服务内容、全流程操作规范、质量要求、服务评价体系及交付标准，验证中试服务全链条标准化运营的通用规范。</w:t>
      </w:r>
    </w:p>
    <w:p w14:paraId="3BB3BE6B"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hint="eastAsia"/>
          <w:bCs/>
          <w:sz w:val="32"/>
          <w:szCs w:val="32"/>
        </w:rPr>
        <w:lastRenderedPageBreak/>
        <w:t>国家级标准（参与研讨并验证）。脑机接口医疗器械通用标准：参与全国性脑机接口医疗器械通用技术要求、注册检测规范及临床评价标准的制定，结合项目实践验证标准条款的适配性，为国家级标准制定提供四川实践数据支撑。消费级脑机接口产品质量通用标准：参与全国性消费级脑机接口产品的基础安全、核心性能指标、通用检测方法等标准的研讨，通过项目产品产业化实践验证标准的通用性，为国家级标准完善提供实践依据。</w:t>
      </w:r>
    </w:p>
    <w:p w14:paraId="0337976E" w14:textId="77777777" w:rsidR="00FB3E23" w:rsidRDefault="00000000">
      <w:pPr>
        <w:pStyle w:val="-"/>
        <w:adjustRightInd w:val="0"/>
        <w:ind w:firstLineChars="200"/>
        <w:outlineLvl w:val="0"/>
        <w:rPr>
          <w:rFonts w:eastAsia="黑体" w:cs="Times New Roman"/>
          <w:bCs/>
        </w:rPr>
      </w:pPr>
      <w:r>
        <w:rPr>
          <w:rFonts w:eastAsia="黑体" w:cs="Times New Roman"/>
          <w:bCs/>
        </w:rPr>
        <w:t>四、场景开放与资源配置机制</w:t>
      </w:r>
    </w:p>
    <w:p w14:paraId="36EC194E"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1.</w:t>
      </w:r>
      <w:r>
        <w:rPr>
          <w:rFonts w:eastAsia="方正楷体_GBK" w:cs="Times New Roman"/>
          <w:bCs/>
        </w:rPr>
        <w:t>场景培育开放具体措施</w:t>
      </w:r>
    </w:p>
    <w:p w14:paraId="78D27960"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bCs/>
          <w:sz w:val="32"/>
          <w:szCs w:val="32"/>
        </w:rPr>
        <w:t>以</w:t>
      </w:r>
      <w:r>
        <w:rPr>
          <w:rFonts w:ascii="Times New Roman" w:eastAsia="仿宋_GB2312" w:hAnsi="Times New Roman" w:cs="Times New Roman"/>
          <w:bCs/>
          <w:sz w:val="32"/>
          <w:szCs w:val="32"/>
        </w:rPr>
        <w:t xml:space="preserve"> “</w:t>
      </w:r>
      <w:r>
        <w:rPr>
          <w:rFonts w:ascii="Times New Roman" w:eastAsia="仿宋_GB2312" w:hAnsi="Times New Roman" w:cs="Times New Roman"/>
          <w:bCs/>
          <w:sz w:val="32"/>
          <w:szCs w:val="32"/>
        </w:rPr>
        <w:t>场景开放、跨界协同、链群共生、生态共建</w:t>
      </w:r>
      <w:r>
        <w:rPr>
          <w:rFonts w:ascii="Times New Roman" w:eastAsia="仿宋_GB2312" w:hAnsi="Times New Roman" w:cs="Times New Roman"/>
          <w:bCs/>
          <w:sz w:val="32"/>
          <w:szCs w:val="32"/>
        </w:rPr>
        <w:t xml:space="preserve">” </w:t>
      </w:r>
      <w:r>
        <w:rPr>
          <w:rFonts w:ascii="Times New Roman" w:eastAsia="仿宋_GB2312" w:hAnsi="Times New Roman" w:cs="Times New Roman"/>
          <w:bCs/>
          <w:sz w:val="32"/>
          <w:szCs w:val="32"/>
        </w:rPr>
        <w:t>为核心理念，全面推进脑机接口多场景培育与产业生态开放合作，跨领域深度联动医疗康复、养老康养、基础教育、特殊教育、居家健康等多元应用场景主体，组建跨领域场景应用创新联盟，共建场景验证与示范应用基地，围绕脑老化干预、睡眠健康、注意力训练等核心方向开展联合研发、场景适配与数据合规共享，推动脑机接口技术与民生刚需场景深度融合；跨区域构建以成都温江为核心、辐射西南、联动全国的协同协作机制，与西南各省及全国脑机接口产业优势区域共建资源共享网络、场景推广联盟与产业协作共同体，推动中试平台、技术成果、应用场景、人才资源跨区域互通互用，打造区域协同的场景应用示范标杆；同时全面开放中试公共技术</w:t>
      </w:r>
      <w:r>
        <w:rPr>
          <w:rFonts w:ascii="Times New Roman" w:eastAsia="仿宋_GB2312" w:hAnsi="Times New Roman" w:cs="Times New Roman"/>
          <w:bCs/>
          <w:sz w:val="32"/>
          <w:szCs w:val="32"/>
        </w:rPr>
        <w:lastRenderedPageBreak/>
        <w:t>服务平台、试点应用场景、技术规范与标准成果，面向产业链上下游开放研发验证、中试熟化、小批量试制、合规注册等全链条服务，吸引元器件、软件、生产、服务等配套企业集聚发展，构建开放共享、协同配套的全产业链生态；针对科研院所，共建联合实验室与成果转化平台，畅通技术中试、产业落地、人才共育的协同通道，强化产学研用深度融合；针对民营企业、中小企业，大幅降低参与门槛，提供中试服务费用减免、场地补贴、技术赋能、渠道对接、融资支持等多元化扶持，鼓励各类市场主体参与标准研制、场景验证与产品创新，全方位搭建开放包容、多方参与、互利共赢的产业协作平台，推动各类创新主体深度融入脑机接口产业创新生态，实现技术、场景、资本、人才、主体的高效联动与价值共创。</w:t>
      </w:r>
    </w:p>
    <w:p w14:paraId="69E1DC20"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2.</w:t>
      </w:r>
      <w:r>
        <w:rPr>
          <w:rFonts w:eastAsia="方正楷体_GBK" w:cs="Times New Roman"/>
          <w:bCs/>
        </w:rPr>
        <w:t>场景资源公平高效配置方案</w:t>
      </w:r>
    </w:p>
    <w:p w14:paraId="70238A3D" w14:textId="77777777" w:rsidR="00FB3E23" w:rsidRDefault="00000000">
      <w:pPr>
        <w:widowControl/>
        <w:ind w:firstLineChars="200" w:firstLine="640"/>
        <w:jc w:val="left"/>
        <w:rPr>
          <w:rFonts w:ascii="Times New Roman" w:hAnsi="Times New Roman" w:cs="Times New Roman"/>
          <w:bCs/>
          <w:szCs w:val="32"/>
        </w:rPr>
      </w:pPr>
      <w:r>
        <w:rPr>
          <w:rFonts w:ascii="Times New Roman" w:eastAsia="仿宋_GB2312" w:hAnsi="Times New Roman" w:cs="Times New Roman"/>
          <w:bCs/>
          <w:sz w:val="32"/>
          <w:szCs w:val="32"/>
        </w:rPr>
        <w:t>项目围绕脑机接口场景资源公平、高效、普惠配置目标，构建全流程规范化、市场化、法治化的配置方案，在优化市场准入环境上创新推行</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负面清单</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信用承诺</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一站式备案</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准入模式，全面破除所有制、规模、地域等隐性壁垒，统一场景参与、资源对接、资质审核标准，简化审批流程、压缩办理时限，对民营企业、中小企业、科研院所等各类主体实行无差别准入，打造透明、开放、非歧视的市场准入环境；在新型要素市场化配置方面，重点探索脑电数据、核心技术、</w:t>
      </w:r>
      <w:r>
        <w:rPr>
          <w:rFonts w:ascii="Times New Roman" w:eastAsia="仿宋_GB2312" w:hAnsi="Times New Roman" w:cs="Times New Roman"/>
          <w:bCs/>
          <w:sz w:val="32"/>
          <w:szCs w:val="32"/>
        </w:rPr>
        <w:lastRenderedPageBreak/>
        <w:t>场景使用权、中试平台算力、知识产权等新型要素的市场化定价、流转与共享机制，搭建线上线下一体化要素对接与配置平台，推行场景资源公开征集、择优遴选、按需分配、按效激励的配置模式，建立数据合规确权、价值核算与收益共享机制，实现技术、数据、场景、平台等要素高效流转与价值最大化释放；在保障各类主体公平参与的制度安排上，建立健全公平竞争审查、全过程信息公开、异议申诉、权益保护与责任追溯机制，实行资源分配方案、遴选标准、分配结果、使用绩效全流程公示，引入第三方独立评估机构开展公平性与效率性评价，完善多元主体权责划分、收益分配与激励约束规则，同时对中小企业、科研院所设置普惠性倾斜支持条款，确保各类主体平等获取场景应用、平台使用、数据共享、技术对接等核心资源，形成公平透明、竞争有序、高效协同、长期稳定的场景资源配置体系。</w:t>
      </w:r>
    </w:p>
    <w:p w14:paraId="65BCFAA9" w14:textId="77777777" w:rsidR="00FB3E23" w:rsidRDefault="00000000">
      <w:pPr>
        <w:pStyle w:val="-"/>
        <w:adjustRightInd w:val="0"/>
        <w:ind w:firstLineChars="200"/>
        <w:outlineLvl w:val="0"/>
        <w:rPr>
          <w:rFonts w:eastAsia="黑体" w:cs="Times New Roman"/>
          <w:bCs/>
        </w:rPr>
      </w:pPr>
      <w:r>
        <w:rPr>
          <w:rFonts w:eastAsia="黑体" w:cs="Times New Roman"/>
          <w:bCs/>
        </w:rPr>
        <w:t>五、管理制度创新与风险管控</w:t>
      </w:r>
    </w:p>
    <w:p w14:paraId="17E88ADB"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1.</w:t>
      </w:r>
      <w:r>
        <w:rPr>
          <w:rFonts w:eastAsia="方正楷体_GBK" w:cs="Times New Roman"/>
          <w:bCs/>
        </w:rPr>
        <w:t>场景建设管理制度创新点</w:t>
      </w:r>
    </w:p>
    <w:p w14:paraId="0AB77837"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t>场景建设管理制度紧扣脑机接口跨领域、多场景融合的产业特性，结合技术研发与产品验证实际需求打造多重创新点，核心围绕场景共建、运营管控、动态适配、安全管理、激励考核及资源配置形成制度创新体系。构建跨领域跨主体的场景共建协同管理机制，明确医疗、教育、康养等参与主体的权责划分与利益联结规则，统筹多方场景资源高效整合；</w:t>
      </w:r>
      <w:r>
        <w:rPr>
          <w:rFonts w:ascii="Times New Roman" w:eastAsia="仿宋_GB2312" w:hAnsi="Times New Roman" w:cs="Times New Roman"/>
          <w:bCs/>
          <w:sz w:val="32"/>
          <w:szCs w:val="32"/>
        </w:rPr>
        <w:lastRenderedPageBreak/>
        <w:t>建立医疗康复、消费健康等场景的分类型差异化运营管控制度，按医疗级</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消费级产品适配要求制定相匹配的场景建设、验证及运营标准，避免</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一刀切</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管理；创新场景建设的动态适配迭代管理制度，结合产品研发进度、技术验证反馈实时调整场景设施配置与验证规范，适配产品优化与场景拓展需求；将脑电生物数据安全管理嵌入场景建设全流程，把数据分级采集、脱敏共享、隐私保护等合规要求纳入场景运营细则，实现场景验证与数据安全的双重管控；建立场景建设的创新容错与考核激励机制，划定技术与产品场景验证中的创新探索边界，同时将场景验证效率、产业赋能效果、主体协作质量纳入考核体系，联动激励各参与主体；创新场景资源公平共享与市场化配置管理制度，规范场景资源开放流程与使用标准，保障科研院所、中小企业等各类主体平等参与，提升场景资源的利用效率与产业价值。</w:t>
      </w:r>
    </w:p>
    <w:p w14:paraId="7CF71C4C"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2</w:t>
      </w:r>
      <w:r>
        <w:rPr>
          <w:rFonts w:eastAsia="方正楷体_GBK" w:cs="Times New Roman" w:hint="eastAsia"/>
          <w:bCs/>
        </w:rPr>
        <w:t>.</w:t>
      </w:r>
      <w:r>
        <w:rPr>
          <w:rFonts w:eastAsia="方正楷体_GBK" w:cs="Times New Roman"/>
          <w:bCs/>
        </w:rPr>
        <w:t>尽职免责管理模式探索方案</w:t>
      </w:r>
    </w:p>
    <w:p w14:paraId="5CD310FE"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t>结合脑机接口前沿产业创新探索的特性，以鼓励创新、宽容试错、严控红线、权责对等为核心，探索适配项目全流程的尽职免责管理模式，该模式将适用范围覆盖项目研发、中试、场景验证、平台运营及产学研协同等全环节，涵盖核心技术研发团队、中试平台运营人员、合作科研院所与企业等所有参与主体。方案以无主观故意、无失职渎职、按规操作、主动防控为核心制定尽职认定标准，明确相关主体在工</w:t>
      </w:r>
      <w:r>
        <w:rPr>
          <w:rFonts w:ascii="Times New Roman" w:eastAsia="仿宋_GB2312" w:hAnsi="Times New Roman" w:cs="Times New Roman"/>
          <w:bCs/>
          <w:sz w:val="32"/>
          <w:szCs w:val="32"/>
        </w:rPr>
        <w:lastRenderedPageBreak/>
        <w:t>作中严格遵循法律法规、行业规范与项目管理制度，履行了事前风险研判、事中过程管控、事后问题处置全流程责任，因技术前沿性、产业发展不成熟等客观因素导致创新探索失败、工作未达预期的，可纳入尽职认定范畴。同时清晰划定免责情形与红线边界，将技术研发试验数据未达预期、产品中试验证工艺适配偏差、医疗级产品注册申报政策适配性流程延误等非人为过失类情形纳入可免责范围，对主观故意造假、违规操作、未履行风险防控义务等行为划定不可免责红线，此类行为一律按规追责。方案还规范了</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申请</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调查</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审核</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认定</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公示</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的标准化尽职免责认定流程，由项目风控部门牵头，引入行业专家、法律专业人士与第三方评估机构组成认定小组，对申请主体履职情况、失误原因等全面核查并作出认定结论，公示无异议后生效，认定结果作为绩效考核、责任判定的重要依据。此外，将尽职免责管理与项目全流程风险防控深度联动，要求各环节创新探索前制定专项风险防控方案，对已认定免责的创新失误组织相关主体复盘总结，提炼经验教训纳入项目技术与管理知识库，推动技术迭代与制度优化；同时建立日常监督与动态优化机制，严防免责机制被滥用，保障认定过程与结果的公平公正，并结合脑机接口产业政策变化、项目推进实际及行业技术发展，动态调整尽职认定标准、免责情形与认定流程，确保管理模式持续适配项目研发运营与产业创新发展的实际需求。</w:t>
      </w:r>
    </w:p>
    <w:p w14:paraId="0C7856E8" w14:textId="77777777" w:rsidR="00FB3E23" w:rsidRDefault="00000000">
      <w:pPr>
        <w:pStyle w:val="-"/>
        <w:numPr>
          <w:ilvl w:val="0"/>
          <w:numId w:val="2"/>
        </w:numPr>
        <w:adjustRightInd w:val="0"/>
        <w:ind w:firstLineChars="200"/>
        <w:outlineLvl w:val="0"/>
        <w:rPr>
          <w:rFonts w:eastAsia="方正楷体_GBK" w:cs="Times New Roman"/>
          <w:bCs/>
        </w:rPr>
      </w:pPr>
      <w:r>
        <w:rPr>
          <w:rFonts w:eastAsia="方正楷体_GBK" w:cs="Times New Roman"/>
          <w:bCs/>
        </w:rPr>
        <w:lastRenderedPageBreak/>
        <w:t>新场景安全风险识别与评估</w:t>
      </w:r>
    </w:p>
    <w:p w14:paraId="2C59D062"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t>针对脑机接口医疗康复、教育训练、养老康养、居家健康等新场景的技术特性与应用特点，开展全维度安全风险识别与科学评估，精准锚定新场景落地过程中的各类安全风险点，为风险防控施策提供依据。风险识别围绕新场景核心运营环节全面展开，重点识别脑电生物数据安全风险，包括数据采集、存储、传输、跨主体共享过程中的泄露、篡改、滥用等问题；产品使用安全风险，涵盖医疗级</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消费级脑机接口设备的电气安全、操作适配性，以及智能干预不当引发的人体健康潜在风险；场景运营安全风险，包含多主体协同运营中的管理漏洞、场景配套设施设备故障、操作流程不规范等隐患；跨领域协同合规安全风险，涉及不同场景监管要求差异带来的合规偏差、数据跨场景流转的政策适配性问题；同时识别技术适配安全风险，即非侵入式脑机接口技术在新场景应用中因技术不成熟、场景适配不足导致的设备误判、干预失效等风险。风险评估采用定性与定量相结合的方法，组建由脑机接口行业专家、医疗专业人员、风控管理人员、场景运营主体组成的评估小组，结合各新场景的应用属性、服务人群、运营模式，建立以风险影响程度、发生概率为核心的分级评估体系，将识别出的风险划分为高、中、低三个等级；针对医疗、教育、居家等不同场景制定差异化评估细则，医疗场景侧重临床安全与数据合规性评估，教育和居家场景</w:t>
      </w:r>
      <w:r>
        <w:rPr>
          <w:rFonts w:ascii="Times New Roman" w:eastAsia="仿宋_GB2312" w:hAnsi="Times New Roman" w:cs="Times New Roman"/>
          <w:bCs/>
          <w:sz w:val="32"/>
          <w:szCs w:val="32"/>
        </w:rPr>
        <w:lastRenderedPageBreak/>
        <w:t>侧重产品使用安全与个人隐私保护评估，康养场景兼顾设备适配性与老年群体使用安全性评估；开展覆盖场景建设、技术验证、运营落地全阶段的动态评估，结合产品迭代、技术升级与场景运营反馈实时复评，及时识别新增风险点，最终形成系统化风险评估报告，梳理风险清单并明确各风险点的影响范围、关联环节与责任主体，为后续针对性制定风险防控措施、优化场景管理制度提供科学支撑。</w:t>
      </w:r>
    </w:p>
    <w:p w14:paraId="1D9C74E8" w14:textId="77777777" w:rsidR="00FB3E23" w:rsidRDefault="00000000">
      <w:pPr>
        <w:pStyle w:val="-"/>
        <w:numPr>
          <w:ilvl w:val="0"/>
          <w:numId w:val="2"/>
        </w:numPr>
        <w:adjustRightInd w:val="0"/>
        <w:ind w:firstLineChars="200"/>
        <w:outlineLvl w:val="0"/>
        <w:rPr>
          <w:rFonts w:eastAsia="方正楷体_GBK" w:cs="Times New Roman"/>
          <w:bCs/>
        </w:rPr>
      </w:pPr>
      <w:r>
        <w:rPr>
          <w:rFonts w:eastAsia="方正楷体_GBK" w:cs="Times New Roman"/>
          <w:bCs/>
        </w:rPr>
        <w:t>全流程风险管控体系设计</w:t>
      </w:r>
    </w:p>
    <w:p w14:paraId="626DA751"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hint="eastAsia"/>
          <w:bCs/>
          <w:sz w:val="32"/>
          <w:szCs w:val="32"/>
        </w:rPr>
        <w:t>项目</w:t>
      </w:r>
      <w:r>
        <w:rPr>
          <w:rFonts w:ascii="Times New Roman" w:eastAsia="仿宋_GB2312" w:hAnsi="Times New Roman" w:cs="Times New Roman"/>
          <w:bCs/>
          <w:sz w:val="32"/>
          <w:szCs w:val="32"/>
        </w:rPr>
        <w:t>围绕脑机接口技术研发、中试熟化、合规注册、场景验证、平台运营及产业化落地全流程，以事前预防、事中管控、事后处置为核心逻辑，融合管理制度创新与风险防控要求，构建覆盖全环节、全类型风险、联动全参与主体的闭环式全流程风险管控体系，精准防控技术、数据、产品、合规、运营、协同等各类风险。体系以风险前置防控为基础，组建由行业专家、医疗专业人员、风控管理人员、运营负责人组成的跨领域风险研判小组，针对各环节开展系统性风险识别与分级评估，制定差异化风险防控预案，同时将各类风险防控要求嵌入各环节管理制度与操作规范，搭建科学的风险预警指标体系，开展全员风险防控培训，强化各参与主体的风险防范意识与实操能力，从源头降低风险发生概率。在事中管控阶段，对技术研发、中试试制、脑电数据全生命周期流转、产品多场景验证、中试平台公共服务等核心环节设</w:t>
      </w:r>
      <w:r>
        <w:rPr>
          <w:rFonts w:ascii="Times New Roman" w:eastAsia="仿宋_GB2312" w:hAnsi="Times New Roman" w:cs="Times New Roman"/>
          <w:bCs/>
          <w:sz w:val="32"/>
          <w:szCs w:val="32"/>
        </w:rPr>
        <w:lastRenderedPageBreak/>
        <w:t>置专属风险管控节点，落实专人负责制与全过程动态监控，针对脑电生物数据安全、医疗级产品临床使用安全等核心风险实施精细化管控，同时建立产学研用各参与主体的风险管控权责清单与信息互通共享机制，实现风险苗头的及时发现、协同研判与快速处置，避免风险扩大。事后处置环节构建高效的应急响应与闭环整改机制，制定各类突发风险事件的专项应急处置方案，确保风险发生后第一时间启动响应、精准处置并降低影响；对已发生的风险事件开展全面复盘总结，深挖问题根源，针对性优化制度规范、防控预案与操作流程，同时将复盘结果纳入各参与主体的绩效考核；建立风险处置全流程追溯机制，对风险事件的处置过程、责任认定、整改落实情况进行详细记录归档，实现风险管控可追溯、可核查。此外，体系配套动态优化与常态化监督考核机制，结合项目推进进度、脑机接口产业政策变化、行业技术发展及实际风险处置反馈，实时调整风险管控指标、防控措施与体系架构，确保体系的适配性与科学性；将风险管控履职情况纳入各主体及相关人员的核心绩效考核，与激励机制深度挂钩，同时引入第三方专业机构开展常态化风险评估与管控效果核查，推动全流程风险管控体系落地见效，为项目平稳推进与创新发展筑牢风险防控底线。</w:t>
      </w:r>
    </w:p>
    <w:p w14:paraId="32669671" w14:textId="77777777" w:rsidR="00FB3E23" w:rsidRDefault="00000000">
      <w:pPr>
        <w:pStyle w:val="-"/>
        <w:numPr>
          <w:ilvl w:val="0"/>
          <w:numId w:val="2"/>
        </w:numPr>
        <w:adjustRightInd w:val="0"/>
        <w:ind w:firstLineChars="200"/>
        <w:outlineLvl w:val="0"/>
        <w:rPr>
          <w:rFonts w:eastAsia="方正楷体_GBK" w:cs="Times New Roman"/>
          <w:bCs/>
        </w:rPr>
      </w:pPr>
      <w:r>
        <w:rPr>
          <w:rFonts w:eastAsia="方正楷体_GBK" w:cs="Times New Roman"/>
          <w:bCs/>
        </w:rPr>
        <w:t>防止监管漏洞的制度与技术安排</w:t>
      </w:r>
    </w:p>
    <w:p w14:paraId="118173C1"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lastRenderedPageBreak/>
        <w:t>在制度安排上，首先构建全环节权责闭环的监管责任体系，明确项目各环节及产学研用所有参与主体的监管职责与边界，落实专人专责，杜绝责任推诿导致的监管缺位；结合医疗</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消费级产品差异及医疗康复、教育训练等不同场景特点，制定统一且差异化的全流程监管操作规范，填补不同环节、场景间的监管标准空白，同时将</w:t>
      </w:r>
      <w:r>
        <w:rPr>
          <w:rFonts w:ascii="Times New Roman" w:eastAsia="仿宋_GB2312" w:hAnsi="Times New Roman" w:cs="Times New Roman"/>
          <w:bCs/>
          <w:sz w:val="32"/>
          <w:szCs w:val="32"/>
        </w:rPr>
        <w:t xml:space="preserve"> MAH </w:t>
      </w:r>
      <w:r>
        <w:rPr>
          <w:rFonts w:ascii="Times New Roman" w:eastAsia="仿宋_GB2312" w:hAnsi="Times New Roman" w:cs="Times New Roman"/>
          <w:bCs/>
          <w:sz w:val="32"/>
          <w:szCs w:val="32"/>
        </w:rPr>
        <w:t>制度适配、脑电数据管理等特殊要求纳入监管规范核心内容；建立跨主体协同监管机制，联动项目管理方、行业监管机构、场景运营方及合作单位，搭建监管信息互通共享渠道，实现监管动作联动、问题闭环处置；完善常态化监督与第三方审计制度，开展定期专项检查与不定期抽查，引入独立第三方机构开展监管合规性审计，对监管缺位、履职不到位行为明确问责标准，建立监管行为与处置结果的全流程追溯档案；同步建立监管制度动态优化机制，结合项目推进进度、脑机接口产业政策更新、新技术新场景落地需求，及时修订完善监管规范，适配监管新要求。在技术安排上，搭建项目全流程数字化监管平台，整合研发试制、中试运营、数据流转、产品验证等全环节数据，实现监管过程可视化、可实时监控；部署脑电生物数据全生命周期技术防控体系，运用加密、脱敏、分级访问权限管理等技术，对数据采集、存储、传输、共享各环节进行硬性技术管控，堵塞数据领域监管漏洞；构建智能风险预警监测体系，设置各环节监管核心指标阈值，通过大数据、</w:t>
      </w:r>
      <w:r>
        <w:rPr>
          <w:rFonts w:ascii="Times New Roman" w:eastAsia="仿宋_GB2312" w:hAnsi="Times New Roman" w:cs="Times New Roman"/>
          <w:bCs/>
          <w:sz w:val="32"/>
          <w:szCs w:val="32"/>
        </w:rPr>
        <w:lastRenderedPageBreak/>
        <w:t>人工智能技术实现异常操作、指标偏离等情况的实时监测与自动预警，及时捕捉监管苗头性问题；建立产品与平台运营全流程技术溯源体系，对产品研发、中试、场景验证各环节进行技术留痕，对中试平台服务操作、设备运行状态实现全程溯源，确保监管核查可落地、可追溯；运用区块链等技术实现监管信息与处置记录的不可篡改存证，保障监管数据的真实性与公信力，从技术层面筑牢监管防线，让监管无死角、无盲区。</w:t>
      </w:r>
    </w:p>
    <w:p w14:paraId="327CD31B" w14:textId="77777777" w:rsidR="00FB3E23" w:rsidRDefault="00000000">
      <w:pPr>
        <w:pStyle w:val="-"/>
        <w:numPr>
          <w:ilvl w:val="0"/>
          <w:numId w:val="2"/>
        </w:numPr>
        <w:adjustRightInd w:val="0"/>
        <w:ind w:firstLineChars="200"/>
        <w:outlineLvl w:val="0"/>
        <w:rPr>
          <w:rFonts w:eastAsia="方正楷体_GBK" w:cs="Times New Roman"/>
          <w:bCs/>
        </w:rPr>
      </w:pPr>
      <w:r>
        <w:rPr>
          <w:rFonts w:eastAsia="方正楷体_GBK" w:cs="Times New Roman"/>
          <w:bCs/>
        </w:rPr>
        <w:t>应急响应与处置预案</w:t>
      </w:r>
    </w:p>
    <w:p w14:paraId="21DD21DC"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hint="eastAsia"/>
          <w:bCs/>
          <w:sz w:val="32"/>
          <w:szCs w:val="32"/>
        </w:rPr>
        <w:t>项目组建由总负责人牵头，风控、技术、运营、临床及合作单位相关人员组成的专项应急指挥小组，明确各岗位职责与跨主体联动机制，确保应急指令快速传达、落地执行，同时结合前期风险识别与评估结果，将突发风险划分为一般、较大、重大三个等级，制定差异化应急启动标准与处置流程，一般风险由对应环节负责人牵头处置，较大及重大风险立即启动应急指挥小组统筹跨部门、跨主体协同处置。突发风险发生后，要求相关责任人第一时间启动即时上报机制，同步说明风险情况、影响范围并采取先期管控措施遏制风险扩大；应急指挥小组接到上报后快速研判风险等级、制定针对性处置方案，调配技术、人力等资源开展处置，针对数据泄露、篡改等数据安全风险立即采取数据隔离、溯源排查、加密修复等措施，针对产品使用安全突发问题即刻暂停相关产品试</w:t>
      </w:r>
      <w:r>
        <w:rPr>
          <w:rFonts w:ascii="Times New Roman" w:eastAsia="仿宋_GB2312" w:hAnsi="Times New Roman" w:cs="Times New Roman" w:hint="eastAsia"/>
          <w:bCs/>
          <w:sz w:val="32"/>
          <w:szCs w:val="32"/>
        </w:rPr>
        <w:lastRenderedPageBreak/>
        <w:t>用并开展全面隐患排查，针对运营及合规突发风险及时对接监管部门并调整优化运营流程，处置全程做好详细记录，确保所有处置动作可追溯。风险处置完成后，应急指挥小组组织相关主体开展全面复盘，深挖风险发生根源、评估处置效果并对处置不当环节及时整改，同时根据复盘结果及项目推进中出现的新增风险点，动态修订应急处置预案、补充差异化处置措施，定期组织开展常态化应急演练，提升各参与主体的应急处置实操能力，确保预案持续适配项目发展需求，实现应急响应、处置、复盘、优化的全闭环管理。</w:t>
      </w:r>
    </w:p>
    <w:p w14:paraId="48012B8F" w14:textId="77777777" w:rsidR="00FB3E23" w:rsidRDefault="00000000">
      <w:pPr>
        <w:pStyle w:val="-"/>
        <w:adjustRightInd w:val="0"/>
        <w:ind w:firstLineChars="200"/>
        <w:outlineLvl w:val="0"/>
        <w:rPr>
          <w:rFonts w:eastAsia="黑体" w:cs="Times New Roman"/>
          <w:bCs/>
        </w:rPr>
      </w:pPr>
      <w:r>
        <w:rPr>
          <w:rFonts w:eastAsia="黑体" w:cs="Times New Roman"/>
          <w:bCs/>
        </w:rPr>
        <w:t>六、已有工作基础</w:t>
      </w:r>
    </w:p>
    <w:p w14:paraId="368B9A77"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1.</w:t>
      </w:r>
      <w:r>
        <w:rPr>
          <w:rFonts w:eastAsia="方正楷体_GBK" w:cs="Times New Roman"/>
          <w:bCs/>
        </w:rPr>
        <w:t>前期工作进展</w:t>
      </w:r>
    </w:p>
    <w:p w14:paraId="57C85BF9"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t>自启动以来各项筹备工作与核心业务布局有序推进，前期在平台建设、产业合作对接、自研产品产业化等方面均取得阶段性进展，为项目后续规模化运营与落地筑牢基础。四川脑机接口中试公共技术服务平台已完成核心框架搭建与基础能力储备，依托电子科技大学、四川脑科学及类脑智能研究院的科研与临床资源，平台核心服务体系已初步成型，现阶段正与多家脑机接口上下游企业、高校积极开展中试研发合作洽谈，围绕技术工程化验证、中试熟化、合规注册配套等核心合作方向进行深度对接，后续将通过平台全链路服务实现产业资源集聚，解决行业研发转化痛点。自研脑机接口产品聚焦睡眠、康复、老龄化三大核心赛道，已完成核心</w:t>
      </w:r>
      <w:r>
        <w:rPr>
          <w:rFonts w:ascii="Times New Roman" w:eastAsia="仿宋_GB2312" w:hAnsi="Times New Roman" w:cs="Times New Roman"/>
          <w:bCs/>
          <w:sz w:val="32"/>
          <w:szCs w:val="32"/>
        </w:rPr>
        <w:lastRenderedPageBreak/>
        <w:t>技术研发与产品原型验证，现阶段正稳步推进工业化进程，重点开展产品生产工艺优化、核心零部件适配、标准化设计及小批量试制造等关键工作，同时紧密衔接医疗器械</w:t>
      </w:r>
      <w:r>
        <w:rPr>
          <w:rFonts w:ascii="Times New Roman" w:eastAsia="仿宋_GB2312" w:hAnsi="Times New Roman" w:cs="Times New Roman"/>
          <w:bCs/>
          <w:sz w:val="32"/>
          <w:szCs w:val="32"/>
        </w:rPr>
        <w:t xml:space="preserve"> MAH </w:t>
      </w:r>
      <w:r>
        <w:rPr>
          <w:rFonts w:ascii="Times New Roman" w:eastAsia="仿宋_GB2312" w:hAnsi="Times New Roman" w:cs="Times New Roman"/>
          <w:bCs/>
          <w:sz w:val="32"/>
          <w:szCs w:val="32"/>
        </w:rPr>
        <w:t>制度相关要求，将合规化标准融入产品工业化全流程，推动产品向标准化、量产化方向迈进，为后续临床申报、场景验证及商业化落地做好充分准备。此外，项目已完成核心专家团队与运营团队的组建，整合了脑机接口领域研发、临床、产业化、市场运营等相关优质资源，各项配套基础设施规划与建设工作同步跟进，为中试平台合作落地、自研产品工业化推进提供了全方位的团队与资源支撑。</w:t>
      </w:r>
    </w:p>
    <w:p w14:paraId="046CB228" w14:textId="77777777" w:rsidR="00FB3E23" w:rsidRDefault="00000000">
      <w:pPr>
        <w:pStyle w:val="-"/>
        <w:numPr>
          <w:ilvl w:val="0"/>
          <w:numId w:val="4"/>
        </w:numPr>
        <w:adjustRightInd w:val="0"/>
        <w:ind w:firstLineChars="200"/>
        <w:outlineLvl w:val="0"/>
        <w:rPr>
          <w:rFonts w:eastAsia="方正楷体_GBK" w:cs="Times New Roman"/>
          <w:bCs/>
        </w:rPr>
      </w:pPr>
      <w:r>
        <w:rPr>
          <w:rFonts w:eastAsia="方正楷体_GBK" w:cs="Times New Roman"/>
          <w:bCs/>
        </w:rPr>
        <w:t>已开展的工作、落实的资源与条件（包括已申报各类中央资金支持或纳入其他部门场景清单情况等）</w:t>
      </w:r>
    </w:p>
    <w:p w14:paraId="3C188F83"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hint="eastAsia"/>
          <w:bCs/>
          <w:sz w:val="32"/>
          <w:szCs w:val="32"/>
        </w:rPr>
        <w:t>项目已完成整体规划、核心团队组建、中试公共服务平台功能设计与制度框架搭建等前期工作，正与多家脑机接口领域企业、高校开展中试研发合作意向洽谈，同步推进自研</w:t>
      </w:r>
      <w:r>
        <w:rPr>
          <w:rFonts w:ascii="Times New Roman" w:eastAsia="仿宋_GB2312" w:hAnsi="Times New Roman" w:cs="Times New Roman" w:hint="eastAsia"/>
          <w:bCs/>
          <w:sz w:val="32"/>
          <w:szCs w:val="32"/>
        </w:rPr>
        <w:t xml:space="preserve"> </w:t>
      </w:r>
      <w:r>
        <w:rPr>
          <w:rFonts w:ascii="Times New Roman" w:eastAsia="仿宋_GB2312" w:hAnsi="Times New Roman" w:cs="Times New Roman" w:hint="eastAsia"/>
          <w:bCs/>
          <w:sz w:val="32"/>
          <w:szCs w:val="32"/>
        </w:rPr>
        <w:t>“纽洛星”</w:t>
      </w:r>
      <w:r>
        <w:rPr>
          <w:rFonts w:ascii="Times New Roman" w:eastAsia="仿宋_GB2312" w:hAnsi="Times New Roman" w:cs="Times New Roman" w:hint="eastAsia"/>
          <w:bCs/>
          <w:sz w:val="32"/>
          <w:szCs w:val="32"/>
        </w:rPr>
        <w:t xml:space="preserve"> </w:t>
      </w:r>
      <w:r>
        <w:rPr>
          <w:rFonts w:ascii="Times New Roman" w:eastAsia="仿宋_GB2312" w:hAnsi="Times New Roman" w:cs="Times New Roman" w:hint="eastAsia"/>
          <w:bCs/>
          <w:sz w:val="32"/>
          <w:szCs w:val="32"/>
        </w:rPr>
        <w:t>系列产品核心技术研发、原型验证及工业化前期筹备，搭建项目全流程风险管控与数据安全合规体系；已落实产业园区场地，建成</w:t>
      </w:r>
      <w:r>
        <w:rPr>
          <w:rFonts w:ascii="Times New Roman" w:eastAsia="仿宋_GB2312" w:hAnsi="Times New Roman" w:cs="Times New Roman" w:hint="eastAsia"/>
          <w:bCs/>
          <w:sz w:val="32"/>
          <w:szCs w:val="32"/>
        </w:rPr>
        <w:t xml:space="preserve"> 3 </w:t>
      </w:r>
      <w:r>
        <w:rPr>
          <w:rFonts w:ascii="Times New Roman" w:eastAsia="仿宋_GB2312" w:hAnsi="Times New Roman" w:cs="Times New Roman" w:hint="eastAsia"/>
          <w:bCs/>
          <w:sz w:val="32"/>
          <w:szCs w:val="32"/>
        </w:rPr>
        <w:t>个万级洁净区与</w:t>
      </w:r>
      <w:r>
        <w:rPr>
          <w:rFonts w:ascii="Times New Roman" w:eastAsia="仿宋_GB2312" w:hAnsi="Times New Roman" w:cs="Times New Roman" w:hint="eastAsia"/>
          <w:bCs/>
          <w:sz w:val="32"/>
          <w:szCs w:val="32"/>
        </w:rPr>
        <w:t xml:space="preserve"> 1 </w:t>
      </w:r>
      <w:r>
        <w:rPr>
          <w:rFonts w:ascii="Times New Roman" w:eastAsia="仿宋_GB2312" w:hAnsi="Times New Roman" w:cs="Times New Roman" w:hint="eastAsia"/>
          <w:bCs/>
          <w:sz w:val="32"/>
          <w:szCs w:val="32"/>
        </w:rPr>
        <w:t>个有源普通区，配备</w:t>
      </w:r>
      <w:r>
        <w:rPr>
          <w:rFonts w:ascii="Times New Roman" w:eastAsia="仿宋_GB2312" w:hAnsi="Times New Roman" w:cs="Times New Roman" w:hint="eastAsia"/>
          <w:bCs/>
          <w:sz w:val="32"/>
          <w:szCs w:val="32"/>
        </w:rPr>
        <w:t xml:space="preserve"> 50 </w:t>
      </w:r>
      <w:r>
        <w:rPr>
          <w:rFonts w:ascii="Times New Roman" w:eastAsia="仿宋_GB2312" w:hAnsi="Times New Roman" w:cs="Times New Roman" w:hint="eastAsia"/>
          <w:bCs/>
          <w:sz w:val="32"/>
          <w:szCs w:val="32"/>
        </w:rPr>
        <w:t>余台专业设备，汇聚</w:t>
      </w:r>
      <w:r>
        <w:rPr>
          <w:rFonts w:ascii="Times New Roman" w:eastAsia="仿宋_GB2312" w:hAnsi="Times New Roman" w:cs="Times New Roman" w:hint="eastAsia"/>
          <w:bCs/>
          <w:sz w:val="32"/>
          <w:szCs w:val="32"/>
        </w:rPr>
        <w:t xml:space="preserve"> 70 </w:t>
      </w:r>
      <w:r>
        <w:rPr>
          <w:rFonts w:ascii="Times New Roman" w:eastAsia="仿宋_GB2312" w:hAnsi="Times New Roman" w:cs="Times New Roman" w:hint="eastAsia"/>
          <w:bCs/>
          <w:sz w:val="32"/>
          <w:szCs w:val="32"/>
        </w:rPr>
        <w:t>余名行业专家人才，依托电子科技大学、四川脑科学与类脑智能研究院形成稳定产学研技术支撑，具备医疗器械生产与注册基础条件；项目正在积极对接行业主管部门，争取纳入地方相关部门创新应</w:t>
      </w:r>
      <w:r>
        <w:rPr>
          <w:rFonts w:ascii="Times New Roman" w:eastAsia="仿宋_GB2312" w:hAnsi="Times New Roman" w:cs="Times New Roman" w:hint="eastAsia"/>
          <w:bCs/>
          <w:sz w:val="32"/>
          <w:szCs w:val="32"/>
        </w:rPr>
        <w:lastRenderedPageBreak/>
        <w:t>用场景清单与未来产业重点支持项目清单，为平台建设、产品转化及后续合作落地提供坚实保障。</w:t>
      </w:r>
    </w:p>
    <w:p w14:paraId="3DE395F8"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3.</w:t>
      </w:r>
      <w:r>
        <w:rPr>
          <w:rFonts w:eastAsia="方正楷体_GBK" w:cs="Times New Roman"/>
          <w:bCs/>
        </w:rPr>
        <w:t>详细工作计划与时间节点</w:t>
      </w:r>
    </w:p>
    <w:p w14:paraId="4ED7B380"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bCs/>
          <w:sz w:val="32"/>
          <w:szCs w:val="32"/>
        </w:rPr>
        <w:t>本项目自</w:t>
      </w:r>
      <w:r>
        <w:rPr>
          <w:rFonts w:ascii="Times New Roman" w:eastAsia="仿宋_GB2312" w:hAnsi="Times New Roman" w:cs="Times New Roman"/>
          <w:bCs/>
          <w:sz w:val="32"/>
          <w:szCs w:val="32"/>
        </w:rPr>
        <w:t xml:space="preserve"> 2025</w:t>
      </w:r>
      <w:r>
        <w:rPr>
          <w:rFonts w:ascii="Times New Roman" w:eastAsia="仿宋_GB2312" w:hAnsi="Times New Roman" w:cs="Times New Roman"/>
          <w:bCs/>
          <w:sz w:val="32"/>
          <w:szCs w:val="32"/>
        </w:rPr>
        <w:t>年</w:t>
      </w:r>
      <w:r>
        <w:rPr>
          <w:rFonts w:ascii="Times New Roman" w:eastAsia="仿宋_GB2312" w:hAnsi="Times New Roman" w:cs="Times New Roman" w:hint="eastAsia"/>
          <w:bCs/>
          <w:sz w:val="32"/>
          <w:szCs w:val="32"/>
        </w:rPr>
        <w:t>7</w:t>
      </w:r>
      <w:r>
        <w:rPr>
          <w:rFonts w:ascii="Times New Roman" w:eastAsia="仿宋_GB2312" w:hAnsi="Times New Roman" w:cs="Times New Roman"/>
          <w:bCs/>
          <w:sz w:val="32"/>
          <w:szCs w:val="32"/>
        </w:rPr>
        <w:t>月正式揭牌启动，整体工作计划按</w:t>
      </w:r>
      <w:r>
        <w:rPr>
          <w:rFonts w:ascii="Times New Roman" w:eastAsia="仿宋_GB2312" w:hAnsi="Times New Roman" w:cs="Times New Roman"/>
          <w:bCs/>
          <w:sz w:val="32"/>
          <w:szCs w:val="32"/>
        </w:rPr>
        <w:t>3</w:t>
      </w:r>
      <w:r>
        <w:rPr>
          <w:rFonts w:ascii="Times New Roman" w:eastAsia="仿宋_GB2312" w:hAnsi="Times New Roman" w:cs="Times New Roman"/>
          <w:bCs/>
          <w:sz w:val="32"/>
          <w:szCs w:val="32"/>
        </w:rPr>
        <w:t>年建设周期分阶段推进并明确关键时间节点，</w:t>
      </w:r>
      <w:r>
        <w:rPr>
          <w:rFonts w:ascii="Times New Roman" w:eastAsia="仿宋_GB2312" w:hAnsi="Times New Roman" w:cs="Times New Roman"/>
          <w:bCs/>
          <w:sz w:val="32"/>
          <w:szCs w:val="32"/>
        </w:rPr>
        <w:t>2025</w:t>
      </w:r>
      <w:r>
        <w:rPr>
          <w:rFonts w:ascii="Times New Roman" w:eastAsia="仿宋_GB2312" w:hAnsi="Times New Roman" w:cs="Times New Roman"/>
          <w:bCs/>
          <w:sz w:val="32"/>
          <w:szCs w:val="32"/>
        </w:rPr>
        <w:t>年</w:t>
      </w:r>
      <w:r>
        <w:rPr>
          <w:rFonts w:ascii="Times New Roman" w:eastAsia="仿宋_GB2312" w:hAnsi="Times New Roman" w:cs="Times New Roman"/>
          <w:bCs/>
          <w:sz w:val="32"/>
          <w:szCs w:val="32"/>
        </w:rPr>
        <w:t>7</w:t>
      </w:r>
      <w:r>
        <w:rPr>
          <w:rFonts w:ascii="Times New Roman" w:eastAsia="仿宋_GB2312" w:hAnsi="Times New Roman" w:cs="Times New Roman"/>
          <w:bCs/>
          <w:sz w:val="32"/>
          <w:szCs w:val="32"/>
        </w:rPr>
        <w:t>月至</w:t>
      </w:r>
      <w:r>
        <w:rPr>
          <w:rFonts w:ascii="Times New Roman" w:eastAsia="仿宋_GB2312" w:hAnsi="Times New Roman" w:cs="Times New Roman"/>
          <w:bCs/>
          <w:sz w:val="32"/>
          <w:szCs w:val="32"/>
        </w:rPr>
        <w:t xml:space="preserve"> 2026</w:t>
      </w:r>
      <w:r>
        <w:rPr>
          <w:rFonts w:ascii="Times New Roman" w:eastAsia="仿宋_GB2312" w:hAnsi="Times New Roman" w:cs="Times New Roman"/>
          <w:bCs/>
          <w:sz w:val="32"/>
          <w:szCs w:val="32"/>
        </w:rPr>
        <w:t>年</w:t>
      </w:r>
      <w:r>
        <w:rPr>
          <w:rFonts w:ascii="Times New Roman" w:eastAsia="仿宋_GB2312" w:hAnsi="Times New Roman" w:cs="Times New Roman"/>
          <w:bCs/>
          <w:sz w:val="32"/>
          <w:szCs w:val="32"/>
        </w:rPr>
        <w:t>6</w:t>
      </w:r>
      <w:r>
        <w:rPr>
          <w:rFonts w:ascii="Times New Roman" w:eastAsia="仿宋_GB2312" w:hAnsi="Times New Roman" w:cs="Times New Roman"/>
          <w:bCs/>
          <w:sz w:val="32"/>
          <w:szCs w:val="32"/>
        </w:rPr>
        <w:t>月为启动筹备阶段，重点完成项目前期规划、场地布局、核心团队搭建、平台制度体系建设及核心设备选型，持续与多家意向企业、高校开展中试研发合作对接洽谈，同步推进自研</w:t>
      </w:r>
      <w:r>
        <w:rPr>
          <w:rFonts w:ascii="Times New Roman" w:eastAsia="仿宋_GB2312" w:hAnsi="Times New Roman" w:cs="Times New Roman"/>
          <w:bCs/>
          <w:sz w:val="32"/>
          <w:szCs w:val="32"/>
        </w:rPr>
        <w:t>“</w:t>
      </w:r>
      <w:r>
        <w:rPr>
          <w:rFonts w:ascii="Times New Roman" w:eastAsia="仿宋_GB2312" w:hAnsi="Times New Roman" w:cs="Times New Roman"/>
          <w:bCs/>
          <w:sz w:val="32"/>
          <w:szCs w:val="32"/>
        </w:rPr>
        <w:t>纽洛星</w:t>
      </w:r>
      <w:r>
        <w:rPr>
          <w:rFonts w:ascii="Times New Roman" w:eastAsia="仿宋_GB2312" w:hAnsi="Times New Roman" w:cs="Times New Roman"/>
          <w:bCs/>
          <w:sz w:val="32"/>
          <w:szCs w:val="32"/>
        </w:rPr>
        <w:t>”</w:t>
      </w:r>
      <w:r>
        <w:rPr>
          <w:rFonts w:ascii="Times New Roman" w:eastAsia="仿宋_GB2312" w:hAnsi="Times New Roman" w:cs="Times New Roman"/>
          <w:bCs/>
          <w:sz w:val="32"/>
          <w:szCs w:val="32"/>
        </w:rPr>
        <w:t>系列产品的工业化前期研发、原型优化与工艺设计，此阶段暂不签订正式合作协议，以意向对接和基础筹备为核心；</w:t>
      </w:r>
      <w:r>
        <w:rPr>
          <w:rFonts w:ascii="Times New Roman" w:eastAsia="仿宋_GB2312" w:hAnsi="Times New Roman" w:cs="Times New Roman"/>
          <w:bCs/>
          <w:sz w:val="32"/>
          <w:szCs w:val="32"/>
        </w:rPr>
        <w:t>2026</w:t>
      </w:r>
      <w:r>
        <w:rPr>
          <w:rFonts w:ascii="Times New Roman" w:eastAsia="仿宋_GB2312" w:hAnsi="Times New Roman" w:cs="Times New Roman"/>
          <w:bCs/>
          <w:sz w:val="32"/>
          <w:szCs w:val="32"/>
        </w:rPr>
        <w:t>年</w:t>
      </w:r>
      <w:r>
        <w:rPr>
          <w:rFonts w:ascii="Times New Roman" w:eastAsia="仿宋_GB2312" w:hAnsi="Times New Roman" w:cs="Times New Roman"/>
          <w:bCs/>
          <w:sz w:val="32"/>
          <w:szCs w:val="32"/>
        </w:rPr>
        <w:t>7</w:t>
      </w:r>
      <w:r>
        <w:rPr>
          <w:rFonts w:ascii="Times New Roman" w:eastAsia="仿宋_GB2312" w:hAnsi="Times New Roman" w:cs="Times New Roman"/>
          <w:bCs/>
          <w:sz w:val="32"/>
          <w:szCs w:val="32"/>
        </w:rPr>
        <w:t>月至</w:t>
      </w:r>
      <w:r>
        <w:rPr>
          <w:rFonts w:ascii="Times New Roman" w:eastAsia="仿宋_GB2312" w:hAnsi="Times New Roman" w:cs="Times New Roman" w:hint="eastAsia"/>
          <w:bCs/>
          <w:sz w:val="32"/>
          <w:szCs w:val="32"/>
        </w:rPr>
        <w:t>2027</w:t>
      </w:r>
      <w:r>
        <w:rPr>
          <w:rFonts w:ascii="Times New Roman" w:eastAsia="仿宋_GB2312" w:hAnsi="Times New Roman" w:cs="Times New Roman"/>
          <w:bCs/>
          <w:sz w:val="32"/>
          <w:szCs w:val="32"/>
        </w:rPr>
        <w:t>年</w:t>
      </w:r>
      <w:r>
        <w:rPr>
          <w:rFonts w:ascii="Times New Roman" w:eastAsia="仿宋_GB2312" w:hAnsi="Times New Roman" w:cs="Times New Roman" w:hint="eastAsia"/>
          <w:bCs/>
          <w:sz w:val="32"/>
          <w:szCs w:val="32"/>
        </w:rPr>
        <w:t>6</w:t>
      </w:r>
      <w:r>
        <w:rPr>
          <w:rFonts w:ascii="Times New Roman" w:eastAsia="仿宋_GB2312" w:hAnsi="Times New Roman" w:cs="Times New Roman"/>
          <w:bCs/>
          <w:sz w:val="32"/>
          <w:szCs w:val="32"/>
        </w:rPr>
        <w:t>月为平台建设与合作落地阶段，完成中试平台核心实验室、基础中试产线的建设与调试，推动意向合作单位转化为正式签约合作方并落地首批中试研发项目，自研产品完成工业化工艺定型并进入小批量试产，同步启动医疗器械合规认证前期工作与场景应用验证；</w:t>
      </w:r>
      <w:r>
        <w:rPr>
          <w:rFonts w:ascii="Times New Roman" w:eastAsia="仿宋_GB2312" w:hAnsi="Times New Roman" w:cs="Times New Roman"/>
          <w:bCs/>
          <w:sz w:val="32"/>
          <w:szCs w:val="32"/>
        </w:rPr>
        <w:t>2027</w:t>
      </w:r>
      <w:r>
        <w:rPr>
          <w:rFonts w:ascii="Times New Roman" w:eastAsia="仿宋_GB2312" w:hAnsi="Times New Roman" w:cs="Times New Roman"/>
          <w:bCs/>
          <w:sz w:val="32"/>
          <w:szCs w:val="32"/>
        </w:rPr>
        <w:t>年</w:t>
      </w:r>
      <w:r>
        <w:rPr>
          <w:rFonts w:ascii="Times New Roman" w:eastAsia="仿宋_GB2312" w:hAnsi="Times New Roman" w:cs="Times New Roman" w:hint="eastAsia"/>
          <w:bCs/>
          <w:sz w:val="32"/>
          <w:szCs w:val="32"/>
        </w:rPr>
        <w:t>7</w:t>
      </w:r>
      <w:r>
        <w:rPr>
          <w:rFonts w:ascii="Times New Roman" w:eastAsia="仿宋_GB2312" w:hAnsi="Times New Roman" w:cs="Times New Roman"/>
          <w:bCs/>
          <w:sz w:val="32"/>
          <w:szCs w:val="32"/>
        </w:rPr>
        <w:t>月至</w:t>
      </w:r>
      <w:r>
        <w:rPr>
          <w:rFonts w:ascii="Times New Roman" w:eastAsia="仿宋_GB2312" w:hAnsi="Times New Roman" w:cs="Times New Roman"/>
          <w:bCs/>
          <w:sz w:val="32"/>
          <w:szCs w:val="32"/>
        </w:rPr>
        <w:t>2028</w:t>
      </w:r>
      <w:r>
        <w:rPr>
          <w:rFonts w:ascii="Times New Roman" w:eastAsia="仿宋_GB2312" w:hAnsi="Times New Roman" w:cs="Times New Roman"/>
          <w:bCs/>
          <w:sz w:val="32"/>
          <w:szCs w:val="32"/>
        </w:rPr>
        <w:t>年</w:t>
      </w:r>
      <w:r>
        <w:rPr>
          <w:rFonts w:ascii="Times New Roman" w:eastAsia="仿宋_GB2312" w:hAnsi="Times New Roman" w:cs="Times New Roman" w:hint="eastAsia"/>
          <w:bCs/>
          <w:sz w:val="32"/>
          <w:szCs w:val="32"/>
        </w:rPr>
        <w:t>6</w:t>
      </w:r>
      <w:r>
        <w:rPr>
          <w:rFonts w:ascii="Times New Roman" w:eastAsia="仿宋_GB2312" w:hAnsi="Times New Roman" w:cs="Times New Roman"/>
          <w:bCs/>
          <w:sz w:val="32"/>
          <w:szCs w:val="32"/>
        </w:rPr>
        <w:t>月为运营完善与规模化发展阶段，实现中试平台全链路服务常态化运营，持续集聚上下游合作资源，自研产品完成规模化量产准备及相关资质获取并实现市场投放，最终建成西南区域领先的脑机接口中试公共服务平台，形成技术研发、平台服务、产品产业化协同推进的完整工作体系。</w:t>
      </w:r>
    </w:p>
    <w:p w14:paraId="1514E4FB" w14:textId="77777777" w:rsidR="00FB3E23" w:rsidRDefault="00000000">
      <w:pPr>
        <w:pStyle w:val="-"/>
        <w:adjustRightInd w:val="0"/>
        <w:ind w:firstLineChars="200"/>
        <w:outlineLvl w:val="0"/>
        <w:rPr>
          <w:rFonts w:eastAsia="黑体" w:cs="Times New Roman"/>
          <w:bCs/>
        </w:rPr>
      </w:pPr>
      <w:r>
        <w:rPr>
          <w:rFonts w:eastAsia="黑体" w:cs="Times New Roman"/>
          <w:bCs/>
        </w:rPr>
        <w:t>七、项目预期效果</w:t>
      </w:r>
    </w:p>
    <w:p w14:paraId="60C203F6"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lastRenderedPageBreak/>
        <w:t>1.</w:t>
      </w:r>
      <w:r>
        <w:rPr>
          <w:rFonts w:eastAsia="方正楷体_GBK" w:cs="Times New Roman"/>
          <w:bCs/>
        </w:rPr>
        <w:t>技术创新与产业创新预期效果</w:t>
      </w:r>
    </w:p>
    <w:p w14:paraId="089E5157"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t>在技术创新层面将实现非侵入式脑机接口核心技术的关键突破，持续提升高精度脑电信号采集、抗干扰及解码精度，完善基于深度学习的脑电信号算法体系，实现人体认知、睡眠、情绪状态的精准实时解码与智能干预，同时推动实验室技术向商业化软硬件的高效工程化转化，构建脑电生物数据合规采集、存储、共享的标准化技术体系，填补西南区域脑机接口技术工程化转化的空白，打造国内领先的非侵入式脑机接口技术研发与验证平台，为行业技术升级提供核心支撑。在产业创新层面，项目将建成西南首个脑机接口全链路中试公共服务平台，填补区域中试服务空白，破解行业研发转化难、注册报证慢等核心痛点，依托平台集聚脑机接口上下游企业、科研院所等创新主体，完善区域产业链条并构建研发、中试、生产、场景应用的完整产业生态，创新适配</w:t>
      </w:r>
      <w:r>
        <w:rPr>
          <w:rFonts w:ascii="Times New Roman" w:eastAsia="仿宋_GB2312" w:hAnsi="Times New Roman" w:cs="Times New Roman"/>
          <w:bCs/>
          <w:sz w:val="32"/>
          <w:szCs w:val="32"/>
        </w:rPr>
        <w:t xml:space="preserve"> MAH </w:t>
      </w:r>
      <w:r>
        <w:rPr>
          <w:rFonts w:ascii="Times New Roman" w:eastAsia="仿宋_GB2312" w:hAnsi="Times New Roman" w:cs="Times New Roman"/>
          <w:bCs/>
          <w:sz w:val="32"/>
          <w:szCs w:val="32"/>
        </w:rPr>
        <w:t>制度的医疗器械产业化模式与</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硬件</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服务</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商业化业态，推动脑机接口技术在医疗康复、消费健康、教育训练等多领域场景化落地，带动民营企业、中小企业深度参与产业创新，显著提升四川在全国脑机接口产业的行业话语权与影响力，同时为全国脑机接口未来产业的创新发展提供可复制的区域产业培育与生态构建经验。</w:t>
      </w:r>
    </w:p>
    <w:p w14:paraId="57D18484" w14:textId="77777777" w:rsidR="00FB3E23" w:rsidRDefault="00000000">
      <w:pPr>
        <w:pStyle w:val="-"/>
        <w:numPr>
          <w:ilvl w:val="0"/>
          <w:numId w:val="5"/>
        </w:numPr>
        <w:adjustRightInd w:val="0"/>
        <w:ind w:firstLineChars="200"/>
        <w:outlineLvl w:val="0"/>
        <w:rPr>
          <w:rFonts w:eastAsia="方正楷体_GBK" w:cs="Times New Roman"/>
          <w:bCs/>
        </w:rPr>
      </w:pPr>
      <w:r>
        <w:rPr>
          <w:rFonts w:eastAsia="方正楷体_GBK" w:cs="Times New Roman"/>
          <w:bCs/>
        </w:rPr>
        <w:t>经济社会价值分析：投资与消费拉动作用预测、对产业链的发展带动效应、社会效益（如公共服务提升、民生</w:t>
      </w:r>
      <w:r>
        <w:rPr>
          <w:rFonts w:eastAsia="方正楷体_GBK" w:cs="Times New Roman"/>
          <w:bCs/>
        </w:rPr>
        <w:lastRenderedPageBreak/>
        <w:t>改善）</w:t>
      </w:r>
    </w:p>
    <w:p w14:paraId="054EFAF8"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bCs/>
          <w:sz w:val="32"/>
          <w:szCs w:val="32"/>
        </w:rPr>
        <w:t>在投资拉动层面，本项目自身融资及中试平台基础设施建设、产线升级、设备购置等投入，将直接带动高端电子制造、精密传感器、人工智能算法研发、医疗器械装备等相关领域的投资落地；同时依托西南首个脑机接口全链路中试平台的产业集聚效应，将吸引脑机接口上下游企业、科研合作机构入驻区域，形成产业投资集聚，撬动社会资本参与脑机接口未来产业布局，进一步放大区域内大健康、数字经济领域的投资规模，推动产业投资结构向高端化、智能化升级。在消费拉动层面，项目自研的</w:t>
      </w:r>
      <w:r>
        <w:rPr>
          <w:rFonts w:ascii="Times New Roman" w:eastAsia="仿宋_GB2312" w:hAnsi="Times New Roman" w:cs="Times New Roman"/>
          <w:bCs/>
          <w:sz w:val="32"/>
          <w:szCs w:val="32"/>
        </w:rPr>
        <w:t xml:space="preserve"> “</w:t>
      </w:r>
      <w:r>
        <w:rPr>
          <w:rFonts w:ascii="Times New Roman" w:eastAsia="仿宋_GB2312" w:hAnsi="Times New Roman" w:cs="Times New Roman"/>
          <w:bCs/>
          <w:sz w:val="32"/>
          <w:szCs w:val="32"/>
        </w:rPr>
        <w:t>纽洛星</w:t>
      </w:r>
      <w:r>
        <w:rPr>
          <w:rFonts w:ascii="Times New Roman" w:eastAsia="仿宋_GB2312" w:hAnsi="Times New Roman" w:cs="Times New Roman"/>
          <w:bCs/>
          <w:sz w:val="32"/>
          <w:szCs w:val="32"/>
        </w:rPr>
        <w:t xml:space="preserve">” </w:t>
      </w:r>
      <w:r>
        <w:rPr>
          <w:rFonts w:ascii="Times New Roman" w:eastAsia="仿宋_GB2312" w:hAnsi="Times New Roman" w:cs="Times New Roman"/>
          <w:bCs/>
          <w:sz w:val="32"/>
          <w:szCs w:val="32"/>
        </w:rPr>
        <w:t>系列产品精准契合大众健康消费升级与民生刚需，消费级的睡眠头环、注意力训练仪将撬动居家健康、素质教育等消费市场，满足居民对非药物健康干预、科学能力提升的消费需求；医疗级康复系统将填补专业康复医疗消费缺口，适配医疗康养机构及家庭康复的消费需求，同时随着脑机接口技术在多场景的落地普及，将培育全新的健康消费场景与消费习惯，拉动医疗康复、养老康养、智慧生活等领域的消费增长；此外，项目运营与产业集聚将创造大量就业岗位，提升区域居民收入水平，间接带动居民日常消费能力提升，形成</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产业投资</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就业增收</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消费升级</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的良性循环。</w:t>
      </w:r>
    </w:p>
    <w:p w14:paraId="05D58520"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bCs/>
          <w:sz w:val="32"/>
          <w:szCs w:val="32"/>
        </w:rPr>
        <w:t>项目作为西南区域首个脑机接口全链路产业项目，将从补链、延链、强链三个维度推动脑机接口产业链高质量发展，</w:t>
      </w:r>
      <w:r>
        <w:rPr>
          <w:rFonts w:ascii="Times New Roman" w:eastAsia="仿宋_GB2312" w:hAnsi="Times New Roman" w:cs="Times New Roman"/>
          <w:bCs/>
          <w:sz w:val="32"/>
          <w:szCs w:val="32"/>
        </w:rPr>
        <w:lastRenderedPageBreak/>
        <w:t>形成辐射西南、联动全国的产业生态。一是补齐产业链核心短板，项目打造的中试公共技术服务平台，填补了西南区域脑机接口产业研发验证与产业化之间的中试环节空白，破解行业</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自建产线难、注册报证慢、成果转化效率低</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的痛点，打通科研成果从实验室到产业化的关键通道，完善脑机接口</w:t>
      </w:r>
      <w:r>
        <w:rPr>
          <w:rFonts w:ascii="Times New Roman" w:eastAsia="仿宋_GB2312" w:hAnsi="Times New Roman" w:cs="Times New Roman"/>
          <w:bCs/>
          <w:sz w:val="32"/>
          <w:szCs w:val="32"/>
        </w:rPr>
        <w:t xml:space="preserve"> </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核心技术研发</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中试熟化</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合规注册</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小批量量产</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场景应用</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的全产业链条。二是延伸产业链上下游布局，平台将吸引上游脑电传感器、精密芯片、核心元器件等研发制造企业，中游医疗器械代工、算法优化、合规检测等服务企业，下游医疗康复、养老康养、基础教育、消费健康等场景应用主体集聚，推动产业链向上下游双向延伸，形成各环节协同配套的产业集群。三是强化产业链技术与产业竞争力，依托产学研用协同创新机制，推动非侵入式脑机接口核心技术的迭代升级，提升产业链整体技术水平；同时通过制定行业适配标准、输出全链路产业服务经验，提升西南区域脑机接口产业在全国的行业话语权，带动区域内相关产业向高端化、智能化转型，推动脑机接口与人工智能、大健康、数字医疗等产业融合发展，形成跨产业融合的产业链生态体系。</w:t>
      </w:r>
    </w:p>
    <w:p w14:paraId="4ED88AB0"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bCs/>
          <w:sz w:val="32"/>
          <w:szCs w:val="32"/>
        </w:rPr>
        <w:t>项目显著提升区域医疗康复、养老康养、公共教育等公共服务水平，以智能化脑机接口设备弥补传统康复资源缺口，推动康复医疗服务向基层下沉，同时将认知训练类产品应用于基础及特殊教育，丰富服务形式、提升公共服务的智能化</w:t>
      </w:r>
      <w:r>
        <w:rPr>
          <w:rFonts w:ascii="Times New Roman" w:eastAsia="仿宋_GB2312" w:hAnsi="Times New Roman" w:cs="Times New Roman"/>
          <w:bCs/>
          <w:sz w:val="32"/>
          <w:szCs w:val="32"/>
        </w:rPr>
        <w:lastRenderedPageBreak/>
        <w:t>与精准化程度。项目紧扣人口老龄化、大众健康意识升级的民生需求，针对神经退行性疾病、脑损伤康复、睡眠障碍、青少年注意力不足等民生痛点，提供非侵入式、智能化的脑机接口解决方案，降低家庭及社会医疗康养负担，居家健康类产品让专业健康服务延伸至家庭，切实改善民生福祉，助力</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健康中国</w:t>
      </w:r>
      <w:r>
        <w:rPr>
          <w:rFonts w:ascii="Times New Roman" w:eastAsia="仿宋_GB2312" w:hAnsi="Times New Roman" w:cs="Times New Roman"/>
          <w:bCs/>
          <w:sz w:val="32"/>
          <w:szCs w:val="32"/>
        </w:rPr>
        <w:t>2030</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战略落地。此外，项目建设运营创造技术研发、中试操作、市场运营等多领域就业岗位，依托产业集聚效应吸引脑机接口、人工智能、医疗器械等领域高端人才向西南区域集聚，优化区域人才结构；推动脑机接口与大健康、数字经济产业深度融合，助力区域产业结构向高新技术产业升级，同时以中试公共服务平台降低中小企业、科研院所的产业参与门槛，培育创新创业生态，实现产业发展与民生改善的双向赋能。</w:t>
      </w:r>
    </w:p>
    <w:p w14:paraId="3813DAE6" w14:textId="77777777" w:rsidR="00FB3E23" w:rsidRDefault="00000000">
      <w:pPr>
        <w:pStyle w:val="-"/>
        <w:numPr>
          <w:ilvl w:val="0"/>
          <w:numId w:val="5"/>
        </w:numPr>
        <w:adjustRightInd w:val="0"/>
        <w:ind w:firstLineChars="200"/>
        <w:outlineLvl w:val="0"/>
        <w:rPr>
          <w:rFonts w:eastAsia="方正楷体_GBK" w:cs="Times New Roman"/>
          <w:bCs/>
        </w:rPr>
      </w:pPr>
      <w:r>
        <w:rPr>
          <w:rFonts w:eastAsia="方正楷体_GBK" w:cs="Times New Roman"/>
          <w:bCs/>
        </w:rPr>
        <w:t>未来大规模应用推广的可能性分析</w:t>
      </w:r>
    </w:p>
    <w:p w14:paraId="46076A03"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t>项目聚焦非侵入式脑机接口技术产业化与多场景落地，依托政策、市场、技术、产业配套及自身产品与运营模式的多重核心优势，未来在医疗康复、消费健康、教育训练、养老康养等领域具备大规模应用推广的高度可行性，拥有广阔的普及落地空间。政策层面，脑机接口已纳入国家</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十</w:t>
      </w:r>
      <w:r>
        <w:rPr>
          <w:rFonts w:ascii="Times New Roman" w:eastAsia="仿宋_GB2312" w:hAnsi="Times New Roman" w:cs="Times New Roman" w:hint="eastAsia"/>
          <w:bCs/>
          <w:sz w:val="32"/>
          <w:szCs w:val="32"/>
        </w:rPr>
        <w:t>五</w:t>
      </w:r>
      <w:r>
        <w:rPr>
          <w:rFonts w:ascii="Times New Roman" w:eastAsia="仿宋_GB2312" w:hAnsi="Times New Roman" w:cs="Times New Roman"/>
          <w:bCs/>
          <w:sz w:val="32"/>
          <w:szCs w:val="32"/>
        </w:rPr>
        <w:t>五</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规划及未来产业发展重点，工信部等七部门出台专项政策加速其商业化，国家药监局开辟创新医疗器械优先审批绿色通道、医保局逐步扩大康复类项目报销范围，叠加四川省及成</w:t>
      </w:r>
      <w:r>
        <w:rPr>
          <w:rFonts w:ascii="Times New Roman" w:eastAsia="仿宋_GB2312" w:hAnsi="Times New Roman" w:cs="Times New Roman"/>
          <w:bCs/>
          <w:sz w:val="32"/>
          <w:szCs w:val="32"/>
        </w:rPr>
        <w:lastRenderedPageBreak/>
        <w:t>都市在场景示范、科研经费、场地补贴等方面的区域红利，且项目深度适配医疗器械</w:t>
      </w:r>
      <w:r>
        <w:rPr>
          <w:rFonts w:ascii="Times New Roman" w:eastAsia="仿宋_GB2312" w:hAnsi="Times New Roman" w:cs="Times New Roman"/>
          <w:bCs/>
          <w:sz w:val="32"/>
          <w:szCs w:val="32"/>
        </w:rPr>
        <w:t xml:space="preserve"> MAH </w:t>
      </w:r>
      <w:r>
        <w:rPr>
          <w:rFonts w:ascii="Times New Roman" w:eastAsia="仿宋_GB2312" w:hAnsi="Times New Roman" w:cs="Times New Roman"/>
          <w:bCs/>
          <w:sz w:val="32"/>
          <w:szCs w:val="32"/>
        </w:rPr>
        <w:t>制度，从国家到地方形成的全维度政策支持体系，为项目大规模推广扫清了政策与合规障碍。市场层面，当前我国深度老龄化背景下神经退行性疾病康复、老年认知障碍干预需求激增，传统康复资源缺口显著，同时大众健康意识升级带动睡眠障碍、情绪焦虑等问题的非药物物理神经调控需求提升，基础教育与特殊教育领域的认知训练需求也持续增长，高校及科研院所的科研设备需求稳步增加，项目自研产品精准覆盖医疗康复、消费健康、科研服务三大千亿级市场赛道，市场需求基数大、增长潜力足，为大规模推广奠定了坚实的需求基础。技术层面，项目聚焦的非侵入式脑电（</w:t>
      </w:r>
      <w:r>
        <w:rPr>
          <w:rFonts w:ascii="Times New Roman" w:eastAsia="仿宋_GB2312" w:hAnsi="Times New Roman" w:cs="Times New Roman"/>
          <w:bCs/>
          <w:sz w:val="32"/>
          <w:szCs w:val="32"/>
        </w:rPr>
        <w:t>EEG</w:t>
      </w:r>
      <w:r>
        <w:rPr>
          <w:rFonts w:ascii="Times New Roman" w:eastAsia="仿宋_GB2312" w:hAnsi="Times New Roman" w:cs="Times New Roman"/>
          <w:bCs/>
          <w:sz w:val="32"/>
          <w:szCs w:val="32"/>
        </w:rPr>
        <w:t>）核心技术相较侵入式技术具备安全性高、成本低、易普及的天然优势，且已突破高精度信号采集、抗干扰及基于深度学习的脑电信号解码等技术瓶颈，实现了对人体认知、睡眠、情绪状态的精准实时监测与干预，同时完成了核心技术的工程化与产品化转化，自研产品已进入工业化进程，技术成熟度与产品稳定性均能满足大规模量产和多场景应用的要求，非侵入式的技术路线也更适配居家、机构、校园等多场景的民用普及。产业配套层面，项目打造的西南首个脑机接口全链路中试公共技术服务平台，补齐了区域脑机接口产业研发验证与产业化之间的中试短板，能有效集聚上游核心元器件、中游代工检测、下游场景应用等产</w:t>
      </w:r>
      <w:r>
        <w:rPr>
          <w:rFonts w:ascii="Times New Roman" w:eastAsia="仿宋_GB2312" w:hAnsi="Times New Roman" w:cs="Times New Roman"/>
          <w:bCs/>
          <w:sz w:val="32"/>
          <w:szCs w:val="32"/>
        </w:rPr>
        <w:lastRenderedPageBreak/>
        <w:t>业链上下游主体，完善</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研发</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中试</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生产</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应用</w:t>
      </w:r>
      <w:r>
        <w:rPr>
          <w:rFonts w:ascii="Times New Roman" w:eastAsia="仿宋_GB2312" w:hAnsi="Times New Roman" w:cs="Times New Roman" w:hint="eastAsia"/>
          <w:bCs/>
          <w:sz w:val="32"/>
          <w:szCs w:val="32"/>
        </w:rPr>
        <w:t>”</w:t>
      </w:r>
      <w:r>
        <w:rPr>
          <w:rFonts w:ascii="Times New Roman" w:eastAsia="仿宋_GB2312" w:hAnsi="Times New Roman" w:cs="Times New Roman"/>
          <w:bCs/>
          <w:sz w:val="32"/>
          <w:szCs w:val="32"/>
        </w:rPr>
        <w:t>的全产业链条，同时项目依托电子科技大学、四川脑科学及类脑智能研究院的产学研用协同机制，拥有顶尖的专家团队与技术储备，可实现技术的持续迭代与产品优化升级，形成的产业集聚效应为项目大规模推广提供了强劲的生态支撑。产品与运营模式层面，项目自研产品聚焦睡眠、康复、老龄化三大黄金赛道，覆盖医疗级、消费级两大类型，可适配医院、康养机构、学校、家庭等多场景使用，且具备便携化、智能化、平民化的特点，契合不同场景的实际应用需求，同时项目构建了</w:t>
      </w:r>
      <w:r>
        <w:rPr>
          <w:rFonts w:ascii="Times New Roman" w:eastAsia="仿宋_GB2312" w:hAnsi="Times New Roman" w:cs="Times New Roman"/>
          <w:bCs/>
          <w:sz w:val="32"/>
          <w:szCs w:val="32"/>
        </w:rPr>
        <w:t xml:space="preserve"> B2B/B2G/B2C </w:t>
      </w:r>
      <w:r>
        <w:rPr>
          <w:rFonts w:ascii="Times New Roman" w:eastAsia="仿宋_GB2312" w:hAnsi="Times New Roman" w:cs="Times New Roman"/>
          <w:bCs/>
          <w:sz w:val="32"/>
          <w:szCs w:val="32"/>
        </w:rPr>
        <w:t>多渠道推广布局，可通过医疗康养机构集采、公立学校合作、电商平台零售、科研机构定制等多种方式实现产品落地，中试平台的公共服务模式还能带动更多脑机接口产品产业化，进一步放大项目的推广辐射范围，加之项目兼具国企背景的公信力与市场运营的灵活性，且构建了全流程风险管控体系，能有效防控数据安全、产品使用安全等推广过程中的核心风险，为大规模应用推广提供了可靠的落地保障。综上，项目在政策、市场、技术、产业、模式等方面均具备大规模应用推广的核心条件，未来随着产品工业化完成、医疗器械注册证落地及产业生态的持续完善，其产品与技术将在医疗、健康、教育、康养等多领域实现规模化普及，同时项目将作为西南区域脑机接口产业推广的核心载体，推动脑机接口技术在全国范围内的商业化落地。</w:t>
      </w:r>
    </w:p>
    <w:p w14:paraId="12DFBE84"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lastRenderedPageBreak/>
        <w:t>4.</w:t>
      </w:r>
      <w:r>
        <w:rPr>
          <w:rFonts w:eastAsia="方正楷体_GBK" w:cs="Times New Roman"/>
          <w:bCs/>
        </w:rPr>
        <w:t>潜在制约因素与应对策略</w:t>
      </w:r>
    </w:p>
    <w:p w14:paraId="3CE7F615" w14:textId="77777777" w:rsidR="00FB3E23" w:rsidRDefault="00000000">
      <w:pPr>
        <w:widowControl/>
        <w:ind w:firstLineChars="200" w:firstLine="640"/>
        <w:jc w:val="left"/>
        <w:rPr>
          <w:rFonts w:ascii="Times New Roman" w:eastAsia="方正楷体_GBK" w:hAnsi="Times New Roman" w:cs="Times New Roman"/>
          <w:bCs/>
          <w:szCs w:val="32"/>
        </w:rPr>
      </w:pPr>
      <w:r>
        <w:rPr>
          <w:rFonts w:ascii="Times New Roman" w:eastAsia="仿宋_GB2312" w:hAnsi="Times New Roman" w:cs="Times New Roman"/>
          <w:bCs/>
          <w:sz w:val="32"/>
          <w:szCs w:val="32"/>
        </w:rPr>
        <w:t>在推进过程中面临的潜在制约因素主要包括脑机接口行业技术与产品标准尚未统一、医疗器械合规认证周期较长，核心零部件供应链依赖度较高、规模化量产存在成本压力，公众对脑机接口技术认知不足影响市场推广，高端研发、临床转化与产业运营复合型人才紧缺，以及中试平台建设和多场景验证前期投入大、资金与运营压力突出等问题。针对上述制约，项目将采取系统化应对策略，主动对接监管部门、行业协会及科研院所参与标准制定，提前布局医疗器械注册与</w:t>
      </w:r>
      <w:r>
        <w:rPr>
          <w:rFonts w:ascii="Times New Roman" w:eastAsia="仿宋_GB2312" w:hAnsi="Times New Roman" w:cs="Times New Roman"/>
          <w:bCs/>
          <w:sz w:val="32"/>
          <w:szCs w:val="32"/>
        </w:rPr>
        <w:t>MAH</w:t>
      </w:r>
      <w:r>
        <w:rPr>
          <w:rFonts w:ascii="Times New Roman" w:eastAsia="仿宋_GB2312" w:hAnsi="Times New Roman" w:cs="Times New Roman"/>
          <w:bCs/>
          <w:sz w:val="32"/>
          <w:szCs w:val="32"/>
        </w:rPr>
        <w:t>制度落地以缩短认证周期；推进核心零部件国产化替代，优化工业化工艺并依托中试平台规模化效应降低成本；通过场景示范、科普推广与标杆案例打造提升市场认知与接受度；深化产学研协同，坚持引育结合搭建复合型人才梯队；同时拓宽融资渠道、强化精细化运营，积极争取政策资金支持，提升平台自我造血能力，有效化解各类制约，保障项目平稳落地与长效发展。</w:t>
      </w:r>
    </w:p>
    <w:p w14:paraId="79BB8297" w14:textId="77777777" w:rsidR="00FB3E23" w:rsidRDefault="00000000">
      <w:pPr>
        <w:pStyle w:val="-"/>
        <w:adjustRightInd w:val="0"/>
        <w:ind w:firstLineChars="200"/>
        <w:outlineLvl w:val="0"/>
        <w:rPr>
          <w:rFonts w:eastAsia="方正楷体_GBK" w:cs="Times New Roman"/>
          <w:bCs/>
        </w:rPr>
      </w:pPr>
      <w:r>
        <w:rPr>
          <w:rFonts w:eastAsia="方正楷体_GBK" w:cs="Times New Roman"/>
          <w:bCs/>
        </w:rPr>
        <w:t>5.</w:t>
      </w:r>
      <w:r>
        <w:rPr>
          <w:rFonts w:eastAsia="方正楷体_GBK" w:cs="Times New Roman"/>
          <w:bCs/>
        </w:rPr>
        <w:t>可持续发展展望</w:t>
      </w:r>
    </w:p>
    <w:p w14:paraId="559D1E8E" w14:textId="77777777" w:rsidR="00FB3E23" w:rsidRDefault="00000000">
      <w:pPr>
        <w:widowControl/>
        <w:ind w:firstLineChars="200" w:firstLine="640"/>
        <w:jc w:val="left"/>
        <w:rPr>
          <w:rFonts w:ascii="Times New Roman" w:eastAsia="仿宋_GB2312" w:hAnsi="Times New Roman" w:cs="Times New Roman"/>
          <w:bCs/>
          <w:sz w:val="32"/>
          <w:szCs w:val="32"/>
        </w:rPr>
      </w:pPr>
      <w:r>
        <w:rPr>
          <w:rFonts w:ascii="Times New Roman" w:eastAsia="仿宋_GB2312" w:hAnsi="Times New Roman" w:cs="Times New Roman" w:hint="eastAsia"/>
          <w:bCs/>
          <w:sz w:val="32"/>
          <w:szCs w:val="32"/>
        </w:rPr>
        <w:t>项目立足非侵入式脑机接口技术研发与产业化核心方向，以四川脑机接口中试公共技术服务平台为核心载体，依托持续技术迭代、产品工业化落地与产业生态集聚，具备长期可持续发展的坚实基础。未来将持续深耕高精度脑电信号采集、算法优化与工程化转化，不断巩固技术核心竞争力，</w:t>
      </w:r>
      <w:r>
        <w:rPr>
          <w:rFonts w:ascii="Times New Roman" w:eastAsia="仿宋_GB2312" w:hAnsi="Times New Roman" w:cs="Times New Roman" w:hint="eastAsia"/>
          <w:bCs/>
          <w:sz w:val="32"/>
          <w:szCs w:val="32"/>
        </w:rPr>
        <w:lastRenderedPageBreak/>
        <w:t>同步推动自研“纽洛星”系列产品在医疗康复、睡眠健康、养老康养、教育训练等场景规模化落地，依托中试平台集聚上下游企业、科研院所与临床机构，完善“研发</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中试</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量产</w:t>
      </w:r>
      <w:r>
        <w:rPr>
          <w:rFonts w:ascii="Times New Roman" w:eastAsia="仿宋_GB2312" w:hAnsi="Times New Roman" w:cs="Times New Roman" w:hint="eastAsia"/>
          <w:bCs/>
          <w:sz w:val="32"/>
          <w:szCs w:val="32"/>
        </w:rPr>
        <w:t>-</w:t>
      </w:r>
      <w:r>
        <w:rPr>
          <w:rFonts w:ascii="Times New Roman" w:eastAsia="仿宋_GB2312" w:hAnsi="Times New Roman" w:cs="Times New Roman" w:hint="eastAsia"/>
          <w:bCs/>
          <w:sz w:val="32"/>
          <w:szCs w:val="32"/>
        </w:rPr>
        <w:t>应用”全产业链闭环，形成平台化、生态化、规模化的长效发展模式。同时积极对接行业标准制定与政策导向，深化产学研用协同与复合型人才引育，强化数据安全、合规运营与全流程风险管控，持续提升平台自我造血能力与市场盈利能力，逐步从区域示范项目成长为全国领先的脑机接口产业化标杆，最终实现技术创新、产业发展、经济效益与社会效益协同统一，为我国脑机接口未来产业高质量、可持续发展提供稳定支撑。</w:t>
      </w:r>
    </w:p>
    <w:p w14:paraId="45157EB0" w14:textId="77777777" w:rsidR="00FB3E23" w:rsidRDefault="00FB3E23">
      <w:pPr>
        <w:widowControl/>
        <w:ind w:firstLineChars="200" w:firstLine="640"/>
        <w:jc w:val="left"/>
        <w:rPr>
          <w:rFonts w:ascii="Times New Roman" w:eastAsia="仿宋_GB2312" w:hAnsi="Times New Roman" w:cs="Times New Roman"/>
          <w:bCs/>
          <w:sz w:val="32"/>
          <w:szCs w:val="32"/>
        </w:rPr>
      </w:pPr>
    </w:p>
    <w:p w14:paraId="0D066B1F" w14:textId="77777777" w:rsidR="00FB3E23" w:rsidRDefault="00FB3E23">
      <w:pPr>
        <w:widowControl/>
        <w:ind w:firstLineChars="200" w:firstLine="640"/>
        <w:jc w:val="left"/>
        <w:rPr>
          <w:rFonts w:ascii="Times New Roman" w:eastAsia="仿宋_GB2312" w:hAnsi="Times New Roman" w:cs="Times New Roman"/>
          <w:bCs/>
          <w:sz w:val="32"/>
          <w:szCs w:val="32"/>
        </w:rPr>
      </w:pPr>
    </w:p>
    <w:p w14:paraId="14833D32" w14:textId="77777777" w:rsidR="00FB3E23" w:rsidRDefault="00FB3E23">
      <w:pPr>
        <w:widowControl/>
        <w:ind w:firstLineChars="200" w:firstLine="640"/>
        <w:jc w:val="left"/>
        <w:rPr>
          <w:rFonts w:ascii="Times New Roman" w:eastAsia="仿宋_GB2312" w:hAnsi="Times New Roman" w:cs="Times New Roman"/>
          <w:bCs/>
          <w:sz w:val="32"/>
          <w:szCs w:val="32"/>
        </w:rPr>
      </w:pPr>
    </w:p>
    <w:sectPr w:rsidR="00FB3E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D26E7" w14:textId="77777777" w:rsidR="0063346F" w:rsidRDefault="0063346F" w:rsidP="00B46DBA">
      <w:r>
        <w:separator/>
      </w:r>
    </w:p>
  </w:endnote>
  <w:endnote w:type="continuationSeparator" w:id="0">
    <w:p w14:paraId="1BE18A6B" w14:textId="77777777" w:rsidR="0063346F" w:rsidRDefault="0063346F" w:rsidP="00B46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方正小标宋简体"/>
    <w:charset w:val="86"/>
    <w:family w:val="auto"/>
    <w:pitch w:val="default"/>
    <w:sig w:usb0="00000000" w:usb1="00000000" w:usb2="00000000" w:usb3="00000000" w:csb0="00040000" w:csb1="00000000"/>
  </w:font>
  <w:font w:name="方正楷体_GBK">
    <w:altName w:val="微软雅黑"/>
    <w:charset w:val="86"/>
    <w:family w:val="auto"/>
    <w:pitch w:val="default"/>
    <w:sig w:usb0="800002BF" w:usb1="38CF7CFA" w:usb2="00000016"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D9274" w14:textId="77777777" w:rsidR="0063346F" w:rsidRDefault="0063346F" w:rsidP="00B46DBA">
      <w:r>
        <w:separator/>
      </w:r>
    </w:p>
  </w:footnote>
  <w:footnote w:type="continuationSeparator" w:id="0">
    <w:p w14:paraId="5782C53B" w14:textId="77777777" w:rsidR="0063346F" w:rsidRDefault="0063346F" w:rsidP="00B46D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8F4D8"/>
    <w:multiLevelType w:val="singleLevel"/>
    <w:tmpl w:val="BFF8F4D8"/>
    <w:lvl w:ilvl="0">
      <w:start w:val="3"/>
      <w:numFmt w:val="decimal"/>
      <w:lvlText w:val="%1."/>
      <w:lvlJc w:val="left"/>
      <w:pPr>
        <w:tabs>
          <w:tab w:val="left" w:pos="312"/>
        </w:tabs>
      </w:pPr>
    </w:lvl>
  </w:abstractNum>
  <w:abstractNum w:abstractNumId="1" w15:restartNumberingAfterBreak="0">
    <w:nsid w:val="E8E71289"/>
    <w:multiLevelType w:val="singleLevel"/>
    <w:tmpl w:val="E8E71289"/>
    <w:lvl w:ilvl="0">
      <w:start w:val="2"/>
      <w:numFmt w:val="decimal"/>
      <w:lvlText w:val="%1."/>
      <w:lvlJc w:val="left"/>
      <w:pPr>
        <w:tabs>
          <w:tab w:val="left" w:pos="312"/>
        </w:tabs>
      </w:pPr>
    </w:lvl>
  </w:abstractNum>
  <w:abstractNum w:abstractNumId="2" w15:restartNumberingAfterBreak="0">
    <w:nsid w:val="EFD6B487"/>
    <w:multiLevelType w:val="singleLevel"/>
    <w:tmpl w:val="EFD6B487"/>
    <w:lvl w:ilvl="0">
      <w:start w:val="2"/>
      <w:numFmt w:val="decimal"/>
      <w:lvlText w:val="%1."/>
      <w:lvlJc w:val="left"/>
      <w:pPr>
        <w:tabs>
          <w:tab w:val="left" w:pos="312"/>
        </w:tabs>
      </w:pPr>
    </w:lvl>
  </w:abstractNum>
  <w:abstractNum w:abstractNumId="3" w15:restartNumberingAfterBreak="0">
    <w:nsid w:val="47FBABD4"/>
    <w:multiLevelType w:val="singleLevel"/>
    <w:tmpl w:val="47FBABD4"/>
    <w:lvl w:ilvl="0">
      <w:start w:val="2"/>
      <w:numFmt w:val="decimal"/>
      <w:lvlText w:val="%1."/>
      <w:lvlJc w:val="left"/>
      <w:pPr>
        <w:tabs>
          <w:tab w:val="left" w:pos="312"/>
        </w:tabs>
      </w:pPr>
    </w:lvl>
  </w:abstractNum>
  <w:abstractNum w:abstractNumId="4" w15:restartNumberingAfterBreak="0">
    <w:nsid w:val="78D4CD36"/>
    <w:multiLevelType w:val="singleLevel"/>
    <w:tmpl w:val="78D4CD36"/>
    <w:lvl w:ilvl="0">
      <w:start w:val="5"/>
      <w:numFmt w:val="decimal"/>
      <w:lvlText w:val="%1."/>
      <w:lvlJc w:val="left"/>
      <w:pPr>
        <w:tabs>
          <w:tab w:val="left" w:pos="312"/>
        </w:tabs>
      </w:pPr>
    </w:lvl>
  </w:abstractNum>
  <w:num w:numId="1" w16cid:durableId="478621894">
    <w:abstractNumId w:val="2"/>
  </w:num>
  <w:num w:numId="2" w16cid:durableId="1216623882">
    <w:abstractNumId w:val="0"/>
  </w:num>
  <w:num w:numId="3" w16cid:durableId="1760248280">
    <w:abstractNumId w:val="4"/>
  </w:num>
  <w:num w:numId="4" w16cid:durableId="621881487">
    <w:abstractNumId w:val="1"/>
  </w:num>
  <w:num w:numId="5" w16cid:durableId="498008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F7F8482"/>
    <w:rsid w:val="002E2422"/>
    <w:rsid w:val="0063346F"/>
    <w:rsid w:val="00B46DBA"/>
    <w:rsid w:val="00FB3E23"/>
    <w:rsid w:val="379D17FA"/>
    <w:rsid w:val="7EDF4E67"/>
    <w:rsid w:val="AF7F8482"/>
    <w:rsid w:val="BFCF38FE"/>
    <w:rsid w:val="E733B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3723721A-B513-4941-A76D-6FA0698F1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oa heading" w:uiPriority="99" w:unhideWhenUsed="1" w:qFormat="1"/>
    <w:lsdException w:name="Title" w:qFormat="1"/>
    <w:lsdException w:name="Default Paragraph Font" w:semiHidden="1" w:qFormat="1"/>
    <w:lsdException w:name="Body Text" w:uiPriority="99" w:qFormat="1"/>
    <w:lsdException w:name="Subtitle" w:qFormat="1"/>
    <w:lsdException w:name="Body Text First Indent"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oa heading"/>
    <w:basedOn w:val="a"/>
    <w:next w:val="a"/>
    <w:uiPriority w:val="99"/>
    <w:unhideWhenUsed/>
    <w:qFormat/>
    <w:rPr>
      <w:rFonts w:ascii="Arial" w:hAnsi="Arial"/>
      <w:sz w:val="24"/>
    </w:rPr>
  </w:style>
  <w:style w:type="paragraph" w:styleId="a4">
    <w:name w:val="Body Text"/>
    <w:basedOn w:val="a"/>
    <w:next w:val="a3"/>
    <w:uiPriority w:val="99"/>
    <w:qFormat/>
    <w:pPr>
      <w:spacing w:after="120"/>
    </w:pPr>
  </w:style>
  <w:style w:type="paragraph" w:styleId="a5">
    <w:name w:val="Body Text First Indent"/>
    <w:basedOn w:val="a4"/>
    <w:next w:val="a"/>
    <w:qFormat/>
    <w:pPr>
      <w:adjustRightInd w:val="0"/>
      <w:snapToGrid w:val="0"/>
      <w:spacing w:before="120" w:after="240"/>
    </w:pPr>
    <w:rPr>
      <w:rFonts w:ascii="Times New Roman" w:hAnsi="Times New Roman"/>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paragraph" w:customStyle="1" w:styleId="-">
    <w:name w:val="公文处理助手-正文样式"/>
    <w:qFormat/>
    <w:pPr>
      <w:widowControl w:val="0"/>
      <w:suppressAutoHyphens/>
      <w:overflowPunct w:val="0"/>
      <w:autoSpaceDE w:val="0"/>
      <w:autoSpaceDN w:val="0"/>
      <w:snapToGrid w:val="0"/>
      <w:spacing w:line="581" w:lineRule="exact"/>
      <w:ind w:firstLine="640"/>
      <w:jc w:val="both"/>
    </w:pPr>
    <w:rPr>
      <w:rFonts w:eastAsia="仿宋_GB2312" w:cs="Courier New"/>
      <w:kern w:val="2"/>
      <w:sz w:val="32"/>
      <w:szCs w:val="32"/>
    </w:rPr>
  </w:style>
  <w:style w:type="paragraph" w:styleId="a8">
    <w:name w:val="header"/>
    <w:basedOn w:val="a"/>
    <w:link w:val="a9"/>
    <w:rsid w:val="00B46DBA"/>
    <w:pPr>
      <w:tabs>
        <w:tab w:val="center" w:pos="4153"/>
        <w:tab w:val="right" w:pos="8306"/>
      </w:tabs>
      <w:snapToGrid w:val="0"/>
      <w:jc w:val="center"/>
    </w:pPr>
    <w:rPr>
      <w:sz w:val="18"/>
      <w:szCs w:val="18"/>
    </w:rPr>
  </w:style>
  <w:style w:type="character" w:customStyle="1" w:styleId="a9">
    <w:name w:val="页眉 字符"/>
    <w:basedOn w:val="a0"/>
    <w:link w:val="a8"/>
    <w:rsid w:val="00B46DBA"/>
    <w:rPr>
      <w:rFonts w:asciiTheme="minorHAnsi" w:eastAsiaTheme="minorEastAsia" w:hAnsiTheme="minorHAnsi" w:cstheme="minorBidi"/>
      <w:kern w:val="2"/>
      <w:sz w:val="18"/>
      <w:szCs w:val="18"/>
    </w:rPr>
  </w:style>
  <w:style w:type="paragraph" w:styleId="aa">
    <w:name w:val="footer"/>
    <w:basedOn w:val="a"/>
    <w:link w:val="ab"/>
    <w:rsid w:val="00B46DBA"/>
    <w:pPr>
      <w:tabs>
        <w:tab w:val="center" w:pos="4153"/>
        <w:tab w:val="right" w:pos="8306"/>
      </w:tabs>
      <w:snapToGrid w:val="0"/>
      <w:jc w:val="left"/>
    </w:pPr>
    <w:rPr>
      <w:sz w:val="18"/>
      <w:szCs w:val="18"/>
    </w:rPr>
  </w:style>
  <w:style w:type="character" w:customStyle="1" w:styleId="ab">
    <w:name w:val="页脚 字符"/>
    <w:basedOn w:val="a0"/>
    <w:link w:val="aa"/>
    <w:rsid w:val="00B46DBA"/>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39</Pages>
  <Words>3132</Words>
  <Characters>17853</Characters>
  <Application>Microsoft Office Word</Application>
  <DocSecurity>0</DocSecurity>
  <Lines>148</Lines>
  <Paragraphs>41</Paragraphs>
  <ScaleCrop>false</ScaleCrop>
  <Company/>
  <LinksUpToDate>false</LinksUpToDate>
  <CharactersWithSpaces>20944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FIU</dc:creator>
  <cp:lastModifiedBy>Weipeng Wang</cp:lastModifiedBy>
  <cp:revision>2</cp:revision>
  <dcterms:created xsi:type="dcterms:W3CDTF">2026-03-18T01:59:00Z</dcterms:created>
  <dcterms:modified xsi:type="dcterms:W3CDTF">2026-03-18T01:59:00Z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50FD667E06F3DF0CDCA99F696EB1D7D2_43</vt:lpwstr>
  </property>
</Properties>
</file>