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Protocollo Operativo SYNC: Preprocessing -&gt; Estrazione MU (OTBioLab+) -&gt; Coerenza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1) Scopo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Questo documento descrive **solo** la pipeline SYNC, coerente con: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allineamento_eeg_emg_sync.m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coerenza/coerenza_motoria_source_batch.m (versione sync)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Obiettivi: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allineamento temporale EEG/EMG robusto con trigger;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creazione file OTB con soli segmenti di movimento;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estrazione Motor Units (MU) in OTBioLab+;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calcolo coerenza cortico-sinergica con le stesse regole della pipeline sync.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2) Input/Output SYNC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Input run: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EEG .mff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EMG .otb+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Output principali (per run):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*_aligned_otb.mff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*_aligned_otb_events.csv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report.json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*_movement_only.otb+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*_movement_segments.csv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Output batch sync: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allineamento: batch_otb_mff/output_matlab_sync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coerenza: coerenza/coerenza_motoria_source_sync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3) Logica trigger SYNC (allineamento)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Regole operative: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**Trial gating** su DIN4/DIN5 (DIN1 non e' gate di trial validita').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Sequenza logica trial: start &lt; keyboard &lt; beep &lt; end e end &lt; keyboard successivo.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**Pulizia trigger** su AUX (rimozione edge troppo ravvicinati) con controllo di plausibilita' numerica.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**Gap minimo keyboard-&gt;beep = 50 ms** per evitare coppie quasi simultanee.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**DIN1 denso (onda sync)**: usato solo per rifinitura del fit affine (a,b) dopo il fit principale DIN4/DIN5.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Guardrail qualità fit: run bloccato se fit instabile (es. drift/mad fuori soglia).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4) Segmentazione movimento per OTB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Il file *_movement_only.otb+ viene creato automaticamente nella sync.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Regole segmentazione: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primaria: beep -&gt; start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fallback automatico: beep -&gt; end se start non e' successivo a beep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Tracciabilita':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*_movement_segments.csv: trial, tempi MFF, tempi OTB, sample, durata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report.json: movement_only.rule_used, n_segments, duration_s, eventuale reason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5) Estrazione MU in OTBioLab+ (sync)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Workflow consigliato: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aprire *_movement_only.otb+;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selezionare griglia/canali del muscolo target;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Processing &gt; Decomposition &gt; Decomponi;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editing manuale IPT/IDR;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salvare solo MU approvate;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esportare firing samples e tracce MU (.mat/.csv).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Nota operativa: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preferire blocchi grouped ~20-100 s per stabilita' di decomposizione.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6) QC MU (raccomandato)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Accettazione MU: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PNR &gt;= 30 dB (criterio forte);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spike train fisiologicamente plausibile;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rimozione MU con pattern artefattuali dopo editing;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registrare MU accettate/scartate per run.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7) Coerenza SYNC: parametri vincolanti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La coerenza sync deve restare coerente col codice: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trial da eventi ricostruiti: beep -&gt; first start before next beep;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durata minima trial: 0.50 s;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preprocessing EMG: band-pass 20-450 Hz, notch 50 Hz + armoniche, rettifica, low-pass 10 Hz;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riallineamento EMG su asse EEG con (a,b) del report sync;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NMF sinergie: maxK=6, target VAF globale &gt;= 0.90, VAF minimo canale &gt;= 0.75;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coerenza: downsample interno ~250 Hz, finestra ~0.8 s, overlap 50%, nfft &gt;= 512;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bande: beta 13-30 Hz, sotto-bande 13-20 e 20-30 Hz.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8) Source-space in SYNC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Ordine di priorita':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usare sources_eeg.mat se disponibile (source_net);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fallback scalp-proxy se source assente/non valido;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salvare sempre mode e stato source in summary/report.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9) Checklist SYNC run-by-run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report.json presente e senza errori;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logical.enabled = true;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movement_only.enabled = true;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movement_segments.csv presente;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trial_info.csv presente in output coerenza sync;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verificare eventuale beep_to_end_fallback nei run finali.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10) Methods (paper-ready, versione sync)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10.1 Alignment and synchronization refinement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EEG and HD-EMG were aligned through trigger-based affine mapping. Trial validity was constrained by DIN4/DIN5 temporal order, while DIN1 was excluded from trial acceptance. In the sync pipeline, dense DIN1 trains were optionally used only to refine affine clock-drift parameters after the DIN4/DIN5 fit.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10.2 Trigger cleaning and trial enforcement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Auxiliary trigger streams underwent minimum-gap cleaning and count plausibility checks before mapping. Valid trials were reconstructed under strict logical order (start &lt; keyboard &lt; beep &lt; end) with a minimum keyboard-beep separation of 50 ms.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10.3 Movement-only HD-EMG export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Movement-only OTB files were generated by concatenating valid trial windows. Primary windows were defined as beep-to-start; when start did not follow beep, beep-to-end fallback was applied and explicitly logged.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10.4 MU decomposition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MU decomposition was performed in OTBioLab+ (Decomponi), followed by manual review and approval. Firing samples and MU tracks were exported for downstream analyses. Quality control prioritized high-confidence units (recommended PNR threshold &gt;= 30 dB).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10.5 Cortico-synergy coherence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</w:rPr>
        <w:t xml:space="preserve">Coherence was computed on beep-&gt;start trials (minimum 0.5 s), after EMG envelope preprocessing and EMG-to-EEG temporal remapping with run-specific affine parameters. NMF extracted up to six synergies with VAF constraints; beta-band coupling (13-30 Hz) and related metrics (z-coherence, lag-optimized beta coherence, PSI, ROI state-dependent contrasts) were computed with fixed spectral settings.</w:t>
      </w:r>
    </w:p>
    <w:p>
      <w:pPr>
        <w:spacing w:after="120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11) Riferimenti principali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Holobar et al., CKC decomposition (Clin Neurophysiol 2009): https://pubmed.ncbi.nlm.nih.gov/19208498/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Holobar et al., accuratezza vs intramuscolare (IEEE TNSRE 2010): https://pubmed.ncbi.nlm.nih.gov/20144921/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Holobar et al., PNR e soglia 30 dB (J Neural Eng 2014): https://pubmed.ncbi.nlm.nih.gov/24654270/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Hug et al., affidabilita' inter-operatore (J Electromyogr Kinesiol 2021): https://pubmed.ncbi.nlm.nih.gov/33838590/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OTBioLab+ User Manual (Decomponi / Extract MU): https://otbioelettronica.it/wp-content/uploads/wpfd/preview_files/User-Manual-OTBiolab%2818ad9899f3f21a5a1583584d5f11c0c0%29.pdf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Aggiornamenti recenti su decomposizione in condizioni complesse (J Physiol 2025): https://pubmed.ncbi.nlm.nih.gov/40096591/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