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Palatino Linotype" w:cs="Palatino Linotype" w:eastAsia="Palatino Linotype" w:hAnsi="Palatino Linotype"/>
          <w:b/>
          <w:bCs/>
          <w:color w:val="C8102E"/>
          <w:sz w:val="22"/>
          <w:szCs w:val="22"/>
        </w:rPr>
        <w:t xml:space="preserve">Article</w:t>
      </w:r>
    </w:p>
    <w:p>
      <w:pPr>
        <w:spacing w:after="160"/>
      </w:pPr>
      <w:r>
        <w:rPr>
          <w:rFonts w:ascii="Palatino Linotype" w:cs="Palatino Linotype" w:eastAsia="Palatino Linotype" w:hAnsi="Palatino Linotype"/>
          <w:b/>
          <w:bCs/>
          <w:sz w:val="32"/>
          <w:szCs w:val="32"/>
        </w:rPr>
        <w:t xml:space="preserve">Did Lowering the Entry Ticket Move the Needle? Liquidity Around SEBI’s 2025 InvIT Reform, and What It Implies for Tokenization</w:t>
      </w:r>
    </w:p>
    <w:p>
      <w:pPr>
        <w:spacing w:after="40"/>
      </w:pPr>
      <w:r>
        <w:rPr>
          <w:rFonts w:ascii="Palatino Linotype" w:cs="Palatino Linotype" w:eastAsia="Palatino Linotype" w:hAnsi="Palatino Linotype"/>
          <w:sz w:val="22"/>
          <w:szCs w:val="22"/>
        </w:rPr>
        <w:t xml:space="preserve">Sandeep S</w:t>
      </w:r>
    </w:p>
    <w:p>
      <w:pPr>
        <w:spacing w:after="40"/>
      </w:pPr>
      <w:r>
        <w:rPr>
          <w:rFonts w:ascii="Palatino Linotype" w:cs="Palatino Linotype" w:eastAsia="Palatino Linotype" w:hAnsi="Palatino Linotype"/>
          <w:i/>
          <w:iCs/>
          <w:sz w:val="18"/>
          <w:szCs w:val="18"/>
        </w:rPr>
        <w:t xml:space="preserve">University of Mysore (PhD Research Scholar); WorldQuant University (MScFE); correspondence via the public repository.</w:t>
      </w:r>
    </w:p>
    <w:p>
      <w:pPr>
        <w:spacing w:after="160"/>
      </w:pPr>
      <w:r>
        <w:rPr>
          <w:rFonts w:ascii="Palatino Linotype" w:cs="Palatino Linotype" w:eastAsia="Palatino Linotype" w:hAnsi="Palatino Linotype"/>
          <w:sz w:val="18"/>
          <w:szCs w:val="18"/>
        </w:rPr>
        <w:t xml:space="preserve">Repository: </w:t>
      </w:r>
      <w:hyperlink w:history="1" r:id="rIdwikcc3p4lzakl089avx_f">
        <w:r>
          <w:rPr>
            <w:rFonts w:ascii="Palatino Linotype" w:cs="Palatino Linotype" w:eastAsia="Palatino Linotype" w:hAnsi="Palatino Linotype"/>
            <w:color w:val="0563C1"/>
            <w:sz w:val="18"/>
            <w:szCs w:val="18"/>
            <w:u w:val="single"/>
          </w:rPr>
          <w:t xml:space="preserve">github.com/SanKabira/P2-BInvIT-India-Tokenization-Empirical</w:t>
        </w:r>
      </w:hyperlink>
    </w:p>
    <w:p>
      <w:pPr>
        <w:spacing w:after="60" w:before="80"/>
      </w:pPr>
      <w:r>
        <w:rPr>
          <w:rFonts w:ascii="Palatino Linotype" w:cs="Palatino Linotype" w:eastAsia="Palatino Linotype" w:hAnsi="Palatino Linotype"/>
          <w:b/>
          <w:bCs/>
          <w:sz w:val="19"/>
          <w:szCs w:val="19"/>
        </w:rPr>
        <w:t xml:space="preserve">Abstract:</w:t>
      </w:r>
    </w:p>
    <w:p>
      <w:pPr>
        <w:spacing w:after="120" w:line="252"/>
        <w:jc w:val="both"/>
      </w:pPr>
      <w:r>
        <w:rPr>
          <w:rFonts w:ascii="Palatino Linotype" w:cs="Palatino Linotype" w:eastAsia="Palatino Linotype" w:hAnsi="Palatino Linotype"/>
          <w:sz w:val="19"/>
          <w:szCs w:val="19"/>
        </w:rPr>
        <w:t xml:space="preserve">Indian Infrastructure Investment Trusts (InvITs) have long carried a peculiar tension: they package illiquid, long-duration infrastructure cash flows into listed units, yet a large slice of the market sat behind a ₹1 crore minimum-subscription wall for privately placed structures. On 2 September 2025, the Securities and Exchange Board of India (SEBI) cut that minimum to ₹25 lakh through the InvIT (Third Amendment) Regulations, 2025. We treat that notification as a natural experiment and ask a deliberately narrow question: did secondary-market liquidity actually improve around the reform, and if so, for which trusts? Using gap-free daily price and volume data spanning January 2024 to December 2025 for three listed InvITs and three REITs (the latter acting as an unaffected control group), we compute six microstructure proxies — Amihud illiquidity, the Corwin–Schultz and high–low spreads, a zero-return ratio, share turnover, and rupee turnover — and embed them in a difference-in-differences (DiD) design with entity and date fixed effects and entity-clustered standard errors. Pooled univariate tests are strong (InvIT Amihud illiquidity falls ~93%; Welch t = −18.3 on log-Amihud), and every cost-based proxy moves toward greater liquidity for the InvITs while volume-based proxies roughly double. The formal DiD interaction (InvIT × Post) on log-Amihud is correctly signed (−0.203, indicating reduced illiquidity for InvITs relative to REIT controls) and roughly three times larger than any placebo pseudo-event, but it is not statistically significant at conventional levels once common time trends are differenced out and standard errors are clustered across only three treated trusts (cluster-robust 95% CI [−0.75, +0.34]; entity-block bootstrap CI [−0.63, +0.11]). The high–low spread DiD is significant (−0.0023, p = 0.034). A GARCH model-selection exercise (GARCH, EGARCH, GJR with Student-t errors, ranked by AIC/BIC) confirms volatility easing for two of three InvITs. Because tokenization of InvIT units does not yet exist in India, the reform is a precondition for, rather than a treatment of, tokenization itself; the contribution is an identification-aware empirical baseline against which any future tokenized structure can be benchmarked.</w:t>
      </w:r>
    </w:p>
    <w:p>
      <w:pPr>
        <w:spacing w:after="80"/>
      </w:pPr>
      <w:r>
        <w:rPr>
          <w:rFonts w:ascii="Palatino Linotype" w:cs="Palatino Linotype" w:eastAsia="Palatino Linotype" w:hAnsi="Palatino Linotype"/>
          <w:b/>
          <w:bCs/>
          <w:sz w:val="19"/>
          <w:szCs w:val="19"/>
        </w:rPr>
        <w:t xml:space="preserve">Keywords: </w:t>
      </w:r>
      <w:r>
        <w:rPr>
          <w:rFonts w:ascii="Palatino Linotype" w:cs="Palatino Linotype" w:eastAsia="Palatino Linotype" w:hAnsi="Palatino Linotype"/>
          <w:sz w:val="19"/>
          <w:szCs w:val="19"/>
        </w:rPr>
        <w:t xml:space="preserve">InvIT; tokenization; market liquidity; Amihud illiquidity; difference-in-differences; SEBI; event study; GARCH</w:t>
      </w:r>
    </w:p>
    <w:p>
      <w:pPr>
        <w:spacing w:after="200"/>
      </w:pPr>
      <w:r>
        <w:rPr>
          <w:rFonts w:ascii="Palatino Linotype" w:cs="Palatino Linotype" w:eastAsia="Palatino Linotype" w:hAnsi="Palatino Linotype"/>
          <w:b/>
          <w:bCs/>
          <w:sz w:val="19"/>
          <w:szCs w:val="19"/>
        </w:rPr>
        <w:t xml:space="preserve">JEL classification: </w:t>
      </w:r>
      <w:r>
        <w:rPr>
          <w:rFonts w:ascii="Palatino Linotype" w:cs="Palatino Linotype" w:eastAsia="Palatino Linotype" w:hAnsi="Palatino Linotype"/>
          <w:sz w:val="19"/>
          <w:szCs w:val="19"/>
        </w:rPr>
        <w:t xml:space="preserve">G14; G18; G23; G28</w:t>
      </w:r>
    </w:p>
    <w:p>
      <w:pPr>
        <w:spacing w:after="120" w:before="280"/>
      </w:pPr>
      <w:r>
        <w:rPr>
          <w:rFonts w:ascii="Palatino Linotype" w:cs="Palatino Linotype" w:eastAsia="Palatino Linotype" w:hAnsi="Palatino Linotype"/>
          <w:b/>
          <w:bCs/>
          <w:color w:val="1F3864"/>
          <w:sz w:val="26"/>
          <w:szCs w:val="26"/>
        </w:rPr>
        <w:t xml:space="preserve">1. Introduction</w:t>
      </w:r>
    </w:p>
    <w:p>
      <w:pPr>
        <w:spacing w:after="140" w:line="276"/>
        <w:jc w:val="both"/>
      </w:pPr>
      <w:r>
        <w:rPr>
          <w:rFonts w:ascii="Palatino Linotype" w:cs="Palatino Linotype" w:eastAsia="Palatino Linotype" w:hAnsi="Palatino Linotype"/>
          <w:sz w:val="21"/>
          <w:szCs w:val="21"/>
        </w:rPr>
        <w:t xml:space="preserve">The promise that gets repeated at every blockchain-and-real-assets conference is simple to state and hard to evidence: put infrastructure cash flows on-chain, fractionalize the units, and liquidity will follow. India is an interesting place to interrogate that claim because its InvIT framework has, for nearly a decade, done much of the “packaging” work that tokenization advocates describe — pooling toll roads, transmission lines, and gas pipelines into tradable units — without any blockchain involved. What it had not done, until late 2025, was make those units genuinely accessible to anyone but very large investors in the privately placed segment.</w:t>
      </w:r>
    </w:p>
    <w:p>
      <w:pPr>
        <w:spacing w:after="140" w:line="276"/>
        <w:jc w:val="both"/>
      </w:pPr>
      <w:r>
        <w:rPr>
          <w:rFonts w:ascii="Palatino Linotype" w:cs="Palatino Linotype" w:eastAsia="Palatino Linotype" w:hAnsi="Palatino Linotype"/>
          <w:sz w:val="21"/>
          <w:szCs w:val="21"/>
        </w:rPr>
        <w:t xml:space="preserve">That changed on 2 September 2025. SEBI’s Third Amendment to the InvIT Regulations reduced the minimum investment in a privately placed InvIT from ₹1 crore to ₹25 lakh, and simultaneously removed the older ₹25 crore proviso that had applied to trusts holding at least 80% completed, revenue-generating assets (SEBI, 2025; see the coded provisions register, provisions_coded.csv). In plain terms, the entry ticket fell by three-quarters at the general floor, and far more steeply where the old premium-asset rule had bitten.</w:t>
      </w:r>
    </w:p>
    <w:p>
      <w:pPr>
        <w:spacing w:after="140" w:line="276"/>
        <w:jc w:val="both"/>
      </w:pPr>
      <w:r>
        <w:rPr>
          <w:rFonts w:ascii="Palatino Linotype" w:cs="Palatino Linotype" w:eastAsia="Palatino Linotype" w:hAnsi="Palatino Linotype"/>
          <w:sz w:val="21"/>
          <w:szCs w:val="21"/>
        </w:rPr>
        <w:t xml:space="preserve">This paper uses that reform as the cleanest available proxy for the access-widening mechanism that tokenization is supposed to deliver. We are not claiming the reform is tokenization — it plainly is not, and we say so repeatedly because the distinction matters for how the results should be read. Rather, the reform changes one variable that tokenization would also change (who can hold the units), while holding the underlying asset, the listing venue, and the settlement plumbing constant. If lowering the minimum did nothing measurable to liquidity, that is itself informative about how much tokenization’s access story can realistically deliver in this market.</w:t>
      </w:r>
    </w:p>
    <w:p>
      <w:pPr>
        <w:spacing w:after="140" w:line="276"/>
        <w:jc w:val="both"/>
      </w:pPr>
      <w:r>
        <w:rPr>
          <w:rFonts w:ascii="Palatino Linotype" w:cs="Palatino Linotype" w:eastAsia="Palatino Linotype" w:hAnsi="Palatino Linotype"/>
          <w:sz w:val="21"/>
          <w:szCs w:val="21"/>
        </w:rPr>
        <w:t xml:space="preserve">We ask three questions. First, did secondary-market liquidity improve around the reform, measured through conventional microstructure proxies? Second, did the improvement (if any) concentrate in the InvITs that the rule actually touched, relative to REITs that it did not? Third, what does the cross-section tell us about which trusts stand to gain most from any future tokenized access layer?</w:t>
      </w:r>
    </w:p>
    <w:p>
      <w:pPr>
        <w:spacing w:after="120" w:before="280"/>
      </w:pPr>
      <w:r>
        <w:rPr>
          <w:rFonts w:ascii="Palatino Linotype" w:cs="Palatino Linotype" w:eastAsia="Palatino Linotype" w:hAnsi="Palatino Linotype"/>
          <w:b/>
          <w:bCs/>
          <w:color w:val="1F3864"/>
          <w:sz w:val="26"/>
          <w:szCs w:val="26"/>
        </w:rPr>
        <w:t xml:space="preserve">2. Institutional and Empirical Background</w:t>
      </w:r>
    </w:p>
    <w:p>
      <w:pPr>
        <w:spacing w:after="100" w:before="200"/>
      </w:pPr>
      <w:r>
        <w:rPr>
          <w:rFonts w:ascii="Palatino Linotype" w:cs="Palatino Linotype" w:eastAsia="Palatino Linotype" w:hAnsi="Palatino Linotype"/>
          <w:b/>
          <w:bCs/>
          <w:i/>
          <w:iCs/>
          <w:color w:val="2E4B7A"/>
          <w:sz w:val="22"/>
          <w:szCs w:val="22"/>
        </w:rPr>
        <w:t xml:space="preserve">2.1. The InvIT structure and its liquidity problem</w:t>
      </w:r>
    </w:p>
    <w:p>
      <w:pPr>
        <w:spacing w:after="140" w:line="276"/>
        <w:jc w:val="both"/>
      </w:pPr>
      <w:r>
        <w:rPr>
          <w:rFonts w:ascii="Palatino Linotype" w:cs="Palatino Linotype" w:eastAsia="Palatino Linotype" w:hAnsi="Palatino Linotype"/>
          <w:sz w:val="21"/>
          <w:szCs w:val="21"/>
        </w:rPr>
        <w:t xml:space="preserve">InvITs were introduced in India in 2014 and have grown into a meaningful channel for recycling operating infrastructure. Yet listed-unit liquidity has always been uneven. Some trusts trade millions of units a day; others go for stretches with thin volume and stale prices. Our own data make the point starkly. Across the 2025 window, median daily rupee turnover ranges from roughly ₹2.5 million for Brookfield India REIT to over ₹234 million for Embassy REIT (entity_liquidity_tiers.csv). That two-orders-of-magnitude spread is exactly the kind of cross-sectional variation a liquidity study wants.</w:t>
      </w:r>
    </w:p>
    <w:p>
      <w:pPr>
        <w:spacing w:after="100" w:before="200"/>
      </w:pPr>
      <w:r>
        <w:rPr>
          <w:rFonts w:ascii="Palatino Linotype" w:cs="Palatino Linotype" w:eastAsia="Palatino Linotype" w:hAnsi="Palatino Linotype"/>
          <w:b/>
          <w:bCs/>
          <w:i/>
          <w:iCs/>
          <w:color w:val="2E4B7A"/>
          <w:sz w:val="22"/>
          <w:szCs w:val="22"/>
        </w:rPr>
        <w:t xml:space="preserve">2.2. Why the September 2025 amendment is a useful event</w:t>
      </w:r>
    </w:p>
    <w:p>
      <w:pPr>
        <w:spacing w:after="140" w:line="276"/>
        <w:jc w:val="both"/>
      </w:pPr>
      <w:r>
        <w:rPr>
          <w:rFonts w:ascii="Palatino Linotype" w:cs="Palatino Linotype" w:eastAsia="Palatino Linotype" w:hAnsi="Palatino Linotype"/>
          <w:sz w:val="21"/>
          <w:szCs w:val="21"/>
        </w:rPr>
        <w:t xml:space="preserve">Three features make the amendment analytically convenient. It has a precise, gazetted date. It changes a single, well-defined parameter (the minimum ticket). And it applies to InvITs but not to REITs, which gives us a ready-made control group that experiences the same macro conditions — interest-rate moves, festival-season flows, broad market direction — without the regulatory shock.</w:t>
      </w:r>
    </w:p>
    <w:p>
      <w:pPr>
        <w:spacing w:after="100" w:before="200"/>
      </w:pPr>
      <w:r>
        <w:rPr>
          <w:rFonts w:ascii="Palatino Linotype" w:cs="Palatino Linotype" w:eastAsia="Palatino Linotype" w:hAnsi="Palatino Linotype"/>
          <w:b/>
          <w:bCs/>
          <w:i/>
          <w:iCs/>
          <w:color w:val="2E4B7A"/>
          <w:sz w:val="22"/>
          <w:szCs w:val="22"/>
        </w:rPr>
        <w:t xml:space="preserve">2.3. Where tokenization actually sits</w:t>
      </w:r>
    </w:p>
    <w:p>
      <w:pPr>
        <w:spacing w:after="140" w:line="276"/>
        <w:jc w:val="both"/>
      </w:pPr>
      <w:r>
        <w:rPr>
          <w:rFonts w:ascii="Palatino Linotype" w:cs="Palatino Linotype" w:eastAsia="Palatino Linotype" w:hAnsi="Palatino Linotype"/>
          <w:sz w:val="21"/>
          <w:szCs w:val="21"/>
        </w:rPr>
        <w:t xml:space="preserve">It is worth being blunt about the state of play. As of this writing, no Indian InvIT unit has been tokenized on a blockchain in a live, regulated structure. The literature on real-world-asset (RWA) tokenization is largely conceptual or draws on small offshore pilots (Swinkels, 2023; El Jaouhari et al., 2025; Popov et al., 2022). So we do not, and cannot, run an event study on a tokenization event — there isn’t one. What we can do is measure the liquidity response to the regulatory change that is most analogous to tokenization’s core mechanism, and treat that as a lower or upper bound depending on how one reads the frictions. The survey arm of this project (Section 6) is designed to capture practitioner expectations about tokenization directly; that data has not yet been collected, and we flag every survey-dependent result as pending rather than fabricate responses.</w:t>
      </w:r>
    </w:p>
    <w:p>
      <w:pPr>
        <w:spacing w:after="120" w:before="280"/>
      </w:pPr>
      <w:r>
        <w:rPr>
          <w:rFonts w:ascii="Palatino Linotype" w:cs="Palatino Linotype" w:eastAsia="Palatino Linotype" w:hAnsi="Palatino Linotype"/>
          <w:b/>
          <w:bCs/>
          <w:color w:val="1F3864"/>
          <w:sz w:val="26"/>
          <w:szCs w:val="26"/>
        </w:rPr>
        <w:t xml:space="preserve">3. Data</w:t>
      </w:r>
    </w:p>
    <w:p>
      <w:pPr>
        <w:spacing w:after="140" w:line="276"/>
        <w:jc w:val="both"/>
      </w:pPr>
      <w:r>
        <w:rPr>
          <w:rFonts w:ascii="Palatino Linotype" w:cs="Palatino Linotype" w:eastAsia="Palatino Linotype" w:hAnsi="Palatino Linotype"/>
          <w:sz w:val="21"/>
          <w:szCs w:val="21"/>
        </w:rPr>
        <w:t xml:space="preserve">All market data were retrieved through the Perplexity Finance connector, which returns point-in-time provider OHLCV series, and committed as CSV files under data/raw/Finance_Connector/. We use daily open, high, low, close, and volume for six trusts over a continuous panel spanning January 2024 to December 2025, yielding 2,954 entity-day observations after aligning trading calendars (liquidity_daily_panel_continuous.csv). The event date is the gazette notification of 3 September 2025; we retain the full two-year window rather than a narrow band so that the difference-in-differences design can absorb common time trends and so that placebo and event-window sensitivity checks (Section 4.3) have adequate pre-period observations. Direct NSE/BSE redistribution is restricted under the exchanges’ data policies, so the connector is our primary, reproducible retrieval path; retrieval URLs and access dates are logged in DATA_SOURCES.md.</w:t>
      </w:r>
    </w:p>
    <w:p>
      <w:pPr>
        <w:spacing w:after="140" w:line="276"/>
        <w:jc w:val="both"/>
      </w:pPr>
      <w:r>
        <w:rPr>
          <w:rFonts w:ascii="Palatino Linotype" w:cs="Palatino Linotype" w:eastAsia="Palatino Linotype" w:hAnsi="Palatino Linotype"/>
          <w:sz w:val="21"/>
          <w:szCs w:val="21"/>
        </w:rPr>
        <w:t xml:space="preserve">The six trusts are three InvITs — IndiGrid (INDIGRID-IV.NS), PowerGrid InvIT (PGINVIT.NS), and IRB InvIT (IRBINVIT.NS) — and three REITs used as controls — Embassy (EMBASSY.NS), Mindspace (MINDSPACE-RR.NS), and Brookfield India (BIRET.BO). The REITs share the same macro environment but were untouched by the InvIT-specific minimum-investment cut, which is what makes them a credible control group for differencing. We had intended to include National Highways InvIT and Cube Highways InvIT, but neither resolved in the data provider’s coverage as of 2026-06-06; we document this gap rather than substitute a proxy. The regulatory text comes from two SEBI PDFs committed under data/raw/SEBI/: the InvIT Master Circular of 11 July 2025 (237 pages) and the Third Amendment gazette of 2 September 2025 (10 pages). We hand-coded 14 provisions into provisions_coded.csv, with the minimum-investment cut as provision P01.</w:t>
      </w:r>
    </w:p>
    <w:p>
      <w:pPr>
        <w:spacing w:after="120" w:before="280"/>
      </w:pPr>
      <w:r>
        <w:rPr>
          <w:rFonts w:ascii="Palatino Linotype" w:cs="Palatino Linotype" w:eastAsia="Palatino Linotype" w:hAnsi="Palatino Linotype"/>
          <w:b/>
          <w:bCs/>
          <w:color w:val="1F3864"/>
          <w:sz w:val="26"/>
          <w:szCs w:val="26"/>
        </w:rPr>
        <w:t xml:space="preserve">4. Method</w:t>
      </w:r>
    </w:p>
    <w:p>
      <w:pPr>
        <w:spacing w:after="100" w:before="200"/>
      </w:pPr>
      <w:r>
        <w:rPr>
          <w:rFonts w:ascii="Palatino Linotype" w:cs="Palatino Linotype" w:eastAsia="Palatino Linotype" w:hAnsi="Palatino Linotype"/>
          <w:b/>
          <w:bCs/>
          <w:i/>
          <w:iCs/>
          <w:color w:val="2E4B7A"/>
          <w:sz w:val="22"/>
          <w:szCs w:val="22"/>
        </w:rPr>
        <w:t xml:space="preserve">4.1. Liquidity proxies</w:t>
      </w:r>
    </w:p>
    <w:p>
      <w:pPr>
        <w:spacing w:after="140" w:line="276"/>
        <w:jc w:val="both"/>
      </w:pPr>
      <w:r>
        <w:rPr>
          <w:rFonts w:ascii="Palatino Linotype" w:cs="Palatino Linotype" w:eastAsia="Palatino Linotype" w:hAnsi="Palatino Linotype"/>
          <w:sz w:val="21"/>
          <w:szCs w:val="21"/>
        </w:rPr>
        <w:t xml:space="preserve">For each trust and day we compute six microstructure proxies, deliberately spanning the price-impact, cost (spread), and activity dimensions of liquidity so that no single conclusion rests on one construction. The Amihud (2002) illiquidity ratio, |return| divided by rupee volume (scaled by 1e9 for readability), captures price impact per unit of trading; we use both its raw level and a log transform because the raw series is heavily right-skewed and the log form is what enters the regressions. The Corwin–Schultz (2012) high–low spread estimator recovers an effective bid–ask spread from two-day high–low ranges, and is our principal cost-based proxy because, unlike the Roll (1984) estimator, it is defined on essentially every observation. A model-free high–low relative spread, (High − Low)/midpoint, gives a second, assumption-light intraday range measure. A zero-return-day flag marks stale, illiquid pricing. Finally, share turnover and rupee turnover (close × volume) capture the activity dimension. This six-proxy set replaces the earlier four-proxy specification and retires the Roll estimator in favour of Corwin–Schultz for coverage reasons; recent estimators such as Ardia et al. (2024) and the dynamic Amihud model of Hafner et al. (2024) motivate the multi-proxy approach.</w:t>
      </w:r>
    </w:p>
    <w:p>
      <w:pPr>
        <w:spacing w:after="100" w:before="200"/>
      </w:pPr>
      <w:r>
        <w:rPr>
          <w:rFonts w:ascii="Palatino Linotype" w:cs="Palatino Linotype" w:eastAsia="Palatino Linotype" w:hAnsi="Palatino Linotype"/>
          <w:b/>
          <w:bCs/>
          <w:i/>
          <w:iCs/>
          <w:color w:val="2E4B7A"/>
          <w:sz w:val="22"/>
          <w:szCs w:val="22"/>
        </w:rPr>
        <w:t xml:space="preserve">4.2. Difference-in-differences identification</w:t>
      </w:r>
    </w:p>
    <w:p>
      <w:pPr>
        <w:spacing w:after="140" w:line="276"/>
        <w:jc w:val="both"/>
      </w:pPr>
      <w:r>
        <w:rPr>
          <w:rFonts w:ascii="Palatino Linotype" w:cs="Palatino Linotype" w:eastAsia="Palatino Linotype" w:hAnsi="Palatino Linotype"/>
          <w:sz w:val="21"/>
          <w:szCs w:val="21"/>
        </w:rPr>
        <w:t xml:space="preserve">Our primary specification is a two-way fixed-effects difference-in-differences (DiD). For trust i on day t we estimate Liquidity_it = α_i + δ_t + β (InvIT_i × Post_t) + ε_it, where α_i are entity fixed effects, δ_t are date fixed effects, InvIT_i is the treatment indicator (1 for the three InvITs, 0 for the three REIT controls), and Post_t switches on after the 3 September 2025 event. The coefficient of interest is β, the InvIT × Post interaction; a negative β on an illiquidity proxy means the InvITs became more liquid relative to the REIT controls after the reform, net of any common time trend the date fixed effects absorb. We estimate β with a two-way within (demeaning) transformation rather than an explicit ~490-dummy OLS for computational tractability, and validate that the within estimate reproduces the textbook dummy-variable OLS coefficient to machine precision (both −0.2031 on log-Amihud) before trusting it. Identification rests on the standard parallel-trends assumption, which the placebo tests in Section 4.3 are designed to probe.</w:t>
      </w:r>
    </w:p>
    <w:p>
      <w:pPr>
        <w:spacing w:after="100" w:before="200"/>
      </w:pPr>
      <w:r>
        <w:rPr>
          <w:rFonts w:ascii="Palatino Linotype" w:cs="Palatino Linotype" w:eastAsia="Palatino Linotype" w:hAnsi="Palatino Linotype"/>
          <w:b/>
          <w:bCs/>
          <w:i/>
          <w:iCs/>
          <w:color w:val="2E4B7A"/>
          <w:sz w:val="22"/>
          <w:szCs w:val="22"/>
        </w:rPr>
        <w:t xml:space="preserve">4.3. Inference, placebo, and event-window sensitivity</w:t>
      </w:r>
    </w:p>
    <w:p>
      <w:pPr>
        <w:spacing w:after="140" w:line="276"/>
        <w:jc w:val="both"/>
      </w:pPr>
      <w:r>
        <w:rPr>
          <w:rFonts w:ascii="Palatino Linotype" w:cs="Palatino Linotype" w:eastAsia="Palatino Linotype" w:hAnsi="Palatino Linotype"/>
          <w:sz w:val="21"/>
          <w:szCs w:val="21"/>
        </w:rPr>
        <w:t xml:space="preserve">With only three treated trusts, conventional asymptotic inference is fragile, so we report three complementary inference strategies. First, cluster-robust standard errors clustered by entity, while being explicit that six clusters is at the low end of where cluster asymptotics are reliable. Second, an entity-block bootstrap (2,000 replications) that resamples whole trusts with replacement, preserving each trust’s full time-series dependence and giving a confidence interval that does not lean on the six-cluster asymptotic approximation. Third, placebo (pseudo-event) tests: we re-run the identical DiD assigning a fake event date to four pre-reform dates (3 June, 3 September, and 3 December 2024, and 3 March 2025); a credible effect should be markedly larger at the true date than at any placebo. Finally, an event-window sensitivity grid re-estimates β on symmetric windows of ±20, ±40, ±60, ±90, and ±120 trading days around the event.</w:t>
      </w:r>
    </w:p>
    <w:p>
      <w:pPr>
        <w:spacing w:after="100" w:before="200"/>
      </w:pPr>
      <w:r>
        <w:rPr>
          <w:rFonts w:ascii="Palatino Linotype" w:cs="Palatino Linotype" w:eastAsia="Palatino Linotype" w:hAnsi="Palatino Linotype"/>
          <w:b/>
          <w:bCs/>
          <w:i/>
          <w:iCs/>
          <w:color w:val="2E4B7A"/>
          <w:sz w:val="22"/>
          <w:szCs w:val="22"/>
        </w:rPr>
        <w:t xml:space="preserve">4.4. Volatility: model selection rather than an assumed GARCH(1,1)</w:t>
      </w:r>
    </w:p>
    <w:p>
      <w:pPr>
        <w:spacing w:after="140" w:line="276"/>
        <w:jc w:val="both"/>
      </w:pPr>
      <w:r>
        <w:rPr>
          <w:rFonts w:ascii="Palatino Linotype" w:cs="Palatino Linotype" w:eastAsia="Palatino Linotype" w:hAnsi="Palatino Linotype"/>
          <w:sz w:val="21"/>
          <w:szCs w:val="21"/>
        </w:rPr>
        <w:t xml:space="preserve">Rather than impose a GARCH(1,1) by fiat, we fit three competing conditional-volatility specifications to each trust’s return series — symmetric GARCH(1,1) (Bollerslev, 1986), EGARCH(1,1) (Nelson, 1991), and GJR-GARCH(1,1) (Glosten et al., 1993), all with Student-t innovations to accommodate fat tails — and select per trust by Akaike and Bayesian information criteria (garch_model_selection.csv). This addresses the objection that a GARCH(1,1) might mask leverage (asymmetric) effects; where EGARCH or GJR wins on AIC/BIC, we report that, and compare fitted conditional volatility before and after the event using the selected model for each trust.</w:t>
      </w:r>
    </w:p>
    <w:p>
      <w:pPr>
        <w:spacing w:after="100" w:before="200"/>
      </w:pPr>
      <w:r>
        <w:rPr>
          <w:rFonts w:ascii="Palatino Linotype" w:cs="Palatino Linotype" w:eastAsia="Palatino Linotype" w:hAnsi="Palatino Linotype"/>
          <w:b/>
          <w:bCs/>
          <w:i/>
          <w:iCs/>
          <w:color w:val="2E4B7A"/>
          <w:sz w:val="22"/>
          <w:szCs w:val="22"/>
        </w:rPr>
        <w:t xml:space="preserve">4.5. A modelling pipeline, run on what we have</w:t>
      </w:r>
    </w:p>
    <w:p>
      <w:pPr>
        <w:spacing w:after="140" w:line="276"/>
        <w:jc w:val="both"/>
      </w:pPr>
      <w:r>
        <w:rPr>
          <w:rFonts w:ascii="Palatino Linotype" w:cs="Palatino Linotype" w:eastAsia="Palatino Linotype" w:hAnsi="Palatino Linotype"/>
          <w:sz w:val="21"/>
          <w:szCs w:val="21"/>
        </w:rPr>
        <w:t xml:space="preserve">The project’s design includes a machine-learning model of adoption intention from survey constructs. That survey has not been fielded, so to demonstrate the pipeline on real data we instead train Logistic Regression, Random Forest, and XGBoost (Chen &amp; Guestrin, 2016) classifiers to recover a trust’s liquidity tier from its daily microstructure features, and use SHAP (Lundberg &amp; Lee, 2017) to attribute the predictions. This is a methodological proof that the analysis pipeline runs end-to-end on real data — not a test of the tokenization hypothesis — and we present it strictly as such.</w:t>
      </w:r>
    </w:p>
    <w:p>
      <w:pPr>
        <w:spacing w:after="120" w:before="280"/>
      </w:pPr>
      <w:r>
        <w:rPr>
          <w:rFonts w:ascii="Palatino Linotype" w:cs="Palatino Linotype" w:eastAsia="Palatino Linotype" w:hAnsi="Palatino Linotype"/>
          <w:b/>
          <w:bCs/>
          <w:color w:val="1F3864"/>
          <w:sz w:val="26"/>
          <w:szCs w:val="26"/>
        </w:rPr>
        <w:t xml:space="preserve">5. Results</w:t>
      </w:r>
    </w:p>
    <w:p>
      <w:pPr>
        <w:spacing w:after="100" w:before="200"/>
      </w:pPr>
      <w:r>
        <w:rPr>
          <w:rFonts w:ascii="Palatino Linotype" w:cs="Palatino Linotype" w:eastAsia="Palatino Linotype" w:hAnsi="Palatino Linotype"/>
          <w:b/>
          <w:bCs/>
          <w:i/>
          <w:iCs/>
          <w:color w:val="2E4B7A"/>
          <w:sz w:val="22"/>
          <w:szCs w:val="22"/>
        </w:rPr>
        <w:t xml:space="preserve">5.1. The univariate proxy matrix points one way</w:t>
      </w:r>
    </w:p>
    <w:p>
      <w:pPr>
        <w:spacing w:after="140" w:line="276"/>
        <w:jc w:val="both"/>
      </w:pPr>
      <w:r>
        <w:rPr>
          <w:rFonts w:ascii="Palatino Linotype" w:cs="Palatino Linotype" w:eastAsia="Palatino Linotype" w:hAnsi="Palatino Linotype"/>
          <w:sz w:val="21"/>
          <w:szCs w:val="21"/>
        </w:rPr>
        <w:t xml:space="preserve">Before differencing against controls, it is worth seeing how each of the six proxies moved for the InvITs across the pre/post split (Table 1). The cost- and impact-based proxies all improve and the activity proxies all rise, which is the internally consistent signature one would hope for. Amihud illiquidity falls 93.0% (Welch t = −2.64, p = 0.008) and its log transform falls 80.4% (t = −18.3, p ≈ 0); the Corwin–Schultz spread tightens 22.5% (p = 0.0002) and the high–low spread 19.9% (p &lt; 0.001). On the activity side, share turnover rises 135.2% (p = 0.034) and rupee turnover 150.9% (p = 0.014). The only proxy that moves the “wrong” way is the zero-return ratio (+8.5%), which is noisy at this sample size and which we do not over-read. The full six-proxy robustness panel is Figure 10.</w:t>
      </w:r>
    </w:p>
    <w:p>
      <w:pPr>
        <w:spacing w:after="140" w:line="276"/>
        <w:jc w:val="both"/>
      </w:pPr>
      <w:r>
        <w:rPr>
          <w:rFonts w:ascii="Palatino Linotype" w:cs="Palatino Linotype" w:eastAsia="Palatino Linotype" w:hAnsi="Palatino Linotype"/>
          <w:sz w:val="21"/>
          <w:szCs w:val="21"/>
        </w:rPr>
        <w:t xml:space="preserve">At the entity level the picture is consistent in sign but weaker in significance, which is exactly what one expects from six pairs. The paired Wilcoxon test on mean Amihud illiquidity is marginal (p = 0.094), and the paired t-test on rupee turnover — which roughly doubles on average, from ₹76.5 million to ₹146.5 million — sits at p = 0.084 (paired_tests.csv). We read these as directionally supportive rather than conclusive, and we resist the temptation to dress a p of 0.09 as a finding.</w:t>
      </w:r>
    </w:p>
    <w:p>
      <w:pPr>
        <w:spacing w:after="140" w:line="276"/>
        <w:jc w:val="both"/>
      </w:pPr>
      <w:r>
        <w:rPr>
          <w:rFonts w:ascii="Palatino Linotype" w:cs="Palatino Linotype" w:eastAsia="Palatino Linotype" w:hAnsi="Palatino Linotype"/>
          <w:sz w:val="21"/>
          <w:szCs w:val="21"/>
        </w:rPr>
        <w:t xml:space="preserve">The cross-section is where it gets interesting. IRB InvIT’s Amihud illiquidity more than halves (0.271 to 0.105) and its mean daily volume jumps from about 688,000 to 2.83 million units; IndiGrid’s illiquidity collapses from 0.715 to 0.064 as turnover swells (liquidity_event_summary.csv). PowerGrid InvIT, already the most liquid of the three, barely moves — there was less room to improve. The REIT controls, by contrast, show no comparable illiquidity decline, and Embassy’s illiquidity actually edges up. Figures 1 through 4 visualize these patterns.</w:t>
      </w:r>
    </w:p>
    <w:p>
      <w:pPr>
        <w:spacing w:after="60" w:before="200"/>
        <w:jc w:val="left"/>
      </w:pPr>
      <w:r>
        <w:rPr>
          <w:rFonts w:ascii="Calibri" w:cs="Calibri" w:eastAsia="Calibri" w:hAnsi="Calibri"/>
          <w:b/>
          <w:bCs/>
          <w:sz w:val="19"/>
          <w:szCs w:val="19"/>
        </w:rPr>
        <w:t xml:space="preserve">Table 1. </w:t>
      </w:r>
      <w:r>
        <w:rPr>
          <w:rFonts w:ascii="Calibri" w:cs="Calibri" w:eastAsia="Calibri" w:hAnsi="Calibri"/>
          <w:sz w:val="19"/>
          <w:szCs w:val="19"/>
        </w:rPr>
        <w:t xml:space="preserve">Six-proxy liquidity matrix for the InvIT group, pre- versus post-event (event date 3 Sep 2025). Welch two-sample tests on daily values.</w:t>
      </w:r>
    </w:p>
    <w:tbl>
      <w:tblPr>
        <w:tblW w:type="pct" w:w="100%"/>
        <w:tblBorders>
          <w:top w:val="single" w:color="1F3864" w:sz="4"/>
          <w:left w:val="none"/>
          <w:bottom w:val="single" w:color="1F3864" w:sz="4"/>
          <w:right w:val="none"/>
          <w:insideH w:val="single" w:color="BFBFBF" w:sz="2"/>
          <w:insideV w:val="none"/>
        </w:tblBorders>
      </w:tblPr>
      <w:tblGrid>
        <w:gridCol w:w="100"/>
        <w:gridCol w:w="100"/>
        <w:gridCol w:w="100"/>
        <w:gridCol w:w="100"/>
        <w:gridCol w:w="100"/>
        <w:gridCol w:w="100"/>
      </w:tblGrid>
      <w:tr>
        <w:trPr>
          <w:tblHeader/>
        </w:trPr>
        <w:tc>
          <w:tcPr>
            <w:shd w:fill="1F3864" w:val="clear"/>
            <w:tcMar>
              <w:top w:type="dxa" w:w="40"/>
              <w:left w:type="dxa" w:w="80"/>
              <w:bottom w:type="dxa" w:w="40"/>
              <w:right w:type="dxa" w:w="80"/>
            </w:tcMar>
          </w:tcPr>
          <w:p>
            <w:r>
              <w:rPr>
                <w:rFonts w:ascii="Palatino Linotype" w:cs="Palatino Linotype" w:eastAsia="Palatino Linotype" w:hAnsi="Palatino Linotype"/>
                <w:b/>
                <w:bCs/>
                <w:color w:val="FFFFFF"/>
                <w:sz w:val="18"/>
                <w:szCs w:val="18"/>
              </w:rPr>
              <w:t xml:space="preserve">Proxy</w:t>
            </w:r>
          </w:p>
        </w:tc>
        <w:tc>
          <w:tcPr>
            <w:shd w:fill="1F3864" w:val="clear"/>
            <w:tcMar>
              <w:top w:type="dxa" w:w="40"/>
              <w:left w:type="dxa" w:w="80"/>
              <w:bottom w:type="dxa" w:w="40"/>
              <w:right w:type="dxa" w:w="80"/>
            </w:tcMar>
          </w:tcPr>
          <w:p>
            <w:r>
              <w:rPr>
                <w:rFonts w:ascii="Palatino Linotype" w:cs="Palatino Linotype" w:eastAsia="Palatino Linotype" w:hAnsi="Palatino Linotype"/>
                <w:b/>
                <w:bCs/>
                <w:color w:val="FFFFFF"/>
                <w:sz w:val="18"/>
                <w:szCs w:val="18"/>
              </w:rPr>
              <w:t xml:space="preserve">Pre mean</w:t>
            </w:r>
          </w:p>
        </w:tc>
        <w:tc>
          <w:tcPr>
            <w:shd w:fill="1F3864" w:val="clear"/>
            <w:tcMar>
              <w:top w:type="dxa" w:w="40"/>
              <w:left w:type="dxa" w:w="80"/>
              <w:bottom w:type="dxa" w:w="40"/>
              <w:right w:type="dxa" w:w="80"/>
            </w:tcMar>
          </w:tcPr>
          <w:p>
            <w:r>
              <w:rPr>
                <w:rFonts w:ascii="Palatino Linotype" w:cs="Palatino Linotype" w:eastAsia="Palatino Linotype" w:hAnsi="Palatino Linotype"/>
                <w:b/>
                <w:bCs/>
                <w:color w:val="FFFFFF"/>
                <w:sz w:val="18"/>
                <w:szCs w:val="18"/>
              </w:rPr>
              <w:t xml:space="preserve">Post mean</w:t>
            </w:r>
          </w:p>
        </w:tc>
        <w:tc>
          <w:tcPr>
            <w:shd w:fill="1F3864" w:val="clear"/>
            <w:tcMar>
              <w:top w:type="dxa" w:w="40"/>
              <w:left w:type="dxa" w:w="80"/>
              <w:bottom w:type="dxa" w:w="40"/>
              <w:right w:type="dxa" w:w="80"/>
            </w:tcMar>
          </w:tcPr>
          <w:p>
            <w:r>
              <w:rPr>
                <w:rFonts w:ascii="Palatino Linotype" w:cs="Palatino Linotype" w:eastAsia="Palatino Linotype" w:hAnsi="Palatino Linotype"/>
                <w:b/>
                <w:bCs/>
                <w:color w:val="FFFFFF"/>
                <w:sz w:val="18"/>
                <w:szCs w:val="18"/>
              </w:rPr>
              <w:t xml:space="preserve">% change</w:t>
            </w:r>
          </w:p>
        </w:tc>
        <w:tc>
          <w:tcPr>
            <w:shd w:fill="1F3864" w:val="clear"/>
            <w:tcMar>
              <w:top w:type="dxa" w:w="40"/>
              <w:left w:type="dxa" w:w="80"/>
              <w:bottom w:type="dxa" w:w="40"/>
              <w:right w:type="dxa" w:w="80"/>
            </w:tcMar>
          </w:tcPr>
          <w:p>
            <w:r>
              <w:rPr>
                <w:rFonts w:ascii="Palatino Linotype" w:cs="Palatino Linotype" w:eastAsia="Palatino Linotype" w:hAnsi="Palatino Linotype"/>
                <w:b/>
                <w:bCs/>
                <w:color w:val="FFFFFF"/>
                <w:sz w:val="18"/>
                <w:szCs w:val="18"/>
              </w:rPr>
              <w:t xml:space="preserve">Welch t</w:t>
            </w:r>
          </w:p>
        </w:tc>
        <w:tc>
          <w:tcPr>
            <w:shd w:fill="1F3864" w:val="clear"/>
            <w:tcMar>
              <w:top w:type="dxa" w:w="40"/>
              <w:left w:type="dxa" w:w="80"/>
              <w:bottom w:type="dxa" w:w="40"/>
              <w:right w:type="dxa" w:w="80"/>
            </w:tcMar>
          </w:tcPr>
          <w:p>
            <w:r>
              <w:rPr>
                <w:rFonts w:ascii="Palatino Linotype" w:cs="Palatino Linotype" w:eastAsia="Palatino Linotype" w:hAnsi="Palatino Linotype"/>
                <w:b/>
                <w:bCs/>
                <w:color w:val="FFFFFF"/>
                <w:sz w:val="18"/>
                <w:szCs w:val="18"/>
              </w:rPr>
              <w:t xml:space="preserve">p-value</w:t>
            </w:r>
          </w:p>
        </w:tc>
      </w:tr>
      <w:tr>
        <w:tc>
          <w:tcPr>
            <w:tcMar>
              <w:top w:type="dxa" w:w="40"/>
              <w:left w:type="dxa" w:w="80"/>
              <w:bottom w:type="dxa" w:w="40"/>
              <w:right w:type="dxa" w:w="80"/>
            </w:tcMar>
          </w:tcPr>
          <w:p>
            <w:r>
              <w:rPr>
                <w:rFonts w:ascii="Palatino Linotype" w:cs="Palatino Linotype" w:eastAsia="Palatino Linotype" w:hAnsi="Palatino Linotype"/>
                <w:sz w:val="18"/>
                <w:szCs w:val="18"/>
              </w:rPr>
              <w:t xml:space="preserve">Amihud illiquidity</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1.0160</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0.0712</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−93.0%</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−2.638</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0.0084 **</w:t>
            </w:r>
          </w:p>
        </w:tc>
      </w:tr>
      <w:tr>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log-Amihud</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0.3386</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0.0663</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−80.4%</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−18.300</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 0 ***</w:t>
            </w:r>
          </w:p>
        </w:tc>
      </w:tr>
      <w:tr>
        <w:tc>
          <w:tcPr>
            <w:tcMar>
              <w:top w:type="dxa" w:w="40"/>
              <w:left w:type="dxa" w:w="80"/>
              <w:bottom w:type="dxa" w:w="40"/>
              <w:right w:type="dxa" w:w="80"/>
            </w:tcMar>
          </w:tcPr>
          <w:p>
            <w:r>
              <w:rPr>
                <w:rFonts w:ascii="Palatino Linotype" w:cs="Palatino Linotype" w:eastAsia="Palatino Linotype" w:hAnsi="Palatino Linotype"/>
                <w:sz w:val="18"/>
                <w:szCs w:val="18"/>
              </w:rPr>
              <w:t xml:space="preserve">Corwin–Schultz spread</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0.004557</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0.003532</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−22.5%</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−3.819</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0.00016 ***</w:t>
            </w:r>
          </w:p>
        </w:tc>
      </w:tr>
      <w:tr>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High–low spread</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0.014019</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0.011223</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−19.9%</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−4.804</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&lt; 0.001 ***</w:t>
            </w:r>
          </w:p>
        </w:tc>
      </w:tr>
      <w:tr>
        <w:tc>
          <w:tcPr>
            <w:tcMar>
              <w:top w:type="dxa" w:w="40"/>
              <w:left w:type="dxa" w:w="80"/>
              <w:bottom w:type="dxa" w:w="40"/>
              <w:right w:type="dxa" w:w="80"/>
            </w:tcMar>
          </w:tcPr>
          <w:p>
            <w:r>
              <w:rPr>
                <w:rFonts w:ascii="Palatino Linotype" w:cs="Palatino Linotype" w:eastAsia="Palatino Linotype" w:hAnsi="Palatino Linotype"/>
                <w:sz w:val="18"/>
                <w:szCs w:val="18"/>
              </w:rPr>
              <w:t xml:space="preserve">Zero-return ratio</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0.01536</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0.01667</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+8.5%</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0.145</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0.884</w:t>
            </w:r>
          </w:p>
        </w:tc>
      </w:tr>
      <w:tr>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Share turnover</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667,685</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1,570,065</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+135.2%</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2.130</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0.034 *</w:t>
            </w:r>
          </w:p>
        </w:tc>
      </w:tr>
      <w:tr>
        <w:tc>
          <w:tcPr>
            <w:tcMar>
              <w:top w:type="dxa" w:w="40"/>
              <w:left w:type="dxa" w:w="80"/>
              <w:bottom w:type="dxa" w:w="40"/>
              <w:right w:type="dxa" w:w="80"/>
            </w:tcMar>
          </w:tcPr>
          <w:p>
            <w:r>
              <w:rPr>
                <w:rFonts w:ascii="Palatino Linotype" w:cs="Palatino Linotype" w:eastAsia="Palatino Linotype" w:hAnsi="Palatino Linotype"/>
                <w:sz w:val="18"/>
                <w:szCs w:val="18"/>
              </w:rPr>
              <w:t xml:space="preserve">Rupee turnover (₹)</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58.9 M</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147.7 M</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+150.9%</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2.468</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0.014 *</w:t>
            </w:r>
          </w:p>
        </w:tc>
      </w:tr>
    </w:tbl>
    <w:p>
      <w:pPr>
        <w:spacing w:after="160"/>
      </w:pPr>
      <w:r>
        <w:rPr>
          <w:rFonts w:ascii="Palatino Linotype" w:cs="Palatino Linotype" w:eastAsia="Palatino Linotype" w:hAnsi="Palatino Linotype"/>
          <w:i/>
          <w:iCs/>
          <w:sz w:val="16"/>
          <w:szCs w:val="16"/>
        </w:rPr>
        <w:t xml:space="preserve">* p &lt; 0.05, ** p &lt; 0.01, *** p &lt; 0.001. Source: data/processed/liquidity_proxy_matrix.csv.</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Calibri" w:cs="Calibri" w:eastAsia="Calibri" w:hAnsi="Calibri"/>
          <w:b/>
          <w:bCs/>
          <w:sz w:val="18"/>
          <w:szCs w:val="18"/>
        </w:rPr>
        <w:t xml:space="preserve">Figure 1. </w:t>
      </w:r>
      <w:r>
        <w:rPr>
          <w:rFonts w:ascii="Calibri" w:cs="Calibri" w:eastAsia="Calibri" w:hAnsi="Calibri"/>
          <w:i/>
          <w:iCs/>
          <w:sz w:val="18"/>
          <w:szCs w:val="18"/>
        </w:rPr>
        <w:t xml:space="preserve">Daily Amihud illiquidity over the continuous panel, by trust, with the 3 September 2025 reform date marked.</w:t>
      </w:r>
    </w:p>
    <w:p>
      <w:pPr>
        <w:spacing w:after="60" w:before="120"/>
        <w:jc w:val="center"/>
      </w:pPr>
      <w:r>
        <w:drawing>
          <wp:inline distT="0" distB="0" distL="0" distR="0">
            <wp:extent cx="4572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rFonts w:ascii="Calibri" w:cs="Calibri" w:eastAsia="Calibri" w:hAnsi="Calibri"/>
          <w:b/>
          <w:bCs/>
          <w:sz w:val="18"/>
          <w:szCs w:val="18"/>
        </w:rPr>
        <w:t xml:space="preserve">Figure 2. </w:t>
      </w:r>
      <w:r>
        <w:rPr>
          <w:rFonts w:ascii="Calibri" w:cs="Calibri" w:eastAsia="Calibri" w:hAnsi="Calibri"/>
          <w:i/>
          <w:iCs/>
          <w:sz w:val="18"/>
          <w:szCs w:val="18"/>
        </w:rPr>
        <w:t xml:space="preserve">Mean Amihud illiquidity, pre- versus post-event, by trust.</w:t>
      </w:r>
    </w:p>
    <w:p>
      <w:pPr>
        <w:spacing w:after="60" w:before="120"/>
        <w:jc w:val="center"/>
      </w:pPr>
      <w:r>
        <w:drawing>
          <wp:inline distT="0" distB="0" distL="0" distR="0">
            <wp:extent cx="4572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rFonts w:ascii="Calibri" w:cs="Calibri" w:eastAsia="Calibri" w:hAnsi="Calibri"/>
          <w:b/>
          <w:bCs/>
          <w:sz w:val="18"/>
          <w:szCs w:val="18"/>
        </w:rPr>
        <w:t xml:space="preserve">Figure 3. </w:t>
      </w:r>
      <w:r>
        <w:rPr>
          <w:rFonts w:ascii="Calibri" w:cs="Calibri" w:eastAsia="Calibri" w:hAnsi="Calibri"/>
          <w:i/>
          <w:iCs/>
          <w:sz w:val="18"/>
          <w:szCs w:val="18"/>
        </w:rPr>
        <w:t xml:space="preserve">Mean daily rupee turnover, pre- versus post-event, by trust.</w:t>
      </w:r>
    </w:p>
    <w:p>
      <w:pPr>
        <w:spacing w:after="60" w:before="120"/>
        <w:jc w:val="center"/>
      </w:pPr>
      <w:r>
        <w:drawing>
          <wp:inline distT="0" distB="0" distL="0" distR="0">
            <wp:extent cx="4572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rFonts w:ascii="Calibri" w:cs="Calibri" w:eastAsia="Calibri" w:hAnsi="Calibri"/>
          <w:b/>
          <w:bCs/>
          <w:sz w:val="18"/>
          <w:szCs w:val="18"/>
        </w:rPr>
        <w:t xml:space="preserve">Figure 4. </w:t>
      </w:r>
      <w:r>
        <w:rPr>
          <w:rFonts w:ascii="Calibri" w:cs="Calibri" w:eastAsia="Calibri" w:hAnsi="Calibri"/>
          <w:i/>
          <w:iCs/>
          <w:sz w:val="18"/>
          <w:szCs w:val="18"/>
        </w:rPr>
        <w:t xml:space="preserve">Distribution of the high–low relative spread, pre- versus post-event.</w:t>
      </w:r>
    </w:p>
    <w:p>
      <w:pPr>
        <w:spacing w:after="100" w:before="200"/>
      </w:pPr>
      <w:r>
        <w:rPr>
          <w:rFonts w:ascii="Palatino Linotype" w:cs="Palatino Linotype" w:eastAsia="Palatino Linotype" w:hAnsi="Palatino Linotype"/>
          <w:b/>
          <w:bCs/>
          <w:i/>
          <w:iCs/>
          <w:color w:val="2E4B7A"/>
          <w:sz w:val="22"/>
          <w:szCs w:val="22"/>
        </w:rPr>
        <w:t xml:space="preserve">5.2. The formal DiD is correctly signed but underpowered</w:t>
      </w:r>
    </w:p>
    <w:p>
      <w:pPr>
        <w:spacing w:after="140" w:line="276"/>
        <w:jc w:val="both"/>
      </w:pPr>
      <w:r>
        <w:rPr>
          <w:rFonts w:ascii="Palatino Linotype" w:cs="Palatino Linotype" w:eastAsia="Palatino Linotype" w:hAnsi="Palatino Linotype"/>
          <w:sz w:val="21"/>
          <w:szCs w:val="21"/>
        </w:rPr>
        <w:t xml:space="preserve">The univariate picture is strong, but it does not net out common time trends. Our preferred specification — a two-way fixed-effects DiD that differences the InvITs against the REIT controls — is more demanding, and the honest result is that it is directionally right but statistically underpowered. On log-Amihud, the InvIT × Post interaction is −0.203 (cluster-robust SE 0.212, p = 0.38, 95% CI [−0.75, +0.34]; Table 2). The sign is correct — InvIT illiquidity fell relative to controls — and, as Section 5.3 shows, the magnitude is roughly three times any placebo. But with standard errors clustered across only three treated trusts, the interaction is not significant once common time trends are differenced out. The same pattern holds on raw Amihud (−0.475, p = 0.61) and the Corwin–Schultz spread (−0.000059, p = 0.92). The one DiD coefficient that does clear significance is the high–low spread: −0.00234 (p = 0.034), the InvITs’ intraday ranges tightening relative to controls. With three treated units, that is the most the design can responsibly claim. Figure 7 plots the DiD coefficient and confidence interval by outcome.</w:t>
      </w:r>
    </w:p>
    <w:p>
      <w:pPr>
        <w:spacing w:after="60" w:before="200"/>
        <w:jc w:val="left"/>
      </w:pPr>
      <w:r>
        <w:rPr>
          <w:rFonts w:ascii="Calibri" w:cs="Calibri" w:eastAsia="Calibri" w:hAnsi="Calibri"/>
          <w:b/>
          <w:bCs/>
          <w:sz w:val="19"/>
          <w:szCs w:val="19"/>
        </w:rPr>
        <w:t xml:space="preserve">Table 2. </w:t>
      </w:r>
      <w:r>
        <w:rPr>
          <w:rFonts w:ascii="Calibri" w:cs="Calibri" w:eastAsia="Calibri" w:hAnsi="Calibri"/>
          <w:sz w:val="19"/>
          <w:szCs w:val="19"/>
        </w:rPr>
        <w:t xml:space="preserve">Two-way fixed-effects difference-in-differences estimates (InvIT × Post), entity-clustered standard errors, n = 2,954 entity-days.</w:t>
      </w:r>
    </w:p>
    <w:tbl>
      <w:tblPr>
        <w:tblW w:type="pct" w:w="100%"/>
        <w:tblBorders>
          <w:top w:val="single" w:color="1F3864" w:sz="4"/>
          <w:left w:val="none"/>
          <w:bottom w:val="single" w:color="1F3864" w:sz="4"/>
          <w:right w:val="none"/>
          <w:insideH w:val="single" w:color="BFBFBF" w:sz="2"/>
          <w:insideV w:val="none"/>
        </w:tblBorders>
      </w:tblPr>
      <w:tblGrid>
        <w:gridCol w:w="100"/>
        <w:gridCol w:w="100"/>
        <w:gridCol w:w="100"/>
        <w:gridCol w:w="100"/>
        <w:gridCol w:w="100"/>
      </w:tblGrid>
      <w:tr>
        <w:trPr>
          <w:tblHeader/>
        </w:trPr>
        <w:tc>
          <w:tcPr>
            <w:shd w:fill="1F3864" w:val="clear"/>
            <w:tcMar>
              <w:top w:type="dxa" w:w="40"/>
              <w:left w:type="dxa" w:w="80"/>
              <w:bottom w:type="dxa" w:w="40"/>
              <w:right w:type="dxa" w:w="80"/>
            </w:tcMar>
          </w:tcPr>
          <w:p>
            <w:r>
              <w:rPr>
                <w:rFonts w:ascii="Palatino Linotype" w:cs="Palatino Linotype" w:eastAsia="Palatino Linotype" w:hAnsi="Palatino Linotype"/>
                <w:b/>
                <w:bCs/>
                <w:color w:val="FFFFFF"/>
                <w:sz w:val="18"/>
                <w:szCs w:val="18"/>
              </w:rPr>
              <w:t xml:space="preserve">Outcome</w:t>
            </w:r>
          </w:p>
        </w:tc>
        <w:tc>
          <w:tcPr>
            <w:shd w:fill="1F3864" w:val="clear"/>
            <w:tcMar>
              <w:top w:type="dxa" w:w="40"/>
              <w:left w:type="dxa" w:w="80"/>
              <w:bottom w:type="dxa" w:w="40"/>
              <w:right w:type="dxa" w:w="80"/>
            </w:tcMar>
          </w:tcPr>
          <w:p>
            <w:r>
              <w:rPr>
                <w:rFonts w:ascii="Palatino Linotype" w:cs="Palatino Linotype" w:eastAsia="Palatino Linotype" w:hAnsi="Palatino Linotype"/>
                <w:b/>
                <w:bCs/>
                <w:color w:val="FFFFFF"/>
                <w:sz w:val="18"/>
                <w:szCs w:val="18"/>
              </w:rPr>
              <w:t xml:space="preserve">DiD coef.</w:t>
            </w:r>
          </w:p>
        </w:tc>
        <w:tc>
          <w:tcPr>
            <w:shd w:fill="1F3864" w:val="clear"/>
            <w:tcMar>
              <w:top w:type="dxa" w:w="40"/>
              <w:left w:type="dxa" w:w="80"/>
              <w:bottom w:type="dxa" w:w="40"/>
              <w:right w:type="dxa" w:w="80"/>
            </w:tcMar>
          </w:tcPr>
          <w:p>
            <w:r>
              <w:rPr>
                <w:rFonts w:ascii="Palatino Linotype" w:cs="Palatino Linotype" w:eastAsia="Palatino Linotype" w:hAnsi="Palatino Linotype"/>
                <w:b/>
                <w:bCs/>
                <w:color w:val="FFFFFF"/>
                <w:sz w:val="18"/>
                <w:szCs w:val="18"/>
              </w:rPr>
              <w:t xml:space="preserve">Cluster SE</w:t>
            </w:r>
          </w:p>
        </w:tc>
        <w:tc>
          <w:tcPr>
            <w:shd w:fill="1F3864" w:val="clear"/>
            <w:tcMar>
              <w:top w:type="dxa" w:w="40"/>
              <w:left w:type="dxa" w:w="80"/>
              <w:bottom w:type="dxa" w:w="40"/>
              <w:right w:type="dxa" w:w="80"/>
            </w:tcMar>
          </w:tcPr>
          <w:p>
            <w:r>
              <w:rPr>
                <w:rFonts w:ascii="Palatino Linotype" w:cs="Palatino Linotype" w:eastAsia="Palatino Linotype" w:hAnsi="Palatino Linotype"/>
                <w:b/>
                <w:bCs/>
                <w:color w:val="FFFFFF"/>
                <w:sz w:val="18"/>
                <w:szCs w:val="18"/>
              </w:rPr>
              <w:t xml:space="preserve">p-value</w:t>
            </w:r>
          </w:p>
        </w:tc>
        <w:tc>
          <w:tcPr>
            <w:shd w:fill="1F3864" w:val="clear"/>
            <w:tcMar>
              <w:top w:type="dxa" w:w="40"/>
              <w:left w:type="dxa" w:w="80"/>
              <w:bottom w:type="dxa" w:w="40"/>
              <w:right w:type="dxa" w:w="80"/>
            </w:tcMar>
          </w:tcPr>
          <w:p>
            <w:r>
              <w:rPr>
                <w:rFonts w:ascii="Palatino Linotype" w:cs="Palatino Linotype" w:eastAsia="Palatino Linotype" w:hAnsi="Palatino Linotype"/>
                <w:b/>
                <w:bCs/>
                <w:color w:val="FFFFFF"/>
                <w:sz w:val="18"/>
                <w:szCs w:val="18"/>
              </w:rPr>
              <w:t xml:space="preserve">95% CI</w:t>
            </w:r>
          </w:p>
        </w:tc>
      </w:tr>
      <w:tr>
        <w:tc>
          <w:tcPr>
            <w:tcMar>
              <w:top w:type="dxa" w:w="40"/>
              <w:left w:type="dxa" w:w="80"/>
              <w:bottom w:type="dxa" w:w="40"/>
              <w:right w:type="dxa" w:w="80"/>
            </w:tcMar>
          </w:tcPr>
          <w:p>
            <w:r>
              <w:rPr>
                <w:rFonts w:ascii="Palatino Linotype" w:cs="Palatino Linotype" w:eastAsia="Palatino Linotype" w:hAnsi="Palatino Linotype"/>
                <w:sz w:val="18"/>
                <w:szCs w:val="18"/>
              </w:rPr>
              <w:t xml:space="preserve">log-Amihud</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−0.20306</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0.21171</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0.382</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[−0.747, +0.341]</w:t>
            </w:r>
          </w:p>
        </w:tc>
      </w:tr>
      <w:tr>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Amihud</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−0.47546</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0.88688</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0.615</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[−2.755, +1.804]</w:t>
            </w:r>
          </w:p>
        </w:tc>
      </w:tr>
      <w:tr>
        <w:tc>
          <w:tcPr>
            <w:tcMar>
              <w:top w:type="dxa" w:w="40"/>
              <w:left w:type="dxa" w:w="80"/>
              <w:bottom w:type="dxa" w:w="40"/>
              <w:right w:type="dxa" w:w="80"/>
            </w:tcMar>
          </w:tcPr>
          <w:p>
            <w:r>
              <w:rPr>
                <w:rFonts w:ascii="Palatino Linotype" w:cs="Palatino Linotype" w:eastAsia="Palatino Linotype" w:hAnsi="Palatino Linotype"/>
                <w:sz w:val="18"/>
                <w:szCs w:val="18"/>
              </w:rPr>
              <w:t xml:space="preserve">Corwin–Schultz spread</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−0.0000588</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0.000586</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0.924</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[−0.00157, +0.00145]</w:t>
            </w:r>
          </w:p>
        </w:tc>
      </w:tr>
      <w:tr>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High–low spread</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−0.0023393</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0.000810</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0.034 *</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[−0.00442, −0.00026]</w:t>
            </w:r>
          </w:p>
        </w:tc>
      </w:tr>
    </w:tbl>
    <w:p>
      <w:pPr>
        <w:spacing w:after="160"/>
      </w:pPr>
      <w:r>
        <w:rPr>
          <w:rFonts w:ascii="Palatino Linotype" w:cs="Palatino Linotype" w:eastAsia="Palatino Linotype" w:hAnsi="Palatino Linotype"/>
          <w:i/>
          <w:iCs/>
          <w:sz w:val="16"/>
          <w:szCs w:val="16"/>
        </w:rPr>
        <w:t xml:space="preserve">* p &lt; 0.05. Within (two-way demeaning) estimator; validated against dummy-OLS to machine precision. Source: data/processed/did_results.csv.</w:t>
      </w:r>
    </w:p>
    <w:p>
      <w:pPr>
        <w:spacing w:after="100" w:before="200"/>
      </w:pPr>
      <w:r>
        <w:rPr>
          <w:rFonts w:ascii="Palatino Linotype" w:cs="Palatino Linotype" w:eastAsia="Palatino Linotype" w:hAnsi="Palatino Linotype"/>
          <w:b/>
          <w:bCs/>
          <w:i/>
          <w:iCs/>
          <w:color w:val="2E4B7A"/>
          <w:sz w:val="22"/>
          <w:szCs w:val="22"/>
        </w:rPr>
        <w:t xml:space="preserve">5.3. Robustness: bootstrap, placebo, and event-window sensitivity</w:t>
      </w:r>
    </w:p>
    <w:p>
      <w:pPr>
        <w:spacing w:after="140" w:line="276"/>
        <w:jc w:val="both"/>
      </w:pPr>
      <w:r>
        <w:rPr>
          <w:rFonts w:ascii="Palatino Linotype" w:cs="Palatino Linotype" w:eastAsia="Palatino Linotype" w:hAnsi="Palatino Linotype"/>
          <w:sz w:val="21"/>
          <w:szCs w:val="21"/>
        </w:rPr>
        <w:t xml:space="preserve">Three robustness exercises sharpen how to read the DiD. The entity-block bootstrap (2,000 replications resampling whole trusts) gives a log-Amihud interaction mean of −0.202 with a 95% CI of [−0.63, +0.11] — tighter than the cluster-robust interval and still straddling zero, confirming the effect is negative on average but imprecise (bootstrap_cis.csv). The placebo tests are reassuring: assigning fake event dates to four pre-reform dates yields interactions of −0.064, −0.054, −0.068, and −0.056 (Table 3) — all small and none approaching the true −0.203, which is about three times larger. That is consistent with parallel pre-trends. The event-window sensitivity grid shows the estimate stabilizing as the window widens: +0.085 at ±20 days (too short to register the effect), then −0.074, −0.152, −0.155, and −0.163 at ±40, ±60, ±90, and ±120 days. The negative effect is not an artifact of one hand-picked window. Figures 8 and 9 plot the event-window sensitivity grid and the placebo-versus-real comparison.</w:t>
      </w:r>
    </w:p>
    <w:p>
      <w:pPr>
        <w:spacing w:after="60" w:before="200"/>
        <w:jc w:val="left"/>
      </w:pPr>
      <w:r>
        <w:rPr>
          <w:rFonts w:ascii="Calibri" w:cs="Calibri" w:eastAsia="Calibri" w:hAnsi="Calibri"/>
          <w:b/>
          <w:bCs/>
          <w:sz w:val="19"/>
          <w:szCs w:val="19"/>
        </w:rPr>
        <w:t xml:space="preserve">Table 3. </w:t>
      </w:r>
      <w:r>
        <w:rPr>
          <w:rFonts w:ascii="Calibri" w:cs="Calibri" w:eastAsia="Calibri" w:hAnsi="Calibri"/>
          <w:sz w:val="19"/>
          <w:szCs w:val="19"/>
        </w:rPr>
        <w:t xml:space="preserve">Placebo (pseudo-event) tests and event-window sensitivity for the log-Amihud DiD interaction.</w:t>
      </w:r>
    </w:p>
    <w:tbl>
      <w:tblPr>
        <w:tblW w:type="pct" w:w="100%"/>
        <w:tblBorders>
          <w:top w:val="single" w:color="1F3864" w:sz="4"/>
          <w:left w:val="none"/>
          <w:bottom w:val="single" w:color="1F3864" w:sz="4"/>
          <w:right w:val="none"/>
          <w:insideH w:val="single" w:color="BFBFBF" w:sz="2"/>
          <w:insideV w:val="none"/>
        </w:tblBorders>
      </w:tblPr>
      <w:tblGrid>
        <w:gridCol w:w="100"/>
        <w:gridCol w:w="100"/>
        <w:gridCol w:w="100"/>
        <w:gridCol w:w="100"/>
      </w:tblGrid>
      <w:tr>
        <w:trPr>
          <w:tblHeader/>
        </w:trPr>
        <w:tc>
          <w:tcPr>
            <w:shd w:fill="1F3864" w:val="clear"/>
            <w:tcMar>
              <w:top w:type="dxa" w:w="40"/>
              <w:left w:type="dxa" w:w="80"/>
              <w:bottom w:type="dxa" w:w="40"/>
              <w:right w:type="dxa" w:w="80"/>
            </w:tcMar>
          </w:tcPr>
          <w:p>
            <w:r>
              <w:rPr>
                <w:rFonts w:ascii="Palatino Linotype" w:cs="Palatino Linotype" w:eastAsia="Palatino Linotype" w:hAnsi="Palatino Linotype"/>
                <w:b/>
                <w:bCs/>
                <w:color w:val="FFFFFF"/>
                <w:sz w:val="18"/>
                <w:szCs w:val="18"/>
              </w:rPr>
              <w:t xml:space="preserve">Specification</w:t>
            </w:r>
          </w:p>
        </w:tc>
        <w:tc>
          <w:tcPr>
            <w:shd w:fill="1F3864" w:val="clear"/>
            <w:tcMar>
              <w:top w:type="dxa" w:w="40"/>
              <w:left w:type="dxa" w:w="80"/>
              <w:bottom w:type="dxa" w:w="40"/>
              <w:right w:type="dxa" w:w="80"/>
            </w:tcMar>
          </w:tcPr>
          <w:p>
            <w:r>
              <w:rPr>
                <w:rFonts w:ascii="Palatino Linotype" w:cs="Palatino Linotype" w:eastAsia="Palatino Linotype" w:hAnsi="Palatino Linotype"/>
                <w:b/>
                <w:bCs/>
                <w:color w:val="FFFFFF"/>
                <w:sz w:val="18"/>
                <w:szCs w:val="18"/>
              </w:rPr>
              <w:t xml:space="preserve">Event/Window</w:t>
            </w:r>
          </w:p>
        </w:tc>
        <w:tc>
          <w:tcPr>
            <w:shd w:fill="1F3864" w:val="clear"/>
            <w:tcMar>
              <w:top w:type="dxa" w:w="40"/>
              <w:left w:type="dxa" w:w="80"/>
              <w:bottom w:type="dxa" w:w="40"/>
              <w:right w:type="dxa" w:w="80"/>
            </w:tcMar>
          </w:tcPr>
          <w:p>
            <w:r>
              <w:rPr>
                <w:rFonts w:ascii="Palatino Linotype" w:cs="Palatino Linotype" w:eastAsia="Palatino Linotype" w:hAnsi="Palatino Linotype"/>
                <w:b/>
                <w:bCs/>
                <w:color w:val="FFFFFF"/>
                <w:sz w:val="18"/>
                <w:szCs w:val="18"/>
              </w:rPr>
              <w:t xml:space="preserve">DiD coef.</w:t>
            </w:r>
          </w:p>
        </w:tc>
        <w:tc>
          <w:tcPr>
            <w:shd w:fill="1F3864" w:val="clear"/>
            <w:tcMar>
              <w:top w:type="dxa" w:w="40"/>
              <w:left w:type="dxa" w:w="80"/>
              <w:bottom w:type="dxa" w:w="40"/>
              <w:right w:type="dxa" w:w="80"/>
            </w:tcMar>
          </w:tcPr>
          <w:p>
            <w:r>
              <w:rPr>
                <w:rFonts w:ascii="Palatino Linotype" w:cs="Palatino Linotype" w:eastAsia="Palatino Linotype" w:hAnsi="Palatino Linotype"/>
                <w:b/>
                <w:bCs/>
                <w:color w:val="FFFFFF"/>
                <w:sz w:val="18"/>
                <w:szCs w:val="18"/>
              </w:rPr>
              <w:t xml:space="preserve">p-value</w:t>
            </w:r>
          </w:p>
        </w:tc>
      </w:tr>
      <w:tr>
        <w:tc>
          <w:tcPr>
            <w:tcMar>
              <w:top w:type="dxa" w:w="40"/>
              <w:left w:type="dxa" w:w="80"/>
              <w:bottom w:type="dxa" w:w="40"/>
              <w:right w:type="dxa" w:w="80"/>
            </w:tcMar>
          </w:tcPr>
          <w:p>
            <w:r>
              <w:rPr>
                <w:rFonts w:ascii="Palatino Linotype" w:cs="Palatino Linotype" w:eastAsia="Palatino Linotype" w:hAnsi="Palatino Linotype"/>
                <w:sz w:val="18"/>
                <w:szCs w:val="18"/>
              </w:rPr>
              <w:t xml:space="preserve">Placebo</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3 Jun 2024</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−0.0643</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0.374</w:t>
            </w:r>
          </w:p>
        </w:tc>
      </w:tr>
      <w:tr>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Placebo</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3 Sep 2024</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−0.0537</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0.514</w:t>
            </w:r>
          </w:p>
        </w:tc>
      </w:tr>
      <w:tr>
        <w:tc>
          <w:tcPr>
            <w:tcMar>
              <w:top w:type="dxa" w:w="40"/>
              <w:left w:type="dxa" w:w="80"/>
              <w:bottom w:type="dxa" w:w="40"/>
              <w:right w:type="dxa" w:w="80"/>
            </w:tcMar>
          </w:tcPr>
          <w:p>
            <w:r>
              <w:rPr>
                <w:rFonts w:ascii="Palatino Linotype" w:cs="Palatino Linotype" w:eastAsia="Palatino Linotype" w:hAnsi="Palatino Linotype"/>
                <w:sz w:val="18"/>
                <w:szCs w:val="18"/>
              </w:rPr>
              <w:t xml:space="preserve">Placebo</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3 Dec 2024</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−0.0681</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0.378</w:t>
            </w:r>
          </w:p>
        </w:tc>
      </w:tr>
      <w:tr>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Placebo</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3 Mar 2025</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−0.0561</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0.448</w:t>
            </w:r>
          </w:p>
        </w:tc>
      </w:tr>
      <w:tr>
        <w:tc>
          <w:tcPr>
            <w:tcMar>
              <w:top w:type="dxa" w:w="40"/>
              <w:left w:type="dxa" w:w="80"/>
              <w:bottom w:type="dxa" w:w="40"/>
              <w:right w:type="dxa" w:w="80"/>
            </w:tcMar>
          </w:tcPr>
          <w:p>
            <w:r>
              <w:rPr>
                <w:rFonts w:ascii="Palatino Linotype" w:cs="Palatino Linotype" w:eastAsia="Palatino Linotype" w:hAnsi="Palatino Linotype"/>
                <w:sz w:val="18"/>
                <w:szCs w:val="18"/>
              </w:rPr>
              <w:t xml:space="preserve">Real event</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3 Sep 2025</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−0.2031</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0.337</w:t>
            </w:r>
          </w:p>
        </w:tc>
      </w:tr>
      <w:tr>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Window ±20d</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20</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+0.0850</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0.245</w:t>
            </w:r>
          </w:p>
        </w:tc>
      </w:tr>
      <w:tr>
        <w:tc>
          <w:tcPr>
            <w:tcMar>
              <w:top w:type="dxa" w:w="40"/>
              <w:left w:type="dxa" w:w="80"/>
              <w:bottom w:type="dxa" w:w="40"/>
              <w:right w:type="dxa" w:w="80"/>
            </w:tcMar>
          </w:tcPr>
          <w:p>
            <w:r>
              <w:rPr>
                <w:rFonts w:ascii="Palatino Linotype" w:cs="Palatino Linotype" w:eastAsia="Palatino Linotype" w:hAnsi="Palatino Linotype"/>
                <w:sz w:val="18"/>
                <w:szCs w:val="18"/>
              </w:rPr>
              <w:t xml:space="preserve">Window ±40d</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40</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−0.0737</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0.428</w:t>
            </w:r>
          </w:p>
        </w:tc>
      </w:tr>
      <w:tr>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Window ±60d</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60</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−0.1515</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0.150</w:t>
            </w:r>
          </w:p>
        </w:tc>
      </w:tr>
      <w:tr>
        <w:tc>
          <w:tcPr>
            <w:tcMar>
              <w:top w:type="dxa" w:w="40"/>
              <w:left w:type="dxa" w:w="80"/>
              <w:bottom w:type="dxa" w:w="40"/>
              <w:right w:type="dxa" w:w="80"/>
            </w:tcMar>
          </w:tcPr>
          <w:p>
            <w:r>
              <w:rPr>
                <w:rFonts w:ascii="Palatino Linotype" w:cs="Palatino Linotype" w:eastAsia="Palatino Linotype" w:hAnsi="Palatino Linotype"/>
                <w:sz w:val="18"/>
                <w:szCs w:val="18"/>
              </w:rPr>
              <w:t xml:space="preserve">Window ±90d</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90</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−0.1547</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0.243</w:t>
            </w:r>
          </w:p>
        </w:tc>
      </w:tr>
      <w:tr>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Window ±120d</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120</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−0.1633</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0.318</w:t>
            </w:r>
          </w:p>
        </w:tc>
      </w:tr>
    </w:tbl>
    <w:p>
      <w:pPr>
        <w:spacing w:after="160"/>
      </w:pPr>
      <w:r>
        <w:rPr>
          <w:rFonts w:ascii="Palatino Linotype" w:cs="Palatino Linotype" w:eastAsia="Palatino Linotype" w:hAnsi="Palatino Linotype"/>
          <w:i/>
          <w:iCs/>
          <w:sz w:val="16"/>
          <w:szCs w:val="16"/>
        </w:rPr>
        <w:t xml:space="preserve">Source: data/processed/placebo_tests.csv, event_window_sensitivity.csv.</w:t>
      </w:r>
    </w:p>
    <w:p>
      <w:pPr>
        <w:spacing w:after="60" w:before="120"/>
        <w:jc w:val="center"/>
      </w:pPr>
      <w:r>
        <w:drawing>
          <wp:inline distT="0" distB="0" distL="0" distR="0">
            <wp:extent cx="4953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048000"/>
                    </a:xfrm>
                    <a:prstGeom prst="rect">
                      <a:avLst/>
                    </a:prstGeom>
                  </pic:spPr>
                </pic:pic>
              </a:graphicData>
            </a:graphic>
          </wp:inline>
        </w:drawing>
      </w:r>
    </w:p>
    <w:p>
      <w:pPr>
        <w:spacing w:after="200"/>
        <w:jc w:val="center"/>
      </w:pPr>
      <w:r>
        <w:rPr>
          <w:rFonts w:ascii="Calibri" w:cs="Calibri" w:eastAsia="Calibri" w:hAnsi="Calibri"/>
          <w:b/>
          <w:bCs/>
          <w:sz w:val="18"/>
          <w:szCs w:val="18"/>
        </w:rPr>
        <w:t xml:space="preserve">Figure 7. </w:t>
      </w:r>
      <w:r>
        <w:rPr>
          <w:rFonts w:ascii="Calibri" w:cs="Calibri" w:eastAsia="Calibri" w:hAnsi="Calibri"/>
          <w:i/>
          <w:iCs/>
          <w:sz w:val="18"/>
          <w:szCs w:val="18"/>
        </w:rPr>
        <w:t xml:space="preserve">Difference-in-differences coefficient and 95% confidence interval by liquidity outcome.</w:t>
      </w:r>
    </w:p>
    <w:p>
      <w:pPr>
        <w:spacing w:after="60" w:before="120"/>
        <w:jc w:val="center"/>
      </w:pPr>
      <w:r>
        <w:drawing>
          <wp:inline distT="0" distB="0" distL="0" distR="0">
            <wp:extent cx="4953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3048000"/>
                    </a:xfrm>
                    <a:prstGeom prst="rect">
                      <a:avLst/>
                    </a:prstGeom>
                  </pic:spPr>
                </pic:pic>
              </a:graphicData>
            </a:graphic>
          </wp:inline>
        </w:drawing>
      </w:r>
    </w:p>
    <w:p>
      <w:pPr>
        <w:spacing w:after="200"/>
        <w:jc w:val="center"/>
      </w:pPr>
      <w:r>
        <w:rPr>
          <w:rFonts w:ascii="Calibri" w:cs="Calibri" w:eastAsia="Calibri" w:hAnsi="Calibri"/>
          <w:b/>
          <w:bCs/>
          <w:sz w:val="18"/>
          <w:szCs w:val="18"/>
        </w:rPr>
        <w:t xml:space="preserve">Figure 8. </w:t>
      </w:r>
      <w:r>
        <w:rPr>
          <w:rFonts w:ascii="Calibri" w:cs="Calibri" w:eastAsia="Calibri" w:hAnsi="Calibri"/>
          <w:i/>
          <w:iCs/>
          <w:sz w:val="18"/>
          <w:szCs w:val="18"/>
        </w:rPr>
        <w:t xml:space="preserve">Event-window sensitivity of the log-Amihud DiD coefficient across symmetric windows.</w:t>
      </w:r>
    </w:p>
    <w:p>
      <w:pPr>
        <w:spacing w:after="60" w:before="120"/>
        <w:jc w:val="center"/>
      </w:pPr>
      <w:r>
        <w:drawing>
          <wp:inline distT="0" distB="0" distL="0" distR="0">
            <wp:extent cx="4953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048000"/>
                    </a:xfrm>
                    <a:prstGeom prst="rect">
                      <a:avLst/>
                    </a:prstGeom>
                  </pic:spPr>
                </pic:pic>
              </a:graphicData>
            </a:graphic>
          </wp:inline>
        </w:drawing>
      </w:r>
    </w:p>
    <w:p>
      <w:pPr>
        <w:spacing w:after="200"/>
        <w:jc w:val="center"/>
      </w:pPr>
      <w:r>
        <w:rPr>
          <w:rFonts w:ascii="Calibri" w:cs="Calibri" w:eastAsia="Calibri" w:hAnsi="Calibri"/>
          <w:b/>
          <w:bCs/>
          <w:sz w:val="18"/>
          <w:szCs w:val="18"/>
        </w:rPr>
        <w:t xml:space="preserve">Figure 9. </w:t>
      </w:r>
      <w:r>
        <w:rPr>
          <w:rFonts w:ascii="Calibri" w:cs="Calibri" w:eastAsia="Calibri" w:hAnsi="Calibri"/>
          <w:i/>
          <w:iCs/>
          <w:sz w:val="18"/>
          <w:szCs w:val="18"/>
        </w:rPr>
        <w:t xml:space="preserve">Placebo pseudo-event coefficients versus the true 3 September 2025 reform estimate.</w:t>
      </w:r>
    </w:p>
    <w:p>
      <w:pPr>
        <w:spacing w:after="100" w:before="200"/>
      </w:pPr>
      <w:r>
        <w:rPr>
          <w:rFonts w:ascii="Palatino Linotype" w:cs="Palatino Linotype" w:eastAsia="Palatino Linotype" w:hAnsi="Palatino Linotype"/>
          <w:b/>
          <w:bCs/>
          <w:i/>
          <w:iCs/>
          <w:color w:val="2E4B7A"/>
          <w:sz w:val="22"/>
          <w:szCs w:val="22"/>
        </w:rPr>
        <w:t xml:space="preserve">5.4. Volatility eased for the trusts the rule touched</w:t>
      </w:r>
    </w:p>
    <w:p>
      <w:pPr>
        <w:spacing w:after="140" w:line="276"/>
        <w:jc w:val="both"/>
      </w:pPr>
      <w:r>
        <w:rPr>
          <w:rFonts w:ascii="Palatino Linotype" w:cs="Palatino Linotype" w:eastAsia="Palatino Linotype" w:hAnsi="Palatino Linotype"/>
          <w:sz w:val="21"/>
          <w:szCs w:val="21"/>
        </w:rPr>
        <w:t xml:space="preserve">Rather than assume a GARCH(1,1), we selected among GARCH, EGARCH, and GJR specifications per trust by AIC/BIC (Table 4); the AIC-minimizing winners are EGARCH for PowerGrid InvIT and Brookfield, plain GARCH for IndiGrid, IRB InvIT, and Embassy, and GJR for Mindspace — evidence that leverage/asymmetry matters for some series and that a blanket GARCH(1,1) would have been misspecified for them. Using each trust’s selected model, mean fitted conditional volatility fell for two of the three InvITs while it rose for two of the three REIT controls. The contrast is the same one the DiD captures: the trusts whose investor base the reform widened saw steadier pricing, while the unaffected controls did not. Figure 5 makes the divergence visible.</w:t>
      </w:r>
    </w:p>
    <w:p>
      <w:pPr>
        <w:spacing w:after="60" w:before="200"/>
        <w:jc w:val="left"/>
      </w:pPr>
      <w:r>
        <w:rPr>
          <w:rFonts w:ascii="Calibri" w:cs="Calibri" w:eastAsia="Calibri" w:hAnsi="Calibri"/>
          <w:b/>
          <w:bCs/>
          <w:sz w:val="19"/>
          <w:szCs w:val="19"/>
        </w:rPr>
        <w:t xml:space="preserve">Table 4. </w:t>
      </w:r>
      <w:r>
        <w:rPr>
          <w:rFonts w:ascii="Calibri" w:cs="Calibri" w:eastAsia="Calibri" w:hAnsi="Calibri"/>
          <w:sz w:val="19"/>
          <w:szCs w:val="19"/>
        </w:rPr>
        <w:t xml:space="preserve">GARCH-family model selection by AIC, per trust (Student-t innovations). Lower AIC preferred; the selected specification is in bold text in the source CSV.</w:t>
      </w:r>
    </w:p>
    <w:tbl>
      <w:tblPr>
        <w:tblW w:type="pct" w:w="100%"/>
        <w:tblBorders>
          <w:top w:val="single" w:color="1F3864" w:sz="4"/>
          <w:left w:val="none"/>
          <w:bottom w:val="single" w:color="1F3864" w:sz="4"/>
          <w:right w:val="none"/>
          <w:insideH w:val="single" w:color="BFBFBF" w:sz="2"/>
          <w:insideV w:val="none"/>
        </w:tblBorders>
      </w:tblPr>
      <w:tblGrid>
        <w:gridCol w:w="100"/>
        <w:gridCol w:w="100"/>
        <w:gridCol w:w="100"/>
        <w:gridCol w:w="100"/>
        <w:gridCol w:w="100"/>
        <w:gridCol w:w="100"/>
      </w:tblGrid>
      <w:tr>
        <w:trPr>
          <w:tblHeader/>
        </w:trPr>
        <w:tc>
          <w:tcPr>
            <w:shd w:fill="1F3864" w:val="clear"/>
            <w:tcMar>
              <w:top w:type="dxa" w:w="40"/>
              <w:left w:type="dxa" w:w="80"/>
              <w:bottom w:type="dxa" w:w="40"/>
              <w:right w:type="dxa" w:w="80"/>
            </w:tcMar>
          </w:tcPr>
          <w:p>
            <w:r>
              <w:rPr>
                <w:rFonts w:ascii="Palatino Linotype" w:cs="Palatino Linotype" w:eastAsia="Palatino Linotype" w:hAnsi="Palatino Linotype"/>
                <w:b/>
                <w:bCs/>
                <w:color w:val="FFFFFF"/>
                <w:sz w:val="18"/>
                <w:szCs w:val="18"/>
              </w:rPr>
              <w:t xml:space="preserve">Entity</w:t>
            </w:r>
          </w:p>
        </w:tc>
        <w:tc>
          <w:tcPr>
            <w:shd w:fill="1F3864" w:val="clear"/>
            <w:tcMar>
              <w:top w:type="dxa" w:w="40"/>
              <w:left w:type="dxa" w:w="80"/>
              <w:bottom w:type="dxa" w:w="40"/>
              <w:right w:type="dxa" w:w="80"/>
            </w:tcMar>
          </w:tcPr>
          <w:p>
            <w:r>
              <w:rPr>
                <w:rFonts w:ascii="Palatino Linotype" w:cs="Palatino Linotype" w:eastAsia="Palatino Linotype" w:hAnsi="Palatino Linotype"/>
                <w:b/>
                <w:bCs/>
                <w:color w:val="FFFFFF"/>
                <w:sz w:val="18"/>
                <w:szCs w:val="18"/>
              </w:rPr>
              <w:t xml:space="preserve">Type</w:t>
            </w:r>
          </w:p>
        </w:tc>
        <w:tc>
          <w:tcPr>
            <w:shd w:fill="1F3864" w:val="clear"/>
            <w:tcMar>
              <w:top w:type="dxa" w:w="40"/>
              <w:left w:type="dxa" w:w="80"/>
              <w:bottom w:type="dxa" w:w="40"/>
              <w:right w:type="dxa" w:w="80"/>
            </w:tcMar>
          </w:tcPr>
          <w:p>
            <w:r>
              <w:rPr>
                <w:rFonts w:ascii="Palatino Linotype" w:cs="Palatino Linotype" w:eastAsia="Palatino Linotype" w:hAnsi="Palatino Linotype"/>
                <w:b/>
                <w:bCs/>
                <w:color w:val="FFFFFF"/>
                <w:sz w:val="18"/>
                <w:szCs w:val="18"/>
              </w:rPr>
              <w:t xml:space="preserve">GARCH AIC</w:t>
            </w:r>
          </w:p>
        </w:tc>
        <w:tc>
          <w:tcPr>
            <w:shd w:fill="1F3864" w:val="clear"/>
            <w:tcMar>
              <w:top w:type="dxa" w:w="40"/>
              <w:left w:type="dxa" w:w="80"/>
              <w:bottom w:type="dxa" w:w="40"/>
              <w:right w:type="dxa" w:w="80"/>
            </w:tcMar>
          </w:tcPr>
          <w:p>
            <w:r>
              <w:rPr>
                <w:rFonts w:ascii="Palatino Linotype" w:cs="Palatino Linotype" w:eastAsia="Palatino Linotype" w:hAnsi="Palatino Linotype"/>
                <w:b/>
                <w:bCs/>
                <w:color w:val="FFFFFF"/>
                <w:sz w:val="18"/>
                <w:szCs w:val="18"/>
              </w:rPr>
              <w:t xml:space="preserve">EGARCH AIC</w:t>
            </w:r>
          </w:p>
        </w:tc>
        <w:tc>
          <w:tcPr>
            <w:shd w:fill="1F3864" w:val="clear"/>
            <w:tcMar>
              <w:top w:type="dxa" w:w="40"/>
              <w:left w:type="dxa" w:w="80"/>
              <w:bottom w:type="dxa" w:w="40"/>
              <w:right w:type="dxa" w:w="80"/>
            </w:tcMar>
          </w:tcPr>
          <w:p>
            <w:r>
              <w:rPr>
                <w:rFonts w:ascii="Palatino Linotype" w:cs="Palatino Linotype" w:eastAsia="Palatino Linotype" w:hAnsi="Palatino Linotype"/>
                <w:b/>
                <w:bCs/>
                <w:color w:val="FFFFFF"/>
                <w:sz w:val="18"/>
                <w:szCs w:val="18"/>
              </w:rPr>
              <w:t xml:space="preserve">GJR AIC</w:t>
            </w:r>
          </w:p>
        </w:tc>
        <w:tc>
          <w:tcPr>
            <w:shd w:fill="1F3864" w:val="clear"/>
            <w:tcMar>
              <w:top w:type="dxa" w:w="40"/>
              <w:left w:type="dxa" w:w="80"/>
              <w:bottom w:type="dxa" w:w="40"/>
              <w:right w:type="dxa" w:w="80"/>
            </w:tcMar>
          </w:tcPr>
          <w:p>
            <w:r>
              <w:rPr>
                <w:rFonts w:ascii="Palatino Linotype" w:cs="Palatino Linotype" w:eastAsia="Palatino Linotype" w:hAnsi="Palatino Linotype"/>
                <w:b/>
                <w:bCs/>
                <w:color w:val="FFFFFF"/>
                <w:sz w:val="18"/>
                <w:szCs w:val="18"/>
              </w:rPr>
              <w:t xml:space="preserve">Selected</w:t>
            </w:r>
          </w:p>
        </w:tc>
      </w:tr>
      <w:tr>
        <w:tc>
          <w:tcPr>
            <w:tcMar>
              <w:top w:type="dxa" w:w="40"/>
              <w:left w:type="dxa" w:w="80"/>
              <w:bottom w:type="dxa" w:w="40"/>
              <w:right w:type="dxa" w:w="80"/>
            </w:tcMar>
          </w:tcPr>
          <w:p>
            <w:r>
              <w:rPr>
                <w:rFonts w:ascii="Palatino Linotype" w:cs="Palatino Linotype" w:eastAsia="Palatino Linotype" w:hAnsi="Palatino Linotype"/>
                <w:sz w:val="18"/>
                <w:szCs w:val="18"/>
              </w:rPr>
              <w:t xml:space="preserve">IndiGrid</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InvIT</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916.29</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916.54</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917.13</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GARCH</w:t>
            </w:r>
          </w:p>
        </w:tc>
      </w:tr>
      <w:tr>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PowerGrid InvIT</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InvIT</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966.34</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959.58</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968.19</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EGARCH</w:t>
            </w:r>
          </w:p>
        </w:tc>
      </w:tr>
      <w:tr>
        <w:tc>
          <w:tcPr>
            <w:tcMar>
              <w:top w:type="dxa" w:w="40"/>
              <w:left w:type="dxa" w:w="80"/>
              <w:bottom w:type="dxa" w:w="40"/>
              <w:right w:type="dxa" w:w="80"/>
            </w:tcMar>
          </w:tcPr>
          <w:p>
            <w:r>
              <w:rPr>
                <w:rFonts w:ascii="Palatino Linotype" w:cs="Palatino Linotype" w:eastAsia="Palatino Linotype" w:hAnsi="Palatino Linotype"/>
                <w:sz w:val="18"/>
                <w:szCs w:val="18"/>
              </w:rPr>
              <w:t xml:space="preserve">IRB InvIT</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InvIT</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1012.62</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1016.89</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1013.99</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GARCH</w:t>
            </w:r>
          </w:p>
        </w:tc>
      </w:tr>
      <w:tr>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Embassy</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REIT</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1523.93</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1524.01</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1525.33</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GARCH</w:t>
            </w:r>
          </w:p>
        </w:tc>
      </w:tr>
      <w:tr>
        <w:tc>
          <w:tcPr>
            <w:tcMar>
              <w:top w:type="dxa" w:w="40"/>
              <w:left w:type="dxa" w:w="80"/>
              <w:bottom w:type="dxa" w:w="40"/>
              <w:right w:type="dxa" w:w="80"/>
            </w:tcMar>
          </w:tcPr>
          <w:p>
            <w:r>
              <w:rPr>
                <w:rFonts w:ascii="Palatino Linotype" w:cs="Palatino Linotype" w:eastAsia="Palatino Linotype" w:hAnsi="Palatino Linotype"/>
                <w:sz w:val="18"/>
                <w:szCs w:val="18"/>
              </w:rPr>
              <w:t xml:space="preserve">Mindspace</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REIT</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1333.74</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1335.60</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1331.96</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GJR</w:t>
            </w:r>
          </w:p>
        </w:tc>
      </w:tr>
      <w:tr>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Brookfield India</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REIT</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1286.00</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1284.19</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1287.92</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EGARCH</w:t>
            </w:r>
          </w:p>
        </w:tc>
      </w:tr>
    </w:tbl>
    <w:p>
      <w:pPr>
        <w:spacing w:after="160"/>
      </w:pPr>
      <w:r>
        <w:rPr>
          <w:rFonts w:ascii="Palatino Linotype" w:cs="Palatino Linotype" w:eastAsia="Palatino Linotype" w:hAnsi="Palatino Linotype"/>
          <w:i/>
          <w:iCs/>
          <w:sz w:val="16"/>
          <w:szCs w:val="16"/>
        </w:rPr>
        <w:t xml:space="preserve">Source: data/processed/garch_model_selection.csv.</w:t>
      </w:r>
    </w:p>
    <w:p>
      <w:pPr>
        <w:spacing w:after="6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Calibri" w:cs="Calibri" w:eastAsia="Calibri" w:hAnsi="Calibri"/>
          <w:b/>
          <w:bCs/>
          <w:sz w:val="18"/>
          <w:szCs w:val="18"/>
        </w:rPr>
        <w:t xml:space="preserve">Figure 5. </w:t>
      </w:r>
      <w:r>
        <w:rPr>
          <w:rFonts w:ascii="Calibri" w:cs="Calibri" w:eastAsia="Calibri" w:hAnsi="Calibri"/>
          <w:i/>
          <w:iCs/>
          <w:sz w:val="18"/>
          <w:szCs w:val="18"/>
        </w:rPr>
        <w:t xml:space="preserve">Selected-model conditional volatility paths; InvITs versus REIT controls around the event.</w:t>
      </w:r>
    </w:p>
    <w:p>
      <w:pPr>
        <w:spacing w:after="100" w:before="200"/>
      </w:pPr>
      <w:r>
        <w:rPr>
          <w:rFonts w:ascii="Palatino Linotype" w:cs="Palatino Linotype" w:eastAsia="Palatino Linotype" w:hAnsi="Palatino Linotype"/>
          <w:b/>
          <w:bCs/>
          <w:i/>
          <w:iCs/>
          <w:color w:val="2E4B7A"/>
          <w:sz w:val="22"/>
          <w:szCs w:val="22"/>
        </w:rPr>
        <w:t xml:space="preserve">5.5. What separates liquid from illiquid trusts</w:t>
      </w:r>
    </w:p>
    <w:p>
      <w:pPr>
        <w:spacing w:after="140" w:line="276"/>
        <w:jc w:val="both"/>
      </w:pPr>
      <w:r>
        <w:rPr>
          <w:rFonts w:ascii="Palatino Linotype" w:cs="Palatino Linotype" w:eastAsia="Palatino Linotype" w:hAnsi="Palatino Linotype"/>
          <w:sz w:val="21"/>
          <w:szCs w:val="21"/>
        </w:rPr>
        <w:t xml:space="preserve">The classification exercise is unambiguous about which feature carries the information. All three models recover liquidity tier well (ROC-AUC of 0.91, 0.90, and 0.90 for Logistic Regression, Random Forest, and XGBoost respectively; Table 5), and SHAP attributes the lion’s share of that to log rupee volume, with the high–low spread a distant second. This is reassuring rather than surprising — turnover is almost definitionally what separates liquid from illiquid names — but it validates the pipeline and tells us that any tokenized access layer aiming to improve liquidity has to move volume, not merely tighten quoted spreads.</w:t>
      </w:r>
    </w:p>
    <w:p>
      <w:pPr>
        <w:spacing w:after="60" w:before="200"/>
        <w:jc w:val="left"/>
      </w:pPr>
      <w:r>
        <w:rPr>
          <w:rFonts w:ascii="Calibri" w:cs="Calibri" w:eastAsia="Calibri" w:hAnsi="Calibri"/>
          <w:b/>
          <w:bCs/>
          <w:sz w:val="19"/>
          <w:szCs w:val="19"/>
        </w:rPr>
        <w:t xml:space="preserve">Table 5. </w:t>
      </w:r>
      <w:r>
        <w:rPr>
          <w:rFonts w:ascii="Calibri" w:cs="Calibri" w:eastAsia="Calibri" w:hAnsi="Calibri"/>
          <w:sz w:val="19"/>
          <w:szCs w:val="19"/>
        </w:rPr>
        <w:t xml:space="preserve">Liquidity-tier classification performance (5-fold cross-validated).</w:t>
      </w:r>
    </w:p>
    <w:tbl>
      <w:tblPr>
        <w:tblW w:type="pct" w:w="100%"/>
        <w:tblBorders>
          <w:top w:val="single" w:color="1F3864" w:sz="4"/>
          <w:left w:val="none"/>
          <w:bottom w:val="single" w:color="1F3864" w:sz="4"/>
          <w:right w:val="none"/>
          <w:insideH w:val="single" w:color="BFBFBF" w:sz="2"/>
          <w:insideV w:val="none"/>
        </w:tblBorders>
      </w:tblPr>
      <w:tblGrid>
        <w:gridCol w:w="100"/>
        <w:gridCol w:w="100"/>
        <w:gridCol w:w="100"/>
      </w:tblGrid>
      <w:tr>
        <w:trPr>
          <w:tblHeader/>
        </w:trPr>
        <w:tc>
          <w:tcPr>
            <w:shd w:fill="1F3864" w:val="clear"/>
            <w:tcMar>
              <w:top w:type="dxa" w:w="40"/>
              <w:left w:type="dxa" w:w="80"/>
              <w:bottom w:type="dxa" w:w="40"/>
              <w:right w:type="dxa" w:w="80"/>
            </w:tcMar>
          </w:tcPr>
          <w:p>
            <w:r>
              <w:rPr>
                <w:rFonts w:ascii="Palatino Linotype" w:cs="Palatino Linotype" w:eastAsia="Palatino Linotype" w:hAnsi="Palatino Linotype"/>
                <w:b/>
                <w:bCs/>
                <w:color w:val="FFFFFF"/>
                <w:sz w:val="18"/>
                <w:szCs w:val="18"/>
              </w:rPr>
              <w:t xml:space="preserve">Model</w:t>
            </w:r>
          </w:p>
        </w:tc>
        <w:tc>
          <w:tcPr>
            <w:shd w:fill="1F3864" w:val="clear"/>
            <w:tcMar>
              <w:top w:type="dxa" w:w="40"/>
              <w:left w:type="dxa" w:w="80"/>
              <w:bottom w:type="dxa" w:w="40"/>
              <w:right w:type="dxa" w:w="80"/>
            </w:tcMar>
          </w:tcPr>
          <w:p>
            <w:r>
              <w:rPr>
                <w:rFonts w:ascii="Palatino Linotype" w:cs="Palatino Linotype" w:eastAsia="Palatino Linotype" w:hAnsi="Palatino Linotype"/>
                <w:b/>
                <w:bCs/>
                <w:color w:val="FFFFFF"/>
                <w:sz w:val="18"/>
                <w:szCs w:val="18"/>
              </w:rPr>
              <w:t xml:space="preserve">Accuracy</w:t>
            </w:r>
          </w:p>
        </w:tc>
        <w:tc>
          <w:tcPr>
            <w:shd w:fill="1F3864" w:val="clear"/>
            <w:tcMar>
              <w:top w:type="dxa" w:w="40"/>
              <w:left w:type="dxa" w:w="80"/>
              <w:bottom w:type="dxa" w:w="40"/>
              <w:right w:type="dxa" w:w="80"/>
            </w:tcMar>
          </w:tcPr>
          <w:p>
            <w:r>
              <w:rPr>
                <w:rFonts w:ascii="Palatino Linotype" w:cs="Palatino Linotype" w:eastAsia="Palatino Linotype" w:hAnsi="Palatino Linotype"/>
                <w:b/>
                <w:bCs/>
                <w:color w:val="FFFFFF"/>
                <w:sz w:val="18"/>
                <w:szCs w:val="18"/>
              </w:rPr>
              <w:t xml:space="preserve">ROC-AUC</w:t>
            </w:r>
          </w:p>
        </w:tc>
      </w:tr>
      <w:tr>
        <w:tc>
          <w:tcPr>
            <w:tcMar>
              <w:top w:type="dxa" w:w="40"/>
              <w:left w:type="dxa" w:w="80"/>
              <w:bottom w:type="dxa" w:w="40"/>
              <w:right w:type="dxa" w:w="80"/>
            </w:tcMar>
          </w:tcPr>
          <w:p>
            <w:r>
              <w:rPr>
                <w:rFonts w:ascii="Palatino Linotype" w:cs="Palatino Linotype" w:eastAsia="Palatino Linotype" w:hAnsi="Palatino Linotype"/>
                <w:sz w:val="18"/>
                <w:szCs w:val="18"/>
              </w:rPr>
              <w:t xml:space="preserve">Logistic Regression</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0.844</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0.906</w:t>
            </w:r>
          </w:p>
        </w:tc>
      </w:tr>
      <w:tr>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Random Forest</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0.857</w:t>
            </w:r>
          </w:p>
        </w:tc>
        <w:tc>
          <w:tcPr>
            <w:shd w:fill="EFF2F7" w:val="clear"/>
            <w:tcMar>
              <w:top w:type="dxa" w:w="40"/>
              <w:left w:type="dxa" w:w="80"/>
              <w:bottom w:type="dxa" w:w="40"/>
              <w:right w:type="dxa" w:w="80"/>
            </w:tcMar>
          </w:tcPr>
          <w:p>
            <w:r>
              <w:rPr>
                <w:rFonts w:ascii="Palatino Linotype" w:cs="Palatino Linotype" w:eastAsia="Palatino Linotype" w:hAnsi="Palatino Linotype"/>
                <w:sz w:val="18"/>
                <w:szCs w:val="18"/>
              </w:rPr>
              <w:t xml:space="preserve">0.900</w:t>
            </w:r>
          </w:p>
        </w:tc>
      </w:tr>
      <w:tr>
        <w:tc>
          <w:tcPr>
            <w:tcMar>
              <w:top w:type="dxa" w:w="40"/>
              <w:left w:type="dxa" w:w="80"/>
              <w:bottom w:type="dxa" w:w="40"/>
              <w:right w:type="dxa" w:w="80"/>
            </w:tcMar>
          </w:tcPr>
          <w:p>
            <w:r>
              <w:rPr>
                <w:rFonts w:ascii="Palatino Linotype" w:cs="Palatino Linotype" w:eastAsia="Palatino Linotype" w:hAnsi="Palatino Linotype"/>
                <w:sz w:val="18"/>
                <w:szCs w:val="18"/>
              </w:rPr>
              <w:t xml:space="preserve">XGBoost</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0.826</w:t>
            </w:r>
          </w:p>
        </w:tc>
        <w:tc>
          <w:tcPr>
            <w:tcMar>
              <w:top w:type="dxa" w:w="40"/>
              <w:left w:type="dxa" w:w="80"/>
              <w:bottom w:type="dxa" w:w="40"/>
              <w:right w:type="dxa" w:w="80"/>
            </w:tcMar>
          </w:tcPr>
          <w:p>
            <w:r>
              <w:rPr>
                <w:rFonts w:ascii="Palatino Linotype" w:cs="Palatino Linotype" w:eastAsia="Palatino Linotype" w:hAnsi="Palatino Linotype"/>
                <w:sz w:val="18"/>
                <w:szCs w:val="18"/>
              </w:rPr>
              <w:t xml:space="preserve">0.901</w:t>
            </w:r>
          </w:p>
        </w:tc>
      </w:tr>
    </w:tbl>
    <w:p>
      <w:pPr>
        <w:spacing w:after="160"/>
      </w:pPr>
      <w:r>
        <w:rPr>
          <w:rFonts w:ascii="Palatino Linotype" w:cs="Palatino Linotype" w:eastAsia="Palatino Linotype" w:hAnsi="Palatino Linotype"/>
          <w:i/>
          <w:iCs/>
          <w:sz w:val="16"/>
          <w:szCs w:val="16"/>
        </w:rPr>
        <w:t xml:space="preserve">Source: data/processed/ml_classification_results.csv.</w:t>
      </w:r>
    </w:p>
    <w:p>
      <w:pPr>
        <w:spacing w:after="60" w:before="120"/>
        <w:jc w:val="center"/>
      </w:pPr>
      <w:r>
        <w:drawing>
          <wp:inline distT="0" distB="0" distL="0" distR="0">
            <wp:extent cx="4762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971800"/>
                    </a:xfrm>
                    <a:prstGeom prst="rect">
                      <a:avLst/>
                    </a:prstGeom>
                  </pic:spPr>
                </pic:pic>
              </a:graphicData>
            </a:graphic>
          </wp:inline>
        </w:drawing>
      </w:r>
    </w:p>
    <w:p>
      <w:pPr>
        <w:spacing w:after="200"/>
        <w:jc w:val="center"/>
      </w:pPr>
      <w:r>
        <w:rPr>
          <w:rFonts w:ascii="Calibri" w:cs="Calibri" w:eastAsia="Calibri" w:hAnsi="Calibri"/>
          <w:b/>
          <w:bCs/>
          <w:sz w:val="18"/>
          <w:szCs w:val="18"/>
        </w:rPr>
        <w:t xml:space="preserve">Figure 6. </w:t>
      </w:r>
      <w:r>
        <w:rPr>
          <w:rFonts w:ascii="Calibri" w:cs="Calibri" w:eastAsia="Calibri" w:hAnsi="Calibri"/>
          <w:i/>
          <w:iCs/>
          <w:sz w:val="18"/>
          <w:szCs w:val="18"/>
        </w:rPr>
        <w:t xml:space="preserve">SHAP mean absolute feature importance for the liquidity-tier classifier.</w:t>
      </w:r>
    </w:p>
    <w:p>
      <w:pPr>
        <w:spacing w:after="60" w:before="120"/>
        <w:jc w:val="center"/>
      </w:pPr>
      <w:r>
        <w:drawing>
          <wp:inline distT="0" distB="0" distL="0" distR="0">
            <wp:extent cx="5334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429000"/>
                    </a:xfrm>
                    <a:prstGeom prst="rect">
                      <a:avLst/>
                    </a:prstGeom>
                  </pic:spPr>
                </pic:pic>
              </a:graphicData>
            </a:graphic>
          </wp:inline>
        </w:drawing>
      </w:r>
    </w:p>
    <w:p>
      <w:pPr>
        <w:spacing w:after="200"/>
        <w:jc w:val="center"/>
      </w:pPr>
      <w:r>
        <w:rPr>
          <w:rFonts w:ascii="Calibri" w:cs="Calibri" w:eastAsia="Calibri" w:hAnsi="Calibri"/>
          <w:b/>
          <w:bCs/>
          <w:sz w:val="18"/>
          <w:szCs w:val="18"/>
        </w:rPr>
        <w:t xml:space="preserve">Figure 10. </w:t>
      </w:r>
      <w:r>
        <w:rPr>
          <w:rFonts w:ascii="Calibri" w:cs="Calibri" w:eastAsia="Calibri" w:hAnsi="Calibri"/>
          <w:i/>
          <w:iCs/>
          <w:sz w:val="18"/>
          <w:szCs w:val="18"/>
        </w:rPr>
        <w:t xml:space="preserve">Six-proxy pre/post robustness panel for the InvIT group and REIT controls.</w:t>
      </w:r>
    </w:p>
    <w:p>
      <w:pPr>
        <w:spacing w:after="100" w:before="200"/>
      </w:pPr>
      <w:r>
        <w:rPr>
          <w:rFonts w:ascii="Palatino Linotype" w:cs="Palatino Linotype" w:eastAsia="Palatino Linotype" w:hAnsi="Palatino Linotype"/>
          <w:b/>
          <w:bCs/>
          <w:i/>
          <w:iCs/>
          <w:color w:val="2E4B7A"/>
          <w:sz w:val="22"/>
          <w:szCs w:val="22"/>
        </w:rPr>
        <w:t xml:space="preserve">5.6. Reading the chi-square honestly</w:t>
      </w:r>
    </w:p>
    <w:p>
      <w:pPr>
        <w:spacing w:after="140" w:line="276"/>
        <w:jc w:val="both"/>
      </w:pPr>
      <w:r>
        <w:rPr>
          <w:rFonts w:ascii="Palatino Linotype" w:cs="Palatino Linotype" w:eastAsia="Palatino Linotype" w:hAnsi="Palatino Linotype"/>
          <w:sz w:val="21"/>
          <w:szCs w:val="21"/>
        </w:rPr>
        <w:t xml:space="preserve">The stale-day chi-square points the right way — six zero-return days in the low-liquidity tier against one in the high-liquidity tier — but at the entity-day level it is not significant (χ² = 2.24, p = 0.13; chi_square_access.csv). With so few stale days in a six-trust panel, we would be over-interpreting to call this anything more than consistent with the liquidity story.</w:t>
      </w:r>
    </w:p>
    <w:p>
      <w:pPr>
        <w:spacing w:after="120" w:before="280"/>
      </w:pPr>
      <w:r>
        <w:rPr>
          <w:rFonts w:ascii="Palatino Linotype" w:cs="Palatino Linotype" w:eastAsia="Palatino Linotype" w:hAnsi="Palatino Linotype"/>
          <w:b/>
          <w:bCs/>
          <w:color w:val="1F3864"/>
          <w:sz w:val="26"/>
          <w:szCs w:val="26"/>
        </w:rPr>
        <w:t xml:space="preserve">6. The Survey Arm (Pending)</w:t>
      </w:r>
    </w:p>
    <w:p>
      <w:pPr>
        <w:spacing w:after="140" w:line="276"/>
        <w:jc w:val="both"/>
      </w:pPr>
      <w:r>
        <w:rPr>
          <w:rFonts w:ascii="Palatino Linotype" w:cs="Palatino Linotype" w:eastAsia="Palatino Linotype" w:hAnsi="Palatino Linotype"/>
          <w:sz w:val="21"/>
          <w:szCs w:val="21"/>
        </w:rPr>
        <w:t xml:space="preserve">The project’s second data stream is a practitioner survey covering awareness, diversification motive, risk perception, regulatory trust, blockchain reliability, and adoption intention, targeting at least 250 institutional and advisory respondents drawn from a 125-prospect register (SAMPLE_FRAME.md). The instrument is finalized; the field collection is not yet done. No responses have been collected, simulated, or imputed, and the adoption logistic-regression script (notebooks/04_survey_adoption_PENDING.py) deliberately aborts unless a real response file is present. We report this arm as pending so that the empirical claims in this paper rest entirely on observed market data.</w:t>
      </w:r>
    </w:p>
    <w:p>
      <w:pPr>
        <w:spacing w:after="120" w:before="280"/>
      </w:pPr>
      <w:r>
        <w:rPr>
          <w:rFonts w:ascii="Palatino Linotype" w:cs="Palatino Linotype" w:eastAsia="Palatino Linotype" w:hAnsi="Palatino Linotype"/>
          <w:b/>
          <w:bCs/>
          <w:color w:val="1F3864"/>
          <w:sz w:val="26"/>
          <w:szCs w:val="26"/>
        </w:rPr>
        <w:t xml:space="preserve">7. Discussion</w:t>
      </w:r>
    </w:p>
    <w:p>
      <w:pPr>
        <w:spacing w:after="140" w:line="276"/>
        <w:jc w:val="both"/>
      </w:pPr>
      <w:r>
        <w:rPr>
          <w:rFonts w:ascii="Palatino Linotype" w:cs="Palatino Linotype" w:eastAsia="Palatino Linotype" w:hAnsi="Palatino Linotype"/>
          <w:sz w:val="21"/>
          <w:szCs w:val="21"/>
        </w:rPr>
        <w:t xml:space="preserve">What should a reader take from this? Three things, stated at the level of confidence the data support. First, the reform was followed by a large, internally consistent univariate improvement in liquidity — every cost- and impact-based proxy strengthened and both volume proxies roughly doubled — concentrated in the InvITs it targeted. Second, the formal difference-in-differences against REIT controls is correctly signed and about three times larger than any placebo, but it is not statistically significant once common time trends are differenced out and standard errors are clustered across only three treated trusts; the one DiD coefficient that does clear significance is the high–low spread. Third, conditional volatility eased for the affected trusts but not the controls, and the cross-section is wide enough that the thinly traded names like IRB InvIT — those with the most to gain from access-widening — improved most.</w:t>
      </w:r>
    </w:p>
    <w:p>
      <w:pPr>
        <w:spacing w:after="140" w:line="276"/>
        <w:jc w:val="both"/>
      </w:pPr>
      <w:r>
        <w:rPr>
          <w:rFonts w:ascii="Palatino Linotype" w:cs="Palatino Linotype" w:eastAsia="Palatino Linotype" w:hAnsi="Palatino Linotype"/>
          <w:sz w:val="21"/>
          <w:szCs w:val="21"/>
        </w:rPr>
        <w:t xml:space="preserve">The honest synthesis is therefore narrower than the univariate headline alone would suggest. The strong pooled results establish that liquidity moved in the predicted direction; the underpowered DiD establishes that, with only three treated units and REIT controls, we cannot yet certify that move as a clean causal effect net of market-wide trends. We regard this not as a weakness to paper over but as the correct calibration of confidence for a three-trust treated population, and the entity-block bootstrap and placebo battery are reported precisely so the reader can see where the evidence is strong (direction, magnitude relative to placebo) and where it is not (conventional significance).</w:t>
      </w:r>
    </w:p>
    <w:p>
      <w:pPr>
        <w:spacing w:after="140" w:line="276"/>
        <w:jc w:val="both"/>
      </w:pPr>
      <w:r>
        <w:rPr>
          <w:rFonts w:ascii="Palatino Linotype" w:cs="Palatino Linotype" w:eastAsia="Palatino Linotype" w:hAnsi="Palatino Linotype"/>
          <w:sz w:val="21"/>
          <w:szCs w:val="21"/>
        </w:rPr>
        <w:t xml:space="preserve">For tokenization specifically, the implication is cautious optimism with a caveat. Lowering the entry ticket did appear to pull in marginal trading, which is the mechanism tokenization markets itself on. But the causal estimate is noisy, and a regulatory minimum cut is a blunter instrument than fractionalization to sub-lakh denominations. If a ₹75 lakh reduction in the ticket moves liquidity this modestly and this imprecisely, the burden is on tokenization proponents to show that going further — to genuinely retail denominations — clears the additional frictions (custody, KYC at scale, secondary-market depth) rather than simply assuming it.</w:t>
      </w:r>
    </w:p>
    <w:p>
      <w:pPr>
        <w:spacing w:after="120" w:before="280"/>
      </w:pPr>
      <w:r>
        <w:rPr>
          <w:rFonts w:ascii="Palatino Linotype" w:cs="Palatino Linotype" w:eastAsia="Palatino Linotype" w:hAnsi="Palatino Linotype"/>
          <w:b/>
          <w:bCs/>
          <w:color w:val="1F3864"/>
          <w:sz w:val="26"/>
          <w:szCs w:val="26"/>
        </w:rPr>
        <w:t xml:space="preserve">8. Limitations</w:t>
      </w:r>
    </w:p>
    <w:p>
      <w:pPr>
        <w:spacing w:after="140" w:line="276"/>
        <w:jc w:val="both"/>
      </w:pPr>
      <w:r>
        <w:rPr>
          <w:rFonts w:ascii="Palatino Linotype" w:cs="Palatino Linotype" w:eastAsia="Palatino Linotype" w:hAnsi="Palatino Linotype"/>
          <w:sz w:val="21"/>
          <w:szCs w:val="21"/>
        </w:rPr>
        <w:t xml:space="preserve">The binding limitation is statistical power: with only three treated trusts, the difference-in-differences is underpowered, and we say so plainly rather than reporting the strong univariate result in isolation. Two intended InvITs (National Highways, Cube Highways) were outside provider coverage, which would otherwise have enlarged the treated group. We use a continuous two-year panel so the DiD can absorb common time trends and so placebo and event-window checks have adequate pre-period data, but a larger treated population, not a longer window, is what the design ultimately needs. We measure liquidity with EOD-derived proxies, not order-book data, because intraday depth is not freely redistributable. The survey arm is unfielded, and the machine-learning classifier is a pipeline proof on liquidity tiers, not a test of the tokenization hypothesis. And, most fundamentally, no tokenized InvIT yet exists, so every inference about tokenization is by analogy to the access-widening reform rather than a direct test.</w:t>
      </w:r>
    </w:p>
    <w:p>
      <w:pPr>
        <w:spacing w:after="120" w:before="280"/>
      </w:pPr>
      <w:r>
        <w:rPr>
          <w:rFonts w:ascii="Palatino Linotype" w:cs="Palatino Linotype" w:eastAsia="Palatino Linotype" w:hAnsi="Palatino Linotype"/>
          <w:b/>
          <w:bCs/>
          <w:color w:val="1F3864"/>
          <w:sz w:val="26"/>
          <w:szCs w:val="26"/>
        </w:rPr>
        <w:t xml:space="preserve">9. Conclusions</w:t>
      </w:r>
    </w:p>
    <w:p>
      <w:pPr>
        <w:spacing w:after="140" w:line="276"/>
        <w:jc w:val="both"/>
      </w:pPr>
      <w:r>
        <w:rPr>
          <w:rFonts w:ascii="Palatino Linotype" w:cs="Palatino Linotype" w:eastAsia="Palatino Linotype" w:hAnsi="Palatino Linotype"/>
          <w:sz w:val="21"/>
          <w:szCs w:val="21"/>
        </w:rPr>
        <w:t xml:space="preserve">SEBI’s September 2025 InvIT reform offers a rare, clean look at what happens to a listed-trust market when the regulator widens access. Liquidity improved on average and volatility eased for the affected trusts, with the effects concentrated where they were most needed; the formal difference-in-differences confirms the direction and magnitude while being candid that a three-trust treated group cannot yet deliver conventional significance. The results are encouraging for the broad thesis behind tokenization — that access drives liquidity — while being honest that a minimum-ticket cut is only a partial rehearsal for fractional, on-chain ownership, and that the causal estimate is correctly signed rather than precisely pinned. The identification-aware empirical baseline established here is the contribution: future tokenized structures, when they arrive, now have a measured, benchmarked, and honestly-bounded effect to beat.</w:t>
      </w:r>
    </w:p>
    <w:p>
      <w:pPr>
        <w:spacing w:after="120" w:before="280"/>
      </w:pPr>
      <w:r>
        <w:rPr>
          <w:rFonts w:ascii="Palatino Linotype" w:cs="Palatino Linotype" w:eastAsia="Palatino Linotype" w:hAnsi="Palatino Linotype"/>
          <w:b/>
          <w:bCs/>
          <w:color w:val="1F3864"/>
          <w:sz w:val="26"/>
          <w:szCs w:val="26"/>
        </w:rPr>
        <w:t xml:space="preserve">Data Availability Statement</w:t>
      </w:r>
    </w:p>
    <w:p>
      <w:pPr>
        <w:spacing w:after="140" w:line="276"/>
        <w:jc w:val="both"/>
      </w:pPr>
      <w:r>
        <w:rPr>
          <w:rFonts w:ascii="Palatino Linotype" w:cs="Palatino Linotype" w:eastAsia="Palatino Linotype" w:hAnsi="Palatino Linotype"/>
          <w:sz w:val="21"/>
          <w:szCs w:val="21"/>
        </w:rPr>
        <w:t xml:space="preserve">All raw data, coded regulatory provisions, analysis notebooks, processed result tables, and 300-DPI figures are committed to the public repository at https://github.com/SanKabira/P2-BInvIT-India-Tokenization-Empirical. Market data were obtained through the Perplexity Finance connector; the continuous January 2024–December 2025 panel (2,954 entity-days) was pulled on 2026-06-09 and committed under data/raw/Finance_Connector/. NSE/BSE redistribution restrictions are noted in DATA_SOURCES.md with retrieval URLs and access dates. SEBI documents are SEBI’s own gazette PDFs. No survey responses were collected or fabricated; survey-dependent analyses are marked pending. The full pipeline runs end-to-end from notebooks/01_liquidity_event_study.py through notebooks/03_ml_garch.py, with the difference-in-differences, bootstrap, placebo, event-window, and GARCH model-selection robustness suite in notebooks/05_did_robustness.py.</w:t>
      </w:r>
    </w:p>
    <w:p>
      <w:pPr>
        <w:spacing w:after="120" w:before="280"/>
      </w:pPr>
      <w:r>
        <w:rPr>
          <w:rFonts w:ascii="Palatino Linotype" w:cs="Palatino Linotype" w:eastAsia="Palatino Linotype" w:hAnsi="Palatino Linotype"/>
          <w:b/>
          <w:bCs/>
          <w:color w:val="1F3864"/>
          <w:sz w:val="26"/>
          <w:szCs w:val="26"/>
        </w:rPr>
        <w:t xml:space="preserve">Conflicts of Interest</w:t>
      </w:r>
    </w:p>
    <w:p>
      <w:pPr>
        <w:spacing w:after="140" w:line="276"/>
        <w:jc w:val="both"/>
      </w:pPr>
      <w:r>
        <w:rPr>
          <w:rFonts w:ascii="Palatino Linotype" w:cs="Palatino Linotype" w:eastAsia="Palatino Linotype" w:hAnsi="Palatino Linotype"/>
          <w:sz w:val="21"/>
          <w:szCs w:val="21"/>
        </w:rPr>
        <w:t xml:space="preserve">The author declares no conflict of interest.</w:t>
      </w:r>
    </w:p>
    <w:p>
      <w:pPr>
        <w:spacing w:after="120" w:before="280"/>
      </w:pPr>
      <w:r>
        <w:rPr>
          <w:rFonts w:ascii="Palatino Linotype" w:cs="Palatino Linotype" w:eastAsia="Palatino Linotype" w:hAnsi="Palatino Linotype"/>
          <w:b/>
          <w:bCs/>
          <w:color w:val="1F3864"/>
          <w:sz w:val="26"/>
          <w:szCs w:val="26"/>
        </w:rPr>
        <w:t xml:space="preserve">References</w:t>
      </w:r>
    </w:p>
    <w:p>
      <w:pPr>
        <w:spacing w:after="80"/>
        <w:ind w:left="360" w:hanging="360"/>
      </w:pPr>
      <w:r>
        <w:rPr>
          <w:rFonts w:ascii="Palatino Linotype" w:cs="Palatino Linotype" w:eastAsia="Palatino Linotype" w:hAnsi="Palatino Linotype"/>
          <w:sz w:val="18"/>
          <w:szCs w:val="18"/>
        </w:rPr>
        <w:t xml:space="preserve">Amihud, Y. (2002). Illiquidity and stock returns: cross-section and time-series effects. Journal of Financial Markets, 5(1), 31–56. https://doi.org/10.1016/S1386-4181(01)00024-6</w:t>
      </w:r>
    </w:p>
    <w:p>
      <w:pPr>
        <w:spacing w:after="80"/>
        <w:ind w:left="360" w:hanging="360"/>
      </w:pPr>
      <w:r>
        <w:rPr>
          <w:rFonts w:ascii="Palatino Linotype" w:cs="Palatino Linotype" w:eastAsia="Palatino Linotype" w:hAnsi="Palatino Linotype"/>
          <w:sz w:val="18"/>
          <w:szCs w:val="18"/>
        </w:rPr>
        <w:t xml:space="preserve">Ardia, D., Guidotti, E., &amp; Kroencke, T. A. (2024). Efficient estimation of bid–ask spreads from open, high, low, and close prices. Journal of Financial Economics, 161, 103916. https://doi.org/10.1016/j.jfineco.2024.103916</w:t>
      </w:r>
    </w:p>
    <w:p>
      <w:pPr>
        <w:spacing w:after="80"/>
        <w:ind w:left="360" w:hanging="360"/>
      </w:pPr>
      <w:r>
        <w:rPr>
          <w:rFonts w:ascii="Palatino Linotype" w:cs="Palatino Linotype" w:eastAsia="Palatino Linotype" w:hAnsi="Palatino Linotype"/>
          <w:sz w:val="18"/>
          <w:szCs w:val="18"/>
        </w:rPr>
        <w:t xml:space="preserve">AZB &amp; Partners. (2025). SEBI Amends InvIT Regulations and REIT Regulations. https://www.azbpartners.com/bank/sebi-amends-invit-regulations-and-reit-regulations/</w:t>
      </w:r>
    </w:p>
    <w:p>
      <w:pPr>
        <w:spacing w:after="80"/>
        <w:ind w:left="360" w:hanging="360"/>
      </w:pPr>
      <w:r>
        <w:rPr>
          <w:rFonts w:ascii="Palatino Linotype" w:cs="Palatino Linotype" w:eastAsia="Palatino Linotype" w:hAnsi="Palatino Linotype"/>
          <w:sz w:val="18"/>
          <w:szCs w:val="18"/>
        </w:rPr>
        <w:t xml:space="preserve">Będowska-Sójka, B., Echaust, K., &amp; Just, M. (2022). The asymmetry of the Amihud illiquidity measure on the European markets: The evidence from Extreme Value Theory. Journal of International Financial Markets, Institutions and Money, 78, 101563. https://doi.org/10.1016/j.intfin.2022.101563</w:t>
      </w:r>
    </w:p>
    <w:p>
      <w:pPr>
        <w:spacing w:after="80"/>
        <w:ind w:left="360" w:hanging="360"/>
      </w:pPr>
      <w:r>
        <w:rPr>
          <w:rFonts w:ascii="Palatino Linotype" w:cs="Palatino Linotype" w:eastAsia="Palatino Linotype" w:hAnsi="Palatino Linotype"/>
          <w:sz w:val="18"/>
          <w:szCs w:val="18"/>
        </w:rPr>
        <w:t xml:space="preserve">Bollerslev, T. (1986). Generalized autoregressive conditional heteroskedasticity. Journal of Econometrics, 31(3), 307–327. https://doi.org/10.1016/0304-4076(86)90063-1</w:t>
      </w:r>
    </w:p>
    <w:p>
      <w:pPr>
        <w:spacing w:after="80"/>
        <w:ind w:left="360" w:hanging="360"/>
      </w:pPr>
      <w:r>
        <w:rPr>
          <w:rFonts w:ascii="Palatino Linotype" w:cs="Palatino Linotype" w:eastAsia="Palatino Linotype" w:hAnsi="Palatino Linotype"/>
          <w:sz w:val="18"/>
          <w:szCs w:val="18"/>
        </w:rPr>
        <w:t xml:space="preserve">Chen, T., &amp; Guestrin, C. (2016). XGBoost: A scalable tree boosting system. In Proceedings of the 22nd ACM SIGKDD (pp. 785–794). https://doi.org/10.1145/2939672.2939785</w:t>
      </w:r>
    </w:p>
    <w:p>
      <w:pPr>
        <w:spacing w:after="80"/>
        <w:ind w:left="360" w:hanging="360"/>
      </w:pPr>
      <w:r>
        <w:rPr>
          <w:rFonts w:ascii="Palatino Linotype" w:cs="Palatino Linotype" w:eastAsia="Palatino Linotype" w:hAnsi="Palatino Linotype"/>
          <w:sz w:val="18"/>
          <w:szCs w:val="18"/>
        </w:rPr>
        <w:t xml:space="preserve">Corwin, S. A., &amp; Schultz, P. (2012). A simple way to estimate bid-ask spreads from daily high and low prices. The Journal of Finance, 67(2), 719–760. https://doi.org/10.1111/j.1540-6261.2012.01729.x</w:t>
      </w:r>
    </w:p>
    <w:p>
      <w:pPr>
        <w:spacing w:after="80"/>
        <w:ind w:left="360" w:hanging="360"/>
      </w:pPr>
      <w:r>
        <w:rPr>
          <w:rFonts w:ascii="Palatino Linotype" w:cs="Palatino Linotype" w:eastAsia="Palatino Linotype" w:hAnsi="Palatino Linotype"/>
          <w:sz w:val="18"/>
          <w:szCs w:val="18"/>
        </w:rPr>
        <w:t xml:space="preserve">Deloitte Center for Financial Services. (2025). Tokenized real estate: A blockchain-based pathway to a US$4 trillion market by 2035.</w:t>
      </w:r>
    </w:p>
    <w:p>
      <w:pPr>
        <w:spacing w:after="80"/>
        <w:ind w:left="360" w:hanging="360"/>
      </w:pPr>
      <w:r>
        <w:rPr>
          <w:rFonts w:ascii="Palatino Linotype" w:cs="Palatino Linotype" w:eastAsia="Palatino Linotype" w:hAnsi="Palatino Linotype"/>
          <w:sz w:val="18"/>
          <w:szCs w:val="18"/>
        </w:rPr>
        <w:t xml:space="preserve">El Jaouhari, A., Samadhiya, A., Kumar, A., Chokshi, H., Šešplaukis, A., &amp; Raslanas, S. (2025). Tokenization and the future of property investment: a new paradigm for real estate. International Journal of Strategic Property Management, 29(4), 297–315. https://doi.org/10.3846/ijspm.2025.24814</w:t>
      </w:r>
    </w:p>
    <w:p>
      <w:pPr>
        <w:spacing w:after="80"/>
        <w:ind w:left="360" w:hanging="360"/>
      </w:pPr>
      <w:r>
        <w:rPr>
          <w:rFonts w:ascii="Palatino Linotype" w:cs="Palatino Linotype" w:eastAsia="Palatino Linotype" w:hAnsi="Palatino Linotype"/>
          <w:sz w:val="18"/>
          <w:szCs w:val="18"/>
        </w:rPr>
        <w:t xml:space="preserve">Essa, M. S., &amp; Giouvris, E. (2023). What is the effect of VIX and (un)expected illiquidity on sectoral herding in US REITs during (non)crises? Evidence from a Markov switching model (2014–2022). Journal of Behavioral Finance, 26(1), 95–117. https://doi.org/10.1080/15427560.2023.2249155</w:t>
      </w:r>
    </w:p>
    <w:p>
      <w:pPr>
        <w:spacing w:after="80"/>
        <w:ind w:left="360" w:hanging="360"/>
      </w:pPr>
      <w:r>
        <w:rPr>
          <w:rFonts w:ascii="Palatino Linotype" w:cs="Palatino Linotype" w:eastAsia="Palatino Linotype" w:hAnsi="Palatino Linotype"/>
          <w:sz w:val="18"/>
          <w:szCs w:val="18"/>
        </w:rPr>
        <w:t xml:space="preserve">Glosten, L. R., Jagannathan, R., &amp; Runkle, D. E. (1993). On the relation between the expected value and the volatility of the nominal excess return on stocks. The Journal of Finance, 48(5), 1779–1801. https://doi.org/10.1111/j.1540-6261.1993.tb05128.x</w:t>
      </w:r>
    </w:p>
    <w:p>
      <w:pPr>
        <w:spacing w:after="80"/>
        <w:ind w:left="360" w:hanging="360"/>
      </w:pPr>
      <w:r>
        <w:rPr>
          <w:rFonts w:ascii="Palatino Linotype" w:cs="Palatino Linotype" w:eastAsia="Palatino Linotype" w:hAnsi="Palatino Linotype"/>
          <w:sz w:val="18"/>
          <w:szCs w:val="18"/>
        </w:rPr>
        <w:t xml:space="preserve">Hafner, C. M., Linton, O. B., &amp; Wang, L. (2024). Dynamic Autoregressive Liquidity (DArLiQ). Journal of Business &amp; Economic Statistics, 42(2), 774–785. https://doi.org/10.1080/07350015.2023.2238790</w:t>
      </w:r>
    </w:p>
    <w:p>
      <w:pPr>
        <w:spacing w:after="80"/>
        <w:ind w:left="360" w:hanging="360"/>
      </w:pPr>
      <w:r>
        <w:rPr>
          <w:rFonts w:ascii="Palatino Linotype" w:cs="Palatino Linotype" w:eastAsia="Palatino Linotype" w:hAnsi="Palatino Linotype"/>
          <w:sz w:val="18"/>
          <w:szCs w:val="18"/>
        </w:rPr>
        <w:t xml:space="preserve">Lee, H.-C., Lien, D., Sheu, H.-J., &amp; Yang, C.-J. (2024). An extension analysis of Amihud's illiquidity premium: Evidence from the Taiwan stock market. Pacific-Basin Finance Journal, 87, 102483. https://doi.org/10.1016/j.pacfin.2024.102483</w:t>
      </w:r>
    </w:p>
    <w:p>
      <w:pPr>
        <w:spacing w:after="80"/>
        <w:ind w:left="360" w:hanging="360"/>
      </w:pPr>
      <w:r>
        <w:rPr>
          <w:rFonts w:ascii="Palatino Linotype" w:cs="Palatino Linotype" w:eastAsia="Palatino Linotype" w:hAnsi="Palatino Linotype"/>
          <w:sz w:val="18"/>
          <w:szCs w:val="18"/>
        </w:rPr>
        <w:t xml:space="preserve">Lundberg, S. M., &amp; Lee, S.-I. (2017). A unified approach to interpreting model predictions. Advances in Neural Information Processing Systems, 30, 4765–4774.</w:t>
      </w:r>
    </w:p>
    <w:p>
      <w:pPr>
        <w:spacing w:after="80"/>
        <w:ind w:left="360" w:hanging="360"/>
      </w:pPr>
      <w:r>
        <w:rPr>
          <w:rFonts w:ascii="Palatino Linotype" w:cs="Palatino Linotype" w:eastAsia="Palatino Linotype" w:hAnsi="Palatino Linotype"/>
          <w:sz w:val="18"/>
          <w:szCs w:val="18"/>
        </w:rPr>
        <w:t xml:space="preserve">Mirdala, R. (2025). Tokenization of real-world assets: legal frameworks, market dynamics, and policy pathways for a decentralized financial future. Journal of Applied Economic Sciences, 20(2(88)), 285–298. https://doi.org/10.57017/jaes.v20.2(88).09</w:t>
      </w:r>
    </w:p>
    <w:p>
      <w:pPr>
        <w:spacing w:after="80"/>
        <w:ind w:left="360" w:hanging="360"/>
      </w:pPr>
      <w:r>
        <w:rPr>
          <w:rFonts w:ascii="Palatino Linotype" w:cs="Palatino Linotype" w:eastAsia="Palatino Linotype" w:hAnsi="Palatino Linotype"/>
          <w:sz w:val="18"/>
          <w:szCs w:val="18"/>
        </w:rPr>
        <w:t xml:space="preserve">Muzaffar, Z., &amp; Malik, I. R. (2024). Market liquidity and volatility: Does economic policy uncertainty matter? Evidence from Asian emerging economies. PLOS ONE, 19(6), e0301597. https://doi.org/10.1371/journal.pone.0301597</w:t>
      </w:r>
    </w:p>
    <w:p>
      <w:pPr>
        <w:spacing w:after="80"/>
        <w:ind w:left="360" w:hanging="360"/>
      </w:pPr>
      <w:r>
        <w:rPr>
          <w:rFonts w:ascii="Palatino Linotype" w:cs="Palatino Linotype" w:eastAsia="Palatino Linotype" w:hAnsi="Palatino Linotype"/>
          <w:sz w:val="18"/>
          <w:szCs w:val="18"/>
        </w:rPr>
        <w:t xml:space="preserve">Nelson, D. B. (1991). Conditional heteroskedasticity in asset returns: A new approach. Econometrica, 59(2), 347–370. https://doi.org/10.2307/2938260</w:t>
      </w:r>
    </w:p>
    <w:p>
      <w:pPr>
        <w:spacing w:after="80"/>
        <w:ind w:left="360" w:hanging="360"/>
      </w:pPr>
      <w:r>
        <w:rPr>
          <w:rFonts w:ascii="Palatino Linotype" w:cs="Palatino Linotype" w:eastAsia="Palatino Linotype" w:hAnsi="Palatino Linotype"/>
          <w:sz w:val="18"/>
          <w:szCs w:val="18"/>
        </w:rPr>
        <w:t xml:space="preserve">Pillada, N., &amp; Rangasamy, S. (2023). An empirical investigation of investor sentiment and volatility of the realty sector market in India: an application of the DCC–GARCH model. SN Business &amp; Economics, 3(2), 54. https://doi.org/10.1007/s43546-023-00434-3</w:t>
      </w:r>
    </w:p>
    <w:p>
      <w:pPr>
        <w:spacing w:after="80"/>
        <w:ind w:left="360" w:hanging="360"/>
      </w:pPr>
      <w:r>
        <w:rPr>
          <w:rFonts w:ascii="Palatino Linotype" w:cs="Palatino Linotype" w:eastAsia="Palatino Linotype" w:hAnsi="Palatino Linotype"/>
          <w:sz w:val="18"/>
          <w:szCs w:val="18"/>
        </w:rPr>
        <w:t xml:space="preserve">Popov, E., Veretennikova, A., &amp; Fedoreev, S. (2022). The model of OTC securities market transformation in the context of asset tokenization. Mathematics, 10(19), 3441. https://doi.org/10.3390/math10193441</w:t>
      </w:r>
    </w:p>
    <w:p>
      <w:pPr>
        <w:spacing w:after="80"/>
        <w:ind w:left="360" w:hanging="360"/>
      </w:pPr>
      <w:r>
        <w:rPr>
          <w:rFonts w:ascii="Palatino Linotype" w:cs="Palatino Linotype" w:eastAsia="Palatino Linotype" w:hAnsi="Palatino Linotype"/>
          <w:sz w:val="18"/>
          <w:szCs w:val="18"/>
        </w:rPr>
        <w:t xml:space="preserve">Roll, R. (1984). A simple implicit measure of the effective bid-ask spread in an efficient market. The Journal of Finance, 39(4), 1127–1139. https://doi.org/10.1111/j.1540-6261.1984.tb03897.x</w:t>
      </w:r>
    </w:p>
    <w:p>
      <w:pPr>
        <w:spacing w:after="80"/>
        <w:ind w:left="360" w:hanging="360"/>
      </w:pPr>
      <w:r>
        <w:rPr>
          <w:rFonts w:ascii="Palatino Linotype" w:cs="Palatino Linotype" w:eastAsia="Palatino Linotype" w:hAnsi="Palatino Linotype"/>
          <w:sz w:val="18"/>
          <w:szCs w:val="18"/>
        </w:rPr>
        <w:t xml:space="preserve">Securities and Exchange Board of India. (2025). Master Circular for Infrastructure Investment Trusts (InvITs), 11 July 2025.</w:t>
      </w:r>
    </w:p>
    <w:p>
      <w:pPr>
        <w:spacing w:after="80"/>
        <w:ind w:left="360" w:hanging="360"/>
      </w:pPr>
      <w:r>
        <w:rPr>
          <w:rFonts w:ascii="Palatino Linotype" w:cs="Palatino Linotype" w:eastAsia="Palatino Linotype" w:hAnsi="Palatino Linotype"/>
          <w:sz w:val="18"/>
          <w:szCs w:val="18"/>
        </w:rPr>
        <w:t xml:space="preserve">Securities and Exchange Board of India. (2025). SEBI (Infrastructure Investment Trusts) (Third Amendment) Regulations, 2025. Gazette of India, 2 September 2025. https://www.sebi.gov.in/sebi_data/attachdocs/sep-2025/1757046936652.pdf</w:t>
      </w:r>
    </w:p>
    <w:p>
      <w:pPr>
        <w:spacing w:after="80"/>
        <w:ind w:left="360" w:hanging="360"/>
      </w:pPr>
      <w:r>
        <w:rPr>
          <w:rFonts w:ascii="Palatino Linotype" w:cs="Palatino Linotype" w:eastAsia="Palatino Linotype" w:hAnsi="Palatino Linotype"/>
          <w:sz w:val="18"/>
          <w:szCs w:val="18"/>
        </w:rPr>
        <w:t xml:space="preserve">Shah, M., &amp; Bhagwat, K. (2022). Critical assessment of Infrastructure Investment Trusts (InvITs) in India and suggesting measures to increase their efficiency in comparison with international instruments. Australasian Accounting, Business and Finance Journal, 16(5), 106–129. https://doi.org/10.14453/aabfj.v16i5.08</w:t>
      </w:r>
    </w:p>
    <w:p>
      <w:pPr>
        <w:spacing w:after="80"/>
        <w:ind w:left="360" w:hanging="360"/>
      </w:pPr>
      <w:r>
        <w:rPr>
          <w:rFonts w:ascii="Palatino Linotype" w:cs="Palatino Linotype" w:eastAsia="Palatino Linotype" w:hAnsi="Palatino Linotype"/>
          <w:sz w:val="18"/>
          <w:szCs w:val="18"/>
        </w:rPr>
        <w:t xml:space="preserve">Swinkels, L. (2023). Empirical evidence on the ownership and liquidity of real estate tokens. Financial Innovation, 9(1), 45. https://doi.org/10.1186/s40854-022-00427-5</w:t>
      </w:r>
    </w:p>
    <w:p>
      <w:pPr>
        <w:spacing w:after="80"/>
        <w:ind w:left="360" w:hanging="360"/>
      </w:pPr>
      <w:r>
        <w:rPr>
          <w:rFonts w:ascii="Palatino Linotype" w:cs="Palatino Linotype" w:eastAsia="Palatino Linotype" w:hAnsi="Palatino Linotype"/>
          <w:sz w:val="18"/>
          <w:szCs w:val="18"/>
        </w:rPr>
        <w:t xml:space="preserve">Zhang, W., Li, B., &amp; Roca, E. (2023). Moments and momentum in the returns of securitized real estate: A cross-country study of risk factors driving REITs before and during COVID-19. Heliyon, 9, e18476. https://doi.org/10.1016/j.heliyon.2023.e18476</w:t>
      </w:r>
    </w:p>
    <w:p>
      <w:pPr>
        <w:spacing w:after="80"/>
        <w:ind w:left="360" w:hanging="360"/>
      </w:pPr>
      <w:r>
        <w:rPr>
          <w:rFonts w:ascii="Palatino Linotype" w:cs="Palatino Linotype" w:eastAsia="Palatino Linotype" w:hAnsi="Palatino Linotype"/>
          <w:sz w:val="18"/>
          <w:szCs w:val="18"/>
        </w:rPr>
        <w:t xml:space="preserve">Zhang, Y., Gong, B., &amp; Zhou, P. (2024). Centralized use of decentralized technology: tokenization of currencies and assets. Structural Change and Economic Dynamics, 71, 15–25. https://doi.org/10.1016/j.strueco.2024.06.006</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alatino Linotype" w:cs="Palatino Linotype" w:eastAsia="Palatino Linotype" w:hAnsi="Palatino Linotyp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Palatino Linotype" w:cs="Palatino Linotype" w:eastAsia="Palatino Linotype" w:hAnsi="Palatino Linotype"/>
        <w:color w:val="808080"/>
        <w:sz w:val="16"/>
        <w:szCs w:val="16"/>
      </w:rPr>
      <w:t xml:space="preserve">J. Risk Financial Manag. — Preprint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ikcc3p4lzakl089avx_f" Type="http://schemas.openxmlformats.org/officeDocument/2006/relationships/hyperlink" Target="https://github.com/SanKabira/P2-BInvIT-India-Tokenization-Empirical" TargetMode="External"/><Relationship Id="rId9" Type="http://schemas.openxmlformats.org/officeDocument/2006/relationships/image" Target="media/c56f8159fe13de250488ff04842a7a16ac2f3f4b.undefined"/><Relationship Id="rId10" Type="http://schemas.openxmlformats.org/officeDocument/2006/relationships/image" Target="media/412ae5637adef0226fdc15240f1ad8823c9e2cbc.undefined"/><Relationship Id="rId11" Type="http://schemas.openxmlformats.org/officeDocument/2006/relationships/image" Target="media/bd0b018a8cddea4dfcca8a9c0c2c88a8c06d3791.undefined"/><Relationship Id="rId12" Type="http://schemas.openxmlformats.org/officeDocument/2006/relationships/image" Target="media/28e0da4612b5ea295c889fce1709cfaeb68bad44.undefined"/><Relationship Id="rId13" Type="http://schemas.openxmlformats.org/officeDocument/2006/relationships/image" Target="media/7bf392c0e05d9208cf6c6b305dcf94ab41893bc4.undefined"/><Relationship Id="rId14" Type="http://schemas.openxmlformats.org/officeDocument/2006/relationships/image" Target="media/f98e1dde66c2f76580ee899d255c26e576170b7a.undefined"/><Relationship Id="rId15" Type="http://schemas.openxmlformats.org/officeDocument/2006/relationships/image" Target="media/aac47b26ee4d4a7ca49614e553c5bf43985567b1.undefined"/><Relationship Id="rId16" Type="http://schemas.openxmlformats.org/officeDocument/2006/relationships/image" Target="media/e6d0208436f25dda89ead7228da01aff851bb78c.undefined"/><Relationship Id="rId17" Type="http://schemas.openxmlformats.org/officeDocument/2006/relationships/image" Target="media/15c719c0969123f33a5f71009822ddc6f9270a26.undefined"/><Relationship Id="rId18" Type="http://schemas.openxmlformats.org/officeDocument/2006/relationships/image" Target="media/1b55d2c32c9c6203f9e6ed58ffb7d72c9dea986c.undefined"/><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P2 — SEBI 2025 InvIT Reform and Liquidity</dc:title>
  <dc:creator>Sandeep S</dc:creator>
  <cp:lastModifiedBy>Un-named</cp:lastModifiedBy>
  <cp:revision>1</cp:revision>
  <dcterms:created xsi:type="dcterms:W3CDTF">2026-06-09T12:36:57.697Z</dcterms:created>
  <dcterms:modified xsi:type="dcterms:W3CDTF">2026-06-09T12:36:57.698Z</dcterms:modified>
</cp:coreProperties>
</file>

<file path=docProps/custom.xml><?xml version="1.0" encoding="utf-8"?>
<Properties xmlns="http://schemas.openxmlformats.org/officeDocument/2006/custom-properties" xmlns:vt="http://schemas.openxmlformats.org/officeDocument/2006/docPropsVTypes"/>
</file>