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Cinematic hero background — (1) </w:t>
            </w:r>
            <w:r>
              <w:rPr>
                <w:b/>
                <w:color w:val="1E293B"/>
              </w:rPr>
              <w:t>Video background infrastructure</w:t>
            </w:r>
            <w:r>
              <w:rPr>
                <w:color w:val="1E293B"/>
                <w:sz w:val="18"/>
              </w:rPr>
              <w:t xml:space="preserve">: hero section now mounts an HTML5 </w:t>
            </w:r>
            <w:r>
              <w:rPr>
                <w:rFonts w:ascii="Courier New" w:hAnsi="Courier New"/>
                <w:color w:val="0F172A"/>
                <w:sz w:val="18"/>
              </w:rPr>
              <w:t>&lt;video autoPlay muted loop playsInline&gt;</w:t>
            </w:r>
            <w:r>
              <w:rPr>
                <w:color w:val="1E293B"/>
                <w:sz w:val="18"/>
              </w:rPr>
              <w:t xml:space="preserve"> element pointing to </w:t>
            </w:r>
            <w:r>
              <w:rPr>
                <w:rFonts w:ascii="Courier New" w:hAnsi="Courier New"/>
                <w:color w:val="0F172A"/>
                <w:sz w:val="18"/>
              </w:rPr>
              <w:t>/public/tutor-bg.mp4</w:t>
            </w:r>
            <w:r>
              <w:rPr>
                <w:color w:val="1E293B"/>
                <w:sz w:val="18"/>
              </w:rPr>
              <w:t xml:space="preserve">. </w:t>
            </w:r>
            <w:r>
              <w:rPr>
                <w:rFonts w:ascii="Courier New" w:hAnsi="Courier New"/>
                <w:color w:val="0F172A"/>
                <w:sz w:val="18"/>
              </w:rPr>
              <w:t>videoBgReady</w:t>
            </w:r>
            <w:r>
              <w:rPr>
                <w:color w:val="1E293B"/>
                <w:sz w:val="18"/>
              </w:rPr>
              <w:t xml:space="preserve"> React state tracks </w:t>
            </w:r>
            <w:r>
              <w:rPr>
                <w:rFonts w:ascii="Courier New" w:hAnsi="Courier New"/>
                <w:color w:val="0F172A"/>
                <w:sz w:val="18"/>
              </w:rPr>
              <w:t>onCanPlay</w:t>
            </w:r>
            <w:r>
              <w:rPr>
                <w:color w:val="1E293B"/>
                <w:sz w:val="18"/>
              </w:rPr>
              <w:t xml:space="preserve">; the video fades in with a 1.2 s opacity transition once loaded. When no video file is present (or on load failure), </w:t>
            </w:r>
            <w:r>
              <w:rPr>
                <w:rFonts w:ascii="Courier New" w:hAnsi="Courier New"/>
                <w:color w:val="0F172A"/>
                <w:sz w:val="18"/>
              </w:rPr>
              <w:t>videoBgReady</w:t>
            </w:r>
            <w:r>
              <w:rPr>
                <w:color w:val="1E293B"/>
                <w:sz w:val="18"/>
              </w:rPr>
              <w:t xml:space="preserve"> stays </w:t>
            </w:r>
            <w:r>
              <w:rPr>
                <w:rFonts w:ascii="Courier New" w:hAnsi="Courier New"/>
                <w:color w:val="0F172A"/>
                <w:sz w:val="18"/>
              </w:rPr>
              <w:t>false</w:t>
            </w:r>
            <w:r>
              <w:rPr>
                <w:color w:val="1E293B"/>
                <w:sz w:val="18"/>
              </w:rPr>
              <w:t xml:space="preserve"> and the full CSS-animated scene renders instead. (2) </w:t>
            </w:r>
            <w:r>
              <w:rPr>
                <w:b/>
                <w:color w:val="1E293B"/>
              </w:rPr>
              <w:t>CSS animated tutor scene</w:t>
            </w:r>
            <w:r>
              <w:rPr>
                <w:color w:val="1E293B"/>
                <w:sz w:val="18"/>
              </w:rPr>
              <w:t xml:space="preserve"> (fallback + always-on decoration): deep navy base gradient (</w:t>
            </w:r>
            <w:r>
              <w:rPr>
                <w:rFonts w:ascii="Courier New" w:hAnsi="Courier New"/>
                <w:color w:val="0F172A"/>
                <w:sz w:val="18"/>
              </w:rPr>
              <w:t>#000936 → #060e3f → #0c1848</w:t>
            </w:r>
            <w:r>
              <w:rPr>
                <w:color w:val="1E293B"/>
                <w:sz w:val="18"/>
              </w:rPr>
              <w:t xml:space="preserve">); a large 340 px blue radial-gradient AI orb (top-left) with </w:t>
            </w:r>
            <w:r>
              <w:rPr>
                <w:rFonts w:ascii="Courier New" w:hAnsi="Courier New"/>
                <w:color w:val="0F172A"/>
                <w:sz w:val="18"/>
              </w:rPr>
              <w:t>ai-orb-pulse</w:t>
            </w:r>
            <w:r>
              <w:rPr>
                <w:color w:val="1E293B"/>
                <w:sz w:val="18"/>
              </w:rPr>
              <w:t xml:space="preserve"> keyframe (scale 1 → 1.09, opacity pulse); a 520 px outer ambient glow around the orb; a 380 px warm amber/orange </w:t>
            </w:r>
            <w:r>
              <w:rPr>
                <w:rFonts w:ascii="Courier New" w:hAnsi="Courier New"/>
                <w:color w:val="0F172A"/>
                <w:sz w:val="18"/>
              </w:rPr>
              <w:t>warm-glow</w:t>
            </w:r>
            <w:r>
              <w:rPr>
                <w:color w:val="1E293B"/>
                <w:sz w:val="18"/>
              </w:rPr>
              <w:t xml:space="preserve"> radial gradient (right, </w:t>
            </w:r>
            <w:r>
              <w:rPr>
                <w:rFonts w:ascii="Courier New" w:hAnsi="Courier New"/>
                <w:color w:val="0F172A"/>
                <w:sz w:val="18"/>
              </w:rPr>
              <w:t>warm-glow</w:t>
            </w:r>
            <w:r>
              <w:rPr>
                <w:color w:val="1E293B"/>
                <w:sz w:val="18"/>
              </w:rPr>
              <w:t xml:space="preserve"> keyframe) representing the student; a 2 px horizontal </w:t>
            </w:r>
            <w:r>
              <w:rPr>
                <w:rFonts w:ascii="Courier New" w:hAnsi="Courier New"/>
                <w:color w:val="0F172A"/>
                <w:sz w:val="18"/>
              </w:rPr>
              <w:t>beam-pulse</w:t>
            </w:r>
            <w:r>
              <w:rPr>
                <w:color w:val="1E293B"/>
                <w:sz w:val="18"/>
              </w:rPr>
              <w:t xml:space="preserve"> connection line between orb and student; 20 rising dot particles (</w:t>
            </w:r>
            <w:r>
              <w:rPr>
                <w:rFonts w:ascii="Courier New" w:hAnsi="Courier New"/>
                <w:color w:val="0F172A"/>
                <w:sz w:val="18"/>
              </w:rPr>
              <w:t>particle-rise</w:t>
            </w:r>
            <w:r>
              <w:rPr>
                <w:color w:val="1E293B"/>
                <w:sz w:val="18"/>
              </w:rPr>
              <w:t xml:space="preserve"> keyframe); 5 floating maths equations (</w:t>
            </w:r>
            <w:r>
              <w:rPr>
                <w:rFonts w:ascii="Courier New" w:hAnsi="Courier New"/>
                <w:color w:val="0F172A"/>
                <w:sz w:val="18"/>
              </w:rPr>
              <w:t>float-equation</w:t>
            </w:r>
            <w:r>
              <w:rPr>
                <w:color w:val="1E293B"/>
                <w:sz w:val="18"/>
              </w:rPr>
              <w:t xml:space="preserve"> keyframe — e.g. </w:t>
            </w:r>
            <w:r>
              <w:rPr>
                <w:rFonts w:ascii="Courier New" w:hAnsi="Courier New"/>
                <w:color w:val="0F172A"/>
                <w:sz w:val="18"/>
              </w:rPr>
              <w:t>y = mx + b</w:t>
            </w:r>
            <w:r>
              <w:rPr>
                <w:color w:val="1E293B"/>
                <w:sz w:val="18"/>
              </w:rPr>
              <w:t xml:space="preserve">, </w:t>
            </w:r>
            <w:r>
              <w:rPr>
                <w:rFonts w:ascii="Courier New" w:hAnsi="Courier New"/>
                <w:color w:val="0F172A"/>
                <w:sz w:val="18"/>
              </w:rPr>
              <w:t>E = mc²</w:t>
            </w:r>
            <w:r>
              <w:rPr>
                <w:color w:val="1E293B"/>
                <w:sz w:val="18"/>
              </w:rPr>
              <w:t xml:space="preserve">, </w:t>
            </w:r>
            <w:r>
              <w:rPr>
                <w:rFonts w:ascii="Courier New" w:hAnsi="Courier New"/>
                <w:color w:val="0F172A"/>
                <w:sz w:val="18"/>
              </w:rPr>
              <w:t>P(A) = n(A)/n(S)</w:t>
            </w:r>
            <w:r>
              <w:rPr>
                <w:color w:val="1E293B"/>
                <w:sz w:val="18"/>
              </w:rPr>
              <w:t xml:space="preserve">, </w:t>
            </w:r>
            <w:r>
              <w:rPr>
                <w:rFonts w:ascii="Courier New" w:hAnsi="Courier New"/>
                <w:color w:val="0F172A"/>
                <w:sz w:val="18"/>
              </w:rPr>
              <w:t>∫₀¹ f(x) dx</w:t>
            </w:r>
            <w:r>
              <w:rPr>
                <w:color w:val="1E293B"/>
                <w:sz w:val="18"/>
              </w:rPr>
              <w:t xml:space="preserve">, </w:t>
            </w:r>
            <w:r>
              <w:rPr>
                <w:rFonts w:ascii="Courier New" w:hAnsi="Courier New"/>
                <w:color w:val="0F172A"/>
                <w:sz w:val="18"/>
              </w:rPr>
              <w:t>ax² + bx + c = 0</w:t>
            </w:r>
            <w:r>
              <w:rPr>
                <w:color w:val="1E293B"/>
                <w:sz w:val="18"/>
              </w:rPr>
              <w:t>); 16 floating maths symbols (</w:t>
            </w:r>
            <w:r>
              <w:rPr>
                <w:rFonts w:ascii="Courier New" w:hAnsi="Courier New"/>
                <w:color w:val="0F172A"/>
                <w:sz w:val="18"/>
              </w:rPr>
              <w:t>float-symbol</w:t>
            </w:r>
            <w:r>
              <w:rPr>
                <w:color w:val="1E293B"/>
                <w:sz w:val="18"/>
              </w:rPr>
              <w:t xml:space="preserve">, unchanged from v0.28, but colour-shifted to semi-transparent RGBA values for dark background). (3) </w:t>
            </w:r>
            <w:r>
              <w:rPr>
                <w:b/>
                <w:color w:val="1E293B"/>
              </w:rPr>
              <w:t>Dark overlay</w:t>
            </w:r>
            <w:r>
              <w:rPr>
                <w:color w:val="1E293B"/>
                <w:sz w:val="18"/>
              </w:rPr>
              <w:t xml:space="preserve">: linear-gradient overlay adjusts dynamically — thick dark when CSS scene shows, semi-transparent when video plays. (4) </w:t>
            </w:r>
            <w:r>
              <w:rPr>
                <w:b/>
                <w:color w:val="1E293B"/>
              </w:rPr>
              <w:t>Bottom white fade</w:t>
            </w:r>
            <w:r>
              <w:rPr>
                <w:color w:val="1E293B"/>
                <w:sz w:val="18"/>
              </w:rPr>
              <w:t xml:space="preserve">: 28-rem </w:t>
            </w:r>
            <w:r>
              <w:rPr>
                <w:rFonts w:ascii="Courier New" w:hAnsi="Courier New"/>
                <w:color w:val="0F172A"/>
                <w:sz w:val="18"/>
              </w:rPr>
              <w:t>h-28</w:t>
            </w:r>
            <w:r>
              <w:rPr>
                <w:color w:val="1E293B"/>
                <w:sz w:val="18"/>
              </w:rPr>
              <w:t xml:space="preserve"> gradient </w:t>
            </w:r>
            <w:r>
              <w:rPr>
                <w:rFonts w:ascii="Courier New" w:hAnsi="Courier New"/>
                <w:color w:val="0F172A"/>
                <w:sz w:val="18"/>
              </w:rPr>
              <w:t>transparent → #ffffff</w:t>
            </w:r>
            <w:r>
              <w:rPr>
                <w:color w:val="1E293B"/>
                <w:sz w:val="18"/>
              </w:rPr>
              <w:t xml:space="preserve"> at hero bottom so hero blends into the white sections below. (5) </w:t>
            </w:r>
            <w:r>
              <w:rPr>
                <w:b/>
                <w:color w:val="1E293B"/>
              </w:rPr>
              <w:t>Hero text redesigned for dark background</w:t>
            </w:r>
            <w:r>
              <w:rPr>
                <w:color w:val="1E293B"/>
                <w:sz w:val="18"/>
              </w:rPr>
              <w:t xml:space="preserve">: headline in white </w:t>
            </w:r>
            <w:r>
              <w:rPr>
                <w:rFonts w:ascii="Courier New" w:hAnsi="Courier New"/>
                <w:color w:val="0F172A"/>
                <w:sz w:val="18"/>
              </w:rPr>
              <w:t>#ffffff</w:t>
            </w:r>
            <w:r>
              <w:rPr>
                <w:color w:val="1E293B"/>
                <w:sz w:val="18"/>
              </w:rPr>
              <w:t xml:space="preserve">, accent span in sky-blue </w:t>
            </w:r>
            <w:r>
              <w:rPr>
                <w:rFonts w:ascii="Courier New" w:hAnsi="Courier New"/>
                <w:color w:val="0F172A"/>
                <w:sz w:val="18"/>
              </w:rPr>
              <w:t>#56DBFF</w:t>
            </w:r>
            <w:r>
              <w:rPr>
                <w:color w:val="1E293B"/>
                <w:sz w:val="18"/>
              </w:rPr>
              <w:t xml:space="preserve">; subheadline at </w:t>
            </w:r>
            <w:r>
              <w:rPr>
                <w:rFonts w:ascii="Courier New" w:hAnsi="Courier New"/>
                <w:color w:val="0F172A"/>
                <w:sz w:val="18"/>
              </w:rPr>
              <w:t>rgba(255,255,255,0.72)</w:t>
            </w:r>
            <w:r>
              <w:rPr>
                <w:color w:val="1E293B"/>
                <w:sz w:val="18"/>
              </w:rPr>
              <w:t>; "Australia's AI-powered exam prep platform" badge uses glass pill (</w:t>
            </w:r>
            <w:r>
              <w:rPr>
                <w:rFonts w:ascii="Courier New" w:hAnsi="Courier New"/>
                <w:color w:val="0F172A"/>
                <w:sz w:val="18"/>
              </w:rPr>
              <w:t>rgba(255,255,255,0.08)</w:t>
            </w:r>
            <w:r>
              <w:rPr>
                <w:color w:val="1E293B"/>
                <w:sz w:val="18"/>
              </w:rPr>
              <w:t xml:space="preserve"> bg + </w:t>
            </w:r>
            <w:r>
              <w:rPr>
                <w:rFonts w:ascii="Courier New" w:hAnsi="Courier New"/>
                <w:color w:val="0F172A"/>
                <w:sz w:val="18"/>
              </w:rPr>
              <w:t>rgba(255,255,255,0.20)</w:t>
            </w:r>
            <w:r>
              <w:rPr>
                <w:color w:val="1E293B"/>
                <w:sz w:val="18"/>
              </w:rPr>
              <w:t xml:space="preserve"> border + </w:t>
            </w:r>
            <w:r>
              <w:rPr>
                <w:rFonts w:ascii="Courier New" w:hAnsi="Courier New"/>
                <w:color w:val="0F172A"/>
                <w:sz w:val="18"/>
              </w:rPr>
              <w:t>backdropFilter: blur(8px)</w:t>
            </w:r>
            <w:r>
              <w:rPr>
                <w:color w:val="1E293B"/>
                <w:sz w:val="18"/>
              </w:rPr>
              <w:t xml:space="preserve">); primary CTA changed from navy/gold to gold </w:t>
            </w:r>
            <w:r>
              <w:rPr>
                <w:rFonts w:ascii="Courier New" w:hAnsi="Courier New"/>
                <w:color w:val="0F172A"/>
                <w:sz w:val="18"/>
              </w:rPr>
              <w:t>#FDC800</w:t>
            </w:r>
            <w:r>
              <w:rPr>
                <w:color w:val="1E293B"/>
                <w:sz w:val="18"/>
              </w:rPr>
              <w:t xml:space="preserve">/navy for maximum contrast on dark; secondary CTA ("I'm a student") uses </w:t>
            </w:r>
            <w:r>
              <w:rPr>
                <w:rFonts w:ascii="Courier New" w:hAnsi="Courier New"/>
                <w:color w:val="0F172A"/>
                <w:sz w:val="18"/>
              </w:rPr>
              <w:t>rgba(255,255,255,0.28)</w:t>
            </w:r>
            <w:r>
              <w:rPr>
                <w:color w:val="1E293B"/>
                <w:sz w:val="18"/>
              </w:rPr>
              <w:t xml:space="preserve"> border and glass bg. (6) </w:t>
            </w:r>
            <w:r>
              <w:rPr>
                <w:b/>
                <w:color w:val="1E293B"/>
              </w:rPr>
              <w:t>Frosted glass exam badge panel</w:t>
            </w:r>
            <w:r>
              <w:rPr>
                <w:color w:val="1E293B"/>
                <w:sz w:val="18"/>
              </w:rPr>
              <w:t xml:space="preserve">: right column redesigned with </w:t>
            </w:r>
            <w:r>
              <w:rPr>
                <w:rFonts w:ascii="Courier New" w:hAnsi="Courier New"/>
                <w:color w:val="0F172A"/>
                <w:sz w:val="18"/>
              </w:rPr>
              <w:t>backdropFilter: blur(20px)</w:t>
            </w:r>
            <w:r>
              <w:rPr>
                <w:color w:val="1E293B"/>
                <w:sz w:val="18"/>
              </w:rPr>
              <w:t xml:space="preserve"> + </w:t>
            </w:r>
            <w:r>
              <w:rPr>
                <w:rFonts w:ascii="Courier New" w:hAnsi="Courier New"/>
                <w:color w:val="0F172A"/>
                <w:sz w:val="18"/>
              </w:rPr>
              <w:t>-webkit-backdrop-filter</w:t>
            </w:r>
            <w:r>
              <w:rPr>
                <w:color w:val="1E293B"/>
                <w:sz w:val="18"/>
              </w:rPr>
              <w:t xml:space="preserve"> glass card (</w:t>
            </w:r>
            <w:r>
              <w:rPr>
                <w:rFonts w:ascii="Courier New" w:hAnsi="Courier New"/>
                <w:color w:val="0F172A"/>
                <w:sz w:val="18"/>
              </w:rPr>
              <w:t>rgba(255,255,255,0.07)</w:t>
            </w:r>
            <w:r>
              <w:rPr>
                <w:color w:val="1E293B"/>
                <w:sz w:val="18"/>
              </w:rPr>
              <w:t xml:space="preserve"> bg, </w:t>
            </w:r>
            <w:r>
              <w:rPr>
                <w:rFonts w:ascii="Courier New" w:hAnsi="Courier New"/>
                <w:color w:val="0F172A"/>
                <w:sz w:val="18"/>
              </w:rPr>
              <w:t>rgba(255,255,255,0.13)</w:t>
            </w:r>
            <w:r>
              <w:rPr>
                <w:color w:val="1E293B"/>
                <w:sz w:val="18"/>
              </w:rPr>
              <w:t xml:space="preserve"> border, deep box-shadow </w:t>
            </w:r>
            <w:r>
              <w:rPr>
                <w:rFonts w:ascii="Courier New" w:hAnsi="Courier New"/>
                <w:color w:val="0F172A"/>
                <w:sz w:val="18"/>
              </w:rPr>
              <w:t>0 8px 48px rgba(0,0,0,0.45)</w:t>
            </w:r>
            <w:r>
              <w:rPr>
                <w:color w:val="1E293B"/>
                <w:sz w:val="18"/>
              </w:rPr>
              <w:t xml:space="preserve">); badge card backgrounds changed to </w:t>
            </w:r>
            <w:r>
              <w:rPr>
                <w:rFonts w:ascii="Courier New" w:hAnsi="Courier New"/>
                <w:color w:val="0F172A"/>
                <w:sz w:val="18"/>
              </w:rPr>
              <w:t>rgba(255,255,255,0.05)</w:t>
            </w:r>
            <w:r>
              <w:rPr>
                <w:color w:val="1E293B"/>
                <w:sz w:val="18"/>
              </w:rPr>
              <w:t xml:space="preserve">; badge circle glows use per-exam colour box-shadow; label text uses </w:t>
            </w:r>
            <w:r>
              <w:rPr>
                <w:rFonts w:ascii="Courier New" w:hAnsi="Courier New"/>
                <w:color w:val="0F172A"/>
                <w:sz w:val="18"/>
              </w:rPr>
              <w:t>rgba(255,255,255,0.6)</w:t>
            </w:r>
            <w:r>
              <w:rPr>
                <w:color w:val="1E293B"/>
                <w:sz w:val="18"/>
              </w:rPr>
              <w:t xml:space="preserve">. New CSS keyframes added: </w:t>
            </w:r>
            <w:r>
              <w:rPr>
                <w:rFonts w:ascii="Courier New" w:hAnsi="Courier New"/>
                <w:color w:val="0F172A"/>
                <w:sz w:val="18"/>
              </w:rPr>
              <w:t>ai-orb-pulse</w:t>
            </w:r>
            <w:r>
              <w:rPr>
                <w:color w:val="1E293B"/>
                <w:sz w:val="18"/>
              </w:rPr>
              <w:t xml:space="preserve">, </w:t>
            </w:r>
            <w:r>
              <w:rPr>
                <w:rFonts w:ascii="Courier New" w:hAnsi="Courier New"/>
                <w:color w:val="0F172A"/>
                <w:sz w:val="18"/>
              </w:rPr>
              <w:t>warm-glow</w:t>
            </w:r>
            <w:r>
              <w:rPr>
                <w:color w:val="1E293B"/>
                <w:sz w:val="18"/>
              </w:rPr>
              <w:t xml:space="preserve">, </w:t>
            </w:r>
            <w:r>
              <w:rPr>
                <w:rFonts w:ascii="Courier New" w:hAnsi="Courier New"/>
                <w:color w:val="0F172A"/>
                <w:sz w:val="18"/>
              </w:rPr>
              <w:t>beam-pulse</w:t>
            </w:r>
            <w:r>
              <w:rPr>
                <w:color w:val="1E293B"/>
                <w:sz w:val="18"/>
              </w:rPr>
              <w:t xml:space="preserve">, </w:t>
            </w:r>
            <w:r>
              <w:rPr>
                <w:rFonts w:ascii="Courier New" w:hAnsi="Courier New"/>
                <w:color w:val="0F172A"/>
                <w:sz w:val="18"/>
              </w:rPr>
              <w:t>particle-rise</w:t>
            </w:r>
            <w:r>
              <w:rPr>
                <w:color w:val="1E293B"/>
                <w:sz w:val="18"/>
              </w:rPr>
              <w:t xml:space="preserve">, </w:t>
            </w:r>
            <w:r>
              <w:rPr>
                <w:rFonts w:ascii="Courier New" w:hAnsi="Courier New"/>
                <w:color w:val="0F172A"/>
                <w:sz w:val="18"/>
              </w:rPr>
              <w:t>float-equation</w:t>
            </w:r>
            <w:r>
              <w:rPr>
                <w:color w:val="1E293B"/>
                <w:sz w:val="18"/>
              </w:rPr>
              <w:t xml:space="preserve">. To use a real AI-generated video: generate a 10–15 s looping MP4 (recommended prompt: "Serene warm study scene, soft-glowing blue AI hologram tutor floating near a desk, happy 10-year-old child looking up with curiosity, floating maths equations drifting around them, ambient film-quality lighting, cinematic, 4K, seamlessly loopable") using Runway Gen-3, Kling AI, or Sora; place the file at </w:t>
            </w:r>
            <w:r>
              <w:rPr>
                <w:rFonts w:ascii="Courier New" w:hAnsi="Courier New"/>
                <w:color w:val="0F172A"/>
                <w:sz w:val="18"/>
              </w:rPr>
              <w:t>public/tutor-bg.mp4</w:t>
            </w:r>
            <w:r>
              <w:rPr>
                <w:color w:val="1E293B"/>
                <w:sz w:val="18"/>
              </w:rPr>
              <w:t>; no code change needed — the player activates automatically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(v0.30).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