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color w:val="495B39"/>
          <w:sz w:val="20"/>
        </w:rPr>
        <w:t>DIGITAL WELLNESS TECHNOLOGIES</w:t>
      </w:r>
    </w:p>
    <w:p>
      <w:pPr>
        <w:spacing w:after="240"/>
        <w:jc w:val="left"/>
      </w:pPr>
      <w:r>
        <w:rPr>
          <w:i/>
          <w:color w:val="5A5A5A"/>
          <w:sz w:val="18"/>
        </w:rPr>
        <w:t>Doma — Parent Decision-Support Platform</w:t>
      </w:r>
    </w:p>
    <w:p>
      <w:pPr>
        <w:spacing w:after="0"/>
        <w:jc w:val="left"/>
      </w:pPr>
      <w:r>
        <w:rPr>
          <w:b/>
          <w:color w:val="282828"/>
          <w:sz w:val="44"/>
        </w:rPr>
        <w:t>Reto Hackathon</w:t>
      </w:r>
    </w:p>
    <w:p>
      <w:pPr>
        <w:spacing w:after="120"/>
      </w:pPr>
      <w:r>
        <w:rPr>
          <w:b/>
          <w:color w:val="954F36"/>
          <w:sz w:val="34"/>
        </w:rPr>
        <w:t>Herramienta de apoyo para vetting de fuentes</w:t>
      </w:r>
    </w:p>
    <w:p>
      <w:pPr>
        <w:spacing w:after="280"/>
      </w:pPr>
      <w:r>
        <w:rPr>
          <w:color w:val="5F5F5F"/>
          <w:sz w:val="20"/>
        </w:rPr>
        <w:t>Brief conciso para participantes · Agosto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E9"/>
            <w:tcBorders>
              <w:top w:sz="8" w:val="single" w:color="AEBE9A"/>
              <w:left w:sz="8" w:val="single" w:color="AEBE9A"/>
              <w:bottom w:sz="8" w:val="single" w:color="AEBE9A"/>
              <w:right w:sz="8" w:val="single" w:color="AEBE9A"/>
            </w:tcBorders>
            <w:vAlign w:val="center"/>
          </w:tcPr>
          <w:p>
            <w:pPr>
              <w:spacing w:after="60"/>
            </w:pPr>
            <w:r>
              <w:rPr>
                <w:b/>
                <w:color w:val="3C502D"/>
                <w:sz w:val="20"/>
              </w:rPr>
              <w:t>Regla central</w:t>
            </w:r>
          </w:p>
          <w:p>
            <w:pPr>
              <w:spacing w:after="40"/>
            </w:pPr>
            <w:r>
              <w:rPr>
                <w:color w:val="323232"/>
                <w:sz w:val="20"/>
              </w:rPr>
              <w:t>La herramienta sugiere. El humano decide. Ninguna fuente queda aprobada o rechazada automáticamente.</w:t>
            </w:r>
          </w:p>
        </w:tc>
      </w:tr>
    </w:tbl>
    <w:p>
      <w:pPr>
        <w:spacing w:after="60"/>
      </w:pPr>
    </w:p>
    <w:p>
      <w:pPr>
        <w:pStyle w:val="Heading1"/>
        <w:spacing w:before="160" w:after="80"/>
      </w:pPr>
      <w:r>
        <w:rPr>
          <w:b/>
          <w:color w:val="495B39"/>
          <w:sz w:val="26"/>
        </w:rPr>
        <w:t>Contexto</w:t>
      </w:r>
    </w:p>
    <w:p>
      <w:pPr>
        <w:spacing w:after="100" w:line="252" w:lineRule="auto"/>
      </w:pPr>
      <w:r>
        <w:rPr>
          <w:sz w:val="19"/>
        </w:rPr>
        <w:t>Doma necesita construir una plataforma basada en evidencia confiable. Para eso, el equipo debe poder revisar papers, estudios y fuentes científicas sin depender de un proceso completamente manual, lento y difícil de auditar.</w:t>
      </w:r>
    </w:p>
    <w:p>
      <w:pPr>
        <w:spacing w:after="100" w:line="252" w:lineRule="auto"/>
      </w:pPr>
      <w:r>
        <w:rPr>
          <w:sz w:val="19"/>
        </w:rPr>
        <w:t>El reto existe porque la ciencia cambia: un paper puede ser retractado, corregido, debatido o contradicho después de publicado. Además, no basta con decir que un estudio “parece confiable”; el equipo necesita saber qué evidencia concreta contiene, qué señales de alerta existen y qué decidió finalmente el revisor humano.</w:t>
      </w:r>
    </w:p>
    <w:p>
      <w:pPr>
        <w:pStyle w:val="Heading1"/>
        <w:spacing w:before="160" w:after="80"/>
      </w:pPr>
      <w:r>
        <w:rPr>
          <w:b/>
          <w:color w:val="495B39"/>
          <w:sz w:val="26"/>
        </w:rPr>
        <w:t>El problema que queremos resolver</w:t>
      </w:r>
    </w:p>
    <w:p>
      <w:pPr>
        <w:spacing w:after="100" w:line="252" w:lineRule="auto"/>
      </w:pPr>
      <w:r>
        <w:rPr>
          <w:sz w:val="19"/>
        </w:rPr>
        <w:t>Los participantes no tienen que construir “la versión final” de un sistema de revisión científica. El reto es proponer una forma práctica de ayudar a un humano a responder, más rápido y con trazabilidad, preguntas como:</w:t>
      </w:r>
    </w:p>
    <w:p>
      <w:pPr>
        <w:pStyle w:val="ListBullet"/>
        <w:spacing w:after="20"/>
        <w:ind w:left="259" w:hanging="173"/>
      </w:pPr>
      <w:r>
        <w:rPr>
          <w:sz w:val="19"/>
        </w:rPr>
        <w:t>¿Esta fuente tiene señales de retractación, corrección o controversia?</w:t>
      </w:r>
    </w:p>
    <w:p>
      <w:pPr>
        <w:pStyle w:val="ListBullet"/>
        <w:spacing w:after="20"/>
        <w:ind w:left="259" w:hanging="173"/>
      </w:pPr>
      <w:r>
        <w:rPr>
          <w:sz w:val="19"/>
        </w:rPr>
        <w:t>¿Qué hallazgos importantes contiene y dónde están escritos exactamente?</w:t>
      </w:r>
    </w:p>
    <w:p>
      <w:pPr>
        <w:pStyle w:val="ListBullet"/>
        <w:spacing w:after="20"/>
        <w:ind w:left="259" w:hanging="173"/>
      </w:pPr>
      <w:r>
        <w:rPr>
          <w:sz w:val="19"/>
        </w:rPr>
        <w:t>¿Qué partes de la fuente necesitan revisión humana antes de ser aceptadas?</w:t>
      </w:r>
    </w:p>
    <w:p>
      <w:pPr>
        <w:pStyle w:val="ListBullet"/>
        <w:spacing w:after="20"/>
        <w:ind w:left="259" w:hanging="173"/>
      </w:pPr>
      <w:r>
        <w:rPr>
          <w:sz w:val="19"/>
        </w:rPr>
        <w:t>¿Cómo puede organizarse la evidencia para que luego sea útil dentro de una biblioteca de fuentes?</w:t>
      </w:r>
    </w:p>
    <w:p>
      <w:pPr>
        <w:pStyle w:val="ListBullet"/>
        <w:spacing w:after="20"/>
        <w:ind w:left="259" w:hanging="173"/>
      </w:pPr>
      <w:r>
        <w:rPr>
          <w:sz w:val="19"/>
        </w:rPr>
        <w:t>¿Cómo queda registrado lo que sugirió la herramienta y lo que decidió el revisor?</w:t>
      </w:r>
    </w:p>
    <w:p>
      <w:pPr>
        <w:spacing w:after="100" w:line="252" w:lineRule="auto"/>
      </w:pPr>
      <w:r>
        <w:rPr>
          <w:sz w:val="19"/>
        </w:rPr>
        <w:t>La herramienta no debe resolver debates científicos ni decidir quién tiene razón. Debe hacer más visible, rápida y ordenada la revisión humana.</w:t>
      </w:r>
    </w:p>
    <w:p>
      <w:pPr>
        <w:pStyle w:val="Heading1"/>
        <w:spacing w:before="160" w:after="80"/>
      </w:pPr>
      <w:r>
        <w:rPr>
          <w:b/>
          <w:color w:val="495B39"/>
          <w:sz w:val="26"/>
        </w:rPr>
        <w:t>Objetivo del reto</w:t>
      </w:r>
    </w:p>
    <w:p>
      <w:pPr>
        <w:spacing w:after="100" w:line="252" w:lineRule="auto"/>
      </w:pPr>
      <w:r>
        <w:rPr>
          <w:sz w:val="19"/>
        </w:rPr>
        <w:t>Diseñar y prototipar una solución que ayude a revisar fuentes científicas para una plataforma basada en evidencia.</w:t>
      </w:r>
    </w:p>
    <w:p>
      <w:pPr>
        <w:spacing w:after="100" w:line="252" w:lineRule="auto"/>
      </w:pPr>
      <w:r>
        <w:rPr>
          <w:sz w:val="19"/>
        </w:rPr>
        <w:t>No hay un flujo obligatorio ni una interfaz obligatoria. Los equipos pueden proponer el camino que consideren más efectivo: una app web, un dashboard, una cola de revisión, una extensión, un script asistido, una experiencia de carga de PDFs, una herramienta enfocada en citas verificables o cualquier otro enfoque que ataque bien el problema.</w:t>
      </w:r>
    </w:p>
    <w:p>
      <w:pPr>
        <w:spacing w:after="100" w:line="252" w:lineRule="auto"/>
      </w:pPr>
      <w:r>
        <w:rPr>
          <w:sz w:val="19"/>
        </w:rPr>
        <w:t>Lo importante es que la demo muestre cómo una fuente entra al proceso de revisión, cómo se detectan o muestran señales relevantes, cómo se extrae u organiza evidencia verificable, cómo interviene un humano y cómo queda guardada la decisión.</w:t>
      </w:r>
    </w:p>
    <w:p>
      <w:pPr>
        <w:pStyle w:val="Heading1"/>
        <w:spacing w:before="160" w:after="80"/>
      </w:pPr>
      <w:r>
        <w:rPr>
          <w:b/>
          <w:color w:val="495B39"/>
          <w:sz w:val="26"/>
        </w:rPr>
        <w:t>Resultados esperados del prototipo</w:t>
      </w:r>
    </w:p>
    <w:p>
      <w:pPr>
        <w:spacing w:after="100" w:line="252" w:lineRule="auto"/>
      </w:pPr>
      <w:r>
        <w:rPr>
          <w:sz w:val="19"/>
        </w:rPr>
        <w:t>Una buena solución debería resolver algunos o todos estos resultados. No tienen que estar implementados de la misma manera ni en este orden:</w:t>
      </w:r>
    </w:p>
    <w:p>
      <w:pPr>
        <w:pStyle w:val="ListBullet"/>
        <w:spacing w:after="40"/>
      </w:pPr>
      <w:r>
        <w:rPr>
          <w:b/>
          <w:sz w:val="19"/>
        </w:rPr>
        <w:t xml:space="preserve">Entrada de fuentes: </w:t>
      </w:r>
      <w:r>
        <w:rPr>
          <w:sz w:val="19"/>
        </w:rPr>
        <w:t>Permitir trabajar con un paper, DOI, enlace o PDF. Si una integración real no alcanza a construirse, puede usarse un dataset o ejemplo simulado claramente marcado.</w:t>
      </w:r>
    </w:p>
    <w:p>
      <w:pPr>
        <w:pStyle w:val="ListBullet"/>
        <w:spacing w:after="40"/>
      </w:pPr>
      <w:r>
        <w:rPr>
          <w:b/>
          <w:sz w:val="19"/>
        </w:rPr>
        <w:t xml:space="preserve">Señales de confiabilidad: </w:t>
      </w:r>
      <w:r>
        <w:rPr>
          <w:sz w:val="19"/>
        </w:rPr>
        <w:t>Mostrar si existen señales como retractación, corrección, controversia, falta de metadatos o evidencia posterior que apoye o cuestione el paper.</w:t>
      </w:r>
    </w:p>
    <w:p>
      <w:pPr>
        <w:pStyle w:val="ListBullet"/>
        <w:spacing w:after="40"/>
      </w:pPr>
      <w:r>
        <w:rPr>
          <w:b/>
          <w:sz w:val="19"/>
        </w:rPr>
        <w:t xml:space="preserve">Evidencia verificable: </w:t>
      </w:r>
      <w:r>
        <w:rPr>
          <w:sz w:val="19"/>
        </w:rPr>
        <w:t>Extraer hallazgos como citas textuales exactas o fragmentos verificables. Si la herramienta no puede verificar una cita, debe marcarla como incierta o pendiente de revisión.</w:t>
      </w:r>
    </w:p>
    <w:p>
      <w:pPr>
        <w:pStyle w:val="ListBullet"/>
        <w:spacing w:after="40"/>
      </w:pPr>
      <w:r>
        <w:rPr>
          <w:b/>
          <w:sz w:val="19"/>
        </w:rPr>
        <w:t xml:space="preserve">Organización útil: </w:t>
      </w:r>
      <w:r>
        <w:rPr>
          <w:sz w:val="19"/>
        </w:rPr>
        <w:t>Ayudar a ordenar hallazgos por categorías, etiquetas, temas o cualquier estructura que facilite la revisión y reutilización posterior.</w:t>
      </w:r>
    </w:p>
    <w:p>
      <w:pPr>
        <w:pStyle w:val="ListBullet"/>
        <w:spacing w:after="40"/>
      </w:pPr>
      <w:r>
        <w:rPr>
          <w:b/>
          <w:sz w:val="19"/>
        </w:rPr>
        <w:t xml:space="preserve">Revisión humana: </w:t>
      </w:r>
      <w:r>
        <w:rPr>
          <w:sz w:val="19"/>
        </w:rPr>
        <w:t>Permitir que un revisor acepte, corrija, rechace o deje pendiente una sugerencia de la herramienta.</w:t>
      </w:r>
    </w:p>
    <w:p>
      <w:pPr>
        <w:pStyle w:val="ListBullet"/>
        <w:spacing w:after="40"/>
      </w:pPr>
      <w:r>
        <w:rPr>
          <w:b/>
          <w:sz w:val="19"/>
        </w:rPr>
        <w:t xml:space="preserve">Registro auditable: </w:t>
      </w:r>
      <w:r>
        <w:rPr>
          <w:sz w:val="19"/>
        </w:rPr>
        <w:t>Guardar una evidencia mínima de qué sugirió la herramienta, qué decidió el humano y por qué.</w:t>
      </w:r>
    </w:p>
    <w:p>
      <w:pPr>
        <w:pStyle w:val="Heading1"/>
        <w:spacing w:before="160" w:after="80"/>
      </w:pPr>
      <w:r>
        <w:rPr>
          <w:b/>
          <w:color w:val="495B39"/>
          <w:sz w:val="26"/>
        </w:rPr>
        <w:t>Lo que sí es obligatorio</w:t>
      </w:r>
    </w:p>
    <w:p>
      <w:pPr>
        <w:pStyle w:val="ListBullet"/>
        <w:spacing w:after="20"/>
        <w:ind w:left="259" w:hanging="173"/>
      </w:pPr>
      <w:r>
        <w:rPr>
          <w:sz w:val="19"/>
        </w:rPr>
        <w:t>Debe existir una decisión humana final. La herramienta no aprueba ni rechaza fuentes por sí sola.</w:t>
      </w:r>
    </w:p>
    <w:p>
      <w:pPr>
        <w:pStyle w:val="ListBullet"/>
        <w:spacing w:after="20"/>
        <w:ind w:left="259" w:hanging="173"/>
      </w:pPr>
      <w:r>
        <w:rPr>
          <w:sz w:val="19"/>
        </w:rPr>
        <w:t>Debe existir algún intento de revisar retractaciones, correcciones o señales de confiabilidad. Puede ser vía API real, dataset de prueba o simulación transparente.</w:t>
      </w:r>
    </w:p>
    <w:p>
      <w:pPr>
        <w:pStyle w:val="ListBullet"/>
        <w:spacing w:after="20"/>
        <w:ind w:left="259" w:hanging="173"/>
      </w:pPr>
      <w:r>
        <w:rPr>
          <w:sz w:val="19"/>
        </w:rPr>
        <w:t>Las citas o hallazgos no pueden ser inventados. Deben ser textuales/verificables o marcarse como inciertos.</w:t>
      </w:r>
    </w:p>
    <w:p>
      <w:pPr>
        <w:pStyle w:val="ListBullet"/>
        <w:spacing w:after="20"/>
        <w:ind w:left="259" w:hanging="173"/>
      </w:pPr>
      <w:r>
        <w:rPr>
          <w:sz w:val="19"/>
        </w:rPr>
        <w:t>Debe quedar algún registro de la sugerencia de la herramienta y la decisión del humano.</w:t>
      </w:r>
    </w:p>
    <w:p>
      <w:pPr>
        <w:pStyle w:val="ListBullet"/>
        <w:spacing w:after="20"/>
        <w:ind w:left="259" w:hanging="173"/>
      </w:pPr>
      <w:r>
        <w:rPr>
          <w:sz w:val="19"/>
        </w:rPr>
        <w:t>La solución debe ser honesta sobre sus límites: qué automatiza, qué simula y qué requiere revisión humana.</w:t>
      </w:r>
    </w:p>
    <w:p>
      <w:pPr>
        <w:pStyle w:val="Heading1"/>
        <w:spacing w:before="160" w:after="80"/>
      </w:pPr>
      <w:r>
        <w:rPr>
          <w:b/>
          <w:color w:val="495B39"/>
          <w:sz w:val="26"/>
        </w:rPr>
        <w:t>Lo que no esperamos</w:t>
      </w:r>
    </w:p>
    <w:p>
      <w:pPr>
        <w:pStyle w:val="ListBullet"/>
        <w:spacing w:after="20"/>
        <w:ind w:left="259" w:hanging="173"/>
      </w:pPr>
      <w:r>
        <w:rPr>
          <w:sz w:val="19"/>
        </w:rPr>
        <w:t>No esperamos un sistema perfecto de revisión científica.</w:t>
      </w:r>
    </w:p>
    <w:p>
      <w:pPr>
        <w:pStyle w:val="ListBullet"/>
        <w:spacing w:after="20"/>
        <w:ind w:left="259" w:hanging="173"/>
      </w:pPr>
      <w:r>
        <w:rPr>
          <w:sz w:val="19"/>
        </w:rPr>
        <w:t>No esperamos que el prototipo determine quién tiene razón en una controversia académica.</w:t>
      </w:r>
    </w:p>
    <w:p>
      <w:pPr>
        <w:pStyle w:val="ListBullet"/>
        <w:spacing w:after="20"/>
        <w:ind w:left="259" w:hanging="173"/>
      </w:pPr>
      <w:r>
        <w:rPr>
          <w:sz w:val="19"/>
        </w:rPr>
        <w:t>No esperamos integración completa con Doma ni con una biblioteca productiva de fuentes.</w:t>
      </w:r>
    </w:p>
    <w:p>
      <w:pPr>
        <w:pStyle w:val="ListBullet"/>
        <w:spacing w:after="20"/>
        <w:ind w:left="259" w:hanging="173"/>
      </w:pPr>
      <w:r>
        <w:rPr>
          <w:sz w:val="19"/>
        </w:rPr>
        <w:t>No esperamos un sistema clínico, diagnóstico o médico.</w:t>
      </w:r>
    </w:p>
    <w:p>
      <w:pPr>
        <w:pStyle w:val="ListBullet"/>
        <w:spacing w:after="20"/>
        <w:ind w:left="259" w:hanging="173"/>
      </w:pPr>
      <w:r>
        <w:rPr>
          <w:sz w:val="19"/>
        </w:rPr>
        <w:t>No esperamos detección perfecta de contradicciones.</w:t>
      </w:r>
    </w:p>
    <w:p>
      <w:pPr>
        <w:pStyle w:val="ListBullet"/>
        <w:spacing w:after="20"/>
        <w:ind w:left="259" w:hanging="173"/>
      </w:pPr>
      <w:r>
        <w:rPr>
          <w:sz w:val="19"/>
        </w:rPr>
        <w:t>No esperamos que la IA reemplace el criterio de expertos, asesores o revisores.</w:t>
      </w:r>
    </w:p>
    <w:p>
      <w:pPr>
        <w:pStyle w:val="Heading1"/>
        <w:spacing w:before="160" w:after="80"/>
      </w:pPr>
      <w:r>
        <w:rPr>
          <w:b/>
          <w:color w:val="495B39"/>
          <w:sz w:val="26"/>
        </w:rPr>
        <w:t>Libertad creativa</w:t>
      </w:r>
    </w:p>
    <w:p>
      <w:pPr>
        <w:spacing w:after="100" w:line="252" w:lineRule="auto"/>
      </w:pPr>
      <w:r>
        <w:rPr>
          <w:sz w:val="19"/>
        </w:rPr>
        <w:t>Los equipos tienen libertad para decidir interfaz, stack técnico, arquitectura, APIs, modelo de datos y estilo de demo. Se valoran soluciones pequeñas, claras y demostrables por encima de sistemas muy ambiciosos que no puedan probarse.</w:t>
      </w:r>
    </w:p>
    <w:p>
      <w:pPr>
        <w:spacing w:after="100" w:line="252" w:lineRule="auto"/>
      </w:pPr>
      <w:r>
        <w:rPr>
          <w:sz w:val="19"/>
        </w:rPr>
        <w:t>También se aceptan prototipos que resuelvan muy bien una parte crítica del problema. Por ejemplo: un extractor de citas verificables, un checker de retractaciones, una cola de revisión humana, un organizador de evidencia por categorías o un registro auditable excelente.</w:t>
      </w:r>
    </w:p>
    <w:p>
      <w:pPr>
        <w:pStyle w:val="Heading1"/>
        <w:spacing w:before="160" w:after="80"/>
      </w:pPr>
      <w:r>
        <w:rPr>
          <w:b/>
          <w:color w:val="495B39"/>
          <w:sz w:val="26"/>
        </w:rPr>
        <w:t>Categorías sugeridas, no obligatorias</w:t>
      </w:r>
    </w:p>
    <w:p>
      <w:pPr>
        <w:spacing w:after="100" w:line="252" w:lineRule="auto"/>
      </w:pPr>
      <w:r>
        <w:rPr>
          <w:sz w:val="19"/>
        </w:rPr>
        <w:t>Si el equipo decide organizar hallazgos por categorías, puede usar una lista simple. La clasificación puede ser automática, manual o asistida por 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1EC"/>
            <w:tcBorders>
              <w:top w:sz="8" w:val="single" w:color="C8AA99"/>
              <w:left w:sz="8" w:val="single" w:color="C8AA99"/>
              <w:bottom w:sz="8" w:val="single" w:color="C8AA99"/>
              <w:right w:sz="8" w:val="single" w:color="C8AA99"/>
            </w:tcBorders>
            <w:vAlign w:val="center"/>
          </w:tcPr>
          <w:p>
            <w:pPr>
              <w:spacing w:after="60"/>
            </w:pPr>
            <w:r>
              <w:rPr>
                <w:b/>
                <w:color w:val="3C502D"/>
                <w:sz w:val="20"/>
              </w:rPr>
              <w:t>Ejemplos de etiquetas</w:t>
            </w:r>
          </w:p>
          <w:p>
            <w:pPr>
              <w:spacing w:after="40"/>
            </w:pPr>
            <w:r>
              <w:rPr>
                <w:color w:val="323232"/>
                <w:sz w:val="20"/>
              </w:rPr>
              <w:t>sueño · atención · redes sociales y estado de ánimo · tiempo de pantalla · dinámica familiar · escuela · pares · regulación emocional · hábitos · creatividad · empatía · ansiedad/estrés · actividad física · contenido digital · uso problemático</w:t>
            </w:r>
          </w:p>
        </w:tc>
      </w:tr>
    </w:tbl>
    <w:p>
      <w:pPr>
        <w:spacing w:after="60"/>
      </w:pPr>
    </w:p>
    <w:p>
      <w:pPr>
        <w:pStyle w:val="Heading1"/>
        <w:spacing w:before="160" w:after="80"/>
      </w:pPr>
      <w:r>
        <w:rPr>
          <w:b/>
          <w:color w:val="495B39"/>
          <w:sz w:val="26"/>
        </w:rPr>
        <w:t>Criterios de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4B633C"/>
            <w:tcBorders>
              <w:top w:sz="4" w:val="single" w:color="D9DFD2"/>
              <w:left w:sz="4" w:val="single" w:color="D9DFD2"/>
              <w:bottom w:sz="4" w:val="single" w:color="D9DFD2"/>
              <w:right w:sz="4" w:val="single" w:color="D9DFD2"/>
            </w:tcBorders>
          </w:tcPr>
          <w:p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5083"/>
            <w:shd w:fill="4B633C"/>
            <w:tcBorders>
              <w:top w:sz="4" w:val="single" w:color="D9DFD2"/>
              <w:left w:sz="4" w:val="single" w:color="D9DFD2"/>
              <w:bottom w:sz="4" w:val="single" w:color="D9DFD2"/>
              <w:right w:sz="4" w:val="single" w:color="D9DFD2"/>
            </w:tcBorders>
          </w:tcPr>
          <w:p>
            <w:r>
              <w:rPr>
                <w:b/>
                <w:color w:val="FFFFFF"/>
                <w:sz w:val="18"/>
              </w:rPr>
              <w:t>Qué se evaluará</w:t>
            </w:r>
          </w:p>
        </w:tc>
      </w:tr>
      <w:tr>
        <w:tc>
          <w:tcPr>
            <w:tcW w:type="dxa" w:w="5083"/>
            <w:vAlign w:val="top"/>
            <w:tcBorders>
              <w:top w:sz="4" w:val="single" w:color="D9DFD2"/>
              <w:left w:sz="4" w:val="single" w:color="D9DFD2"/>
              <w:bottom w:sz="4" w:val="single" w:color="D9DFD2"/>
              <w:right w:sz="4" w:val="single" w:color="D9DFD2"/>
            </w:tcBorders>
          </w:tcPr>
          <w:p>
            <w:pPr>
              <w:spacing w:after="20"/>
            </w:pPr>
            <w:r>
              <w:rPr>
                <w:sz w:val="17"/>
              </w:rPr>
              <w:t>Comprensión del problema</w:t>
            </w:r>
          </w:p>
        </w:tc>
        <w:tc>
          <w:tcPr>
            <w:tcW w:type="dxa" w:w="5083"/>
            <w:vAlign w:val="top"/>
            <w:tcBorders>
              <w:top w:sz="4" w:val="single" w:color="D9DFD2"/>
              <w:left w:sz="4" w:val="single" w:color="D9DFD2"/>
              <w:bottom w:sz="4" w:val="single" w:color="D9DFD2"/>
              <w:right w:sz="4" w:val="single" w:color="D9DFD2"/>
            </w:tcBorders>
          </w:tcPr>
          <w:p>
            <w:pPr>
              <w:spacing w:after="20"/>
            </w:pPr>
            <w:r>
              <w:rPr>
                <w:sz w:val="17"/>
              </w:rPr>
              <w:t>La solución entiende que el objetivo es asistir a revisores humanos, no reemplazarlos.</w:t>
            </w:r>
          </w:p>
        </w:tc>
      </w:tr>
      <w:tr>
        <w:tc>
          <w:tcPr>
            <w:tcW w:type="dxa" w:w="5083"/>
            <w:vAlign w:val="top"/>
            <w:tcBorders>
              <w:top w:sz="4" w:val="single" w:color="D9DFD2"/>
              <w:left w:sz="4" w:val="single" w:color="D9DFD2"/>
              <w:bottom w:sz="4" w:val="single" w:color="D9DFD2"/>
              <w:right w:sz="4" w:val="single" w:color="D9DFD2"/>
            </w:tcBorders>
          </w:tcPr>
          <w:p>
            <w:pPr>
              <w:spacing w:after="20"/>
            </w:pPr>
            <w:r>
              <w:rPr>
                <w:sz w:val="17"/>
              </w:rPr>
              <w:t>Utilidad práctica</w:t>
            </w:r>
          </w:p>
        </w:tc>
        <w:tc>
          <w:tcPr>
            <w:tcW w:type="dxa" w:w="5083"/>
            <w:vAlign w:val="top"/>
            <w:tcBorders>
              <w:top w:sz="4" w:val="single" w:color="D9DFD2"/>
              <w:left w:sz="4" w:val="single" w:color="D9DFD2"/>
              <w:bottom w:sz="4" w:val="single" w:color="D9DFD2"/>
              <w:right w:sz="4" w:val="single" w:color="D9DFD2"/>
            </w:tcBorders>
          </w:tcPr>
          <w:p>
            <w:pPr>
              <w:spacing w:after="20"/>
            </w:pPr>
            <w:r>
              <w:rPr>
                <w:sz w:val="17"/>
              </w:rPr>
              <w:t>El prototipo reduce tiempo, fricción o desorden en la revisión de fuentes.</w:t>
            </w:r>
          </w:p>
        </w:tc>
      </w:tr>
      <w:tr>
        <w:tc>
          <w:tcPr>
            <w:tcW w:type="dxa" w:w="5083"/>
            <w:vAlign w:val="top"/>
            <w:tcBorders>
              <w:top w:sz="4" w:val="single" w:color="D9DFD2"/>
              <w:left w:sz="4" w:val="single" w:color="D9DFD2"/>
              <w:bottom w:sz="4" w:val="single" w:color="D9DFD2"/>
              <w:right w:sz="4" w:val="single" w:color="D9DFD2"/>
            </w:tcBorders>
          </w:tcPr>
          <w:p>
            <w:pPr>
              <w:spacing w:after="20"/>
            </w:pPr>
            <w:r>
              <w:rPr>
                <w:sz w:val="17"/>
              </w:rPr>
              <w:t>Verificabilidad</w:t>
            </w:r>
          </w:p>
        </w:tc>
        <w:tc>
          <w:tcPr>
            <w:tcW w:type="dxa" w:w="5083"/>
            <w:vAlign w:val="top"/>
            <w:tcBorders>
              <w:top w:sz="4" w:val="single" w:color="D9DFD2"/>
              <w:left w:sz="4" w:val="single" w:color="D9DFD2"/>
              <w:bottom w:sz="4" w:val="single" w:color="D9DFD2"/>
              <w:right w:sz="4" w:val="single" w:color="D9DFD2"/>
            </w:tcBorders>
          </w:tcPr>
          <w:p>
            <w:pPr>
              <w:spacing w:after="20"/>
            </w:pPr>
            <w:r>
              <w:rPr>
                <w:sz w:val="17"/>
              </w:rPr>
              <w:t>Los hallazgos importantes pueden rastrearse al documento original o quedan marcados como inciertos.</w:t>
            </w:r>
          </w:p>
        </w:tc>
      </w:tr>
      <w:tr>
        <w:tc>
          <w:tcPr>
            <w:tcW w:type="dxa" w:w="5083"/>
            <w:vAlign w:val="top"/>
            <w:tcBorders>
              <w:top w:sz="4" w:val="single" w:color="D9DFD2"/>
              <w:left w:sz="4" w:val="single" w:color="D9DFD2"/>
              <w:bottom w:sz="4" w:val="single" w:color="D9DFD2"/>
              <w:right w:sz="4" w:val="single" w:color="D9DFD2"/>
            </w:tcBorders>
          </w:tcPr>
          <w:p>
            <w:pPr>
              <w:spacing w:after="20"/>
            </w:pPr>
            <w:r>
              <w:rPr>
                <w:sz w:val="17"/>
              </w:rPr>
              <w:t>Señales de alerta</w:t>
            </w:r>
          </w:p>
        </w:tc>
        <w:tc>
          <w:tcPr>
            <w:tcW w:type="dxa" w:w="5083"/>
            <w:vAlign w:val="top"/>
            <w:tcBorders>
              <w:top w:sz="4" w:val="single" w:color="D9DFD2"/>
              <w:left w:sz="4" w:val="single" w:color="D9DFD2"/>
              <w:bottom w:sz="4" w:val="single" w:color="D9DFD2"/>
              <w:right w:sz="4" w:val="single" w:color="D9DFD2"/>
            </w:tcBorders>
          </w:tcPr>
          <w:p>
            <w:pPr>
              <w:spacing w:after="20"/>
            </w:pPr>
            <w:r>
              <w:rPr>
                <w:sz w:val="17"/>
              </w:rPr>
              <w:t>La solución muestra retractaciones, correcciones, controversias o riesgos de revisión de forma clara.</w:t>
            </w:r>
          </w:p>
        </w:tc>
      </w:tr>
      <w:tr>
        <w:tc>
          <w:tcPr>
            <w:tcW w:type="dxa" w:w="5083"/>
            <w:vAlign w:val="top"/>
            <w:tcBorders>
              <w:top w:sz="4" w:val="single" w:color="D9DFD2"/>
              <w:left w:sz="4" w:val="single" w:color="D9DFD2"/>
              <w:bottom w:sz="4" w:val="single" w:color="D9DFD2"/>
              <w:right w:sz="4" w:val="single" w:color="D9DFD2"/>
            </w:tcBorders>
          </w:tcPr>
          <w:p>
            <w:pPr>
              <w:spacing w:after="20"/>
            </w:pPr>
            <w:r>
              <w:rPr>
                <w:sz w:val="17"/>
              </w:rPr>
              <w:t>Revisión humana</w:t>
            </w:r>
          </w:p>
        </w:tc>
        <w:tc>
          <w:tcPr>
            <w:tcW w:type="dxa" w:w="5083"/>
            <w:vAlign w:val="top"/>
            <w:tcBorders>
              <w:top w:sz="4" w:val="single" w:color="D9DFD2"/>
              <w:left w:sz="4" w:val="single" w:color="D9DFD2"/>
              <w:bottom w:sz="4" w:val="single" w:color="D9DFD2"/>
              <w:right w:sz="4" w:val="single" w:color="D9DFD2"/>
            </w:tcBorders>
          </w:tcPr>
          <w:p>
            <w:pPr>
              <w:spacing w:after="20"/>
            </w:pPr>
            <w:r>
              <w:rPr>
                <w:sz w:val="17"/>
              </w:rPr>
              <w:t>El revisor puede tomar una decisión explícita y modificar/corregir lo sugerido.</w:t>
            </w:r>
          </w:p>
        </w:tc>
      </w:tr>
      <w:tr>
        <w:tc>
          <w:tcPr>
            <w:tcW w:type="dxa" w:w="5083"/>
            <w:vAlign w:val="top"/>
            <w:tcBorders>
              <w:top w:sz="4" w:val="single" w:color="D9DFD2"/>
              <w:left w:sz="4" w:val="single" w:color="D9DFD2"/>
              <w:bottom w:sz="4" w:val="single" w:color="D9DFD2"/>
              <w:right w:sz="4" w:val="single" w:color="D9DFD2"/>
            </w:tcBorders>
          </w:tcPr>
          <w:p>
            <w:pPr>
              <w:spacing w:after="20"/>
            </w:pPr>
            <w:r>
              <w:rPr>
                <w:sz w:val="17"/>
              </w:rPr>
              <w:t>Trazabilidad</w:t>
            </w:r>
          </w:p>
        </w:tc>
        <w:tc>
          <w:tcPr>
            <w:tcW w:type="dxa" w:w="5083"/>
            <w:vAlign w:val="top"/>
            <w:tcBorders>
              <w:top w:sz="4" w:val="single" w:color="D9DFD2"/>
              <w:left w:sz="4" w:val="single" w:color="D9DFD2"/>
              <w:bottom w:sz="4" w:val="single" w:color="D9DFD2"/>
              <w:right w:sz="4" w:val="single" w:color="D9DFD2"/>
            </w:tcBorders>
          </w:tcPr>
          <w:p>
            <w:pPr>
              <w:spacing w:after="20"/>
            </w:pPr>
            <w:r>
              <w:rPr>
                <w:sz w:val="17"/>
              </w:rPr>
              <w:t>Queda registro de entradas, sugerencias, cambios y decisión final.</w:t>
            </w:r>
          </w:p>
        </w:tc>
      </w:tr>
      <w:tr>
        <w:tc>
          <w:tcPr>
            <w:tcW w:type="dxa" w:w="5083"/>
            <w:vAlign w:val="top"/>
            <w:tcBorders>
              <w:top w:sz="4" w:val="single" w:color="D9DFD2"/>
              <w:left w:sz="4" w:val="single" w:color="D9DFD2"/>
              <w:bottom w:sz="4" w:val="single" w:color="D9DFD2"/>
              <w:right w:sz="4" w:val="single" w:color="D9DFD2"/>
            </w:tcBorders>
          </w:tcPr>
          <w:p>
            <w:pPr>
              <w:spacing w:after="20"/>
            </w:pPr>
            <w:r>
              <w:rPr>
                <w:sz w:val="17"/>
              </w:rPr>
              <w:t>Claridad de demo</w:t>
            </w:r>
          </w:p>
        </w:tc>
        <w:tc>
          <w:tcPr>
            <w:tcW w:type="dxa" w:w="5083"/>
            <w:vAlign w:val="top"/>
            <w:tcBorders>
              <w:top w:sz="4" w:val="single" w:color="D9DFD2"/>
              <w:left w:sz="4" w:val="single" w:color="D9DFD2"/>
              <w:bottom w:sz="4" w:val="single" w:color="D9DFD2"/>
              <w:right w:sz="4" w:val="single" w:color="D9DFD2"/>
            </w:tcBorders>
          </w:tcPr>
          <w:p>
            <w:pPr>
              <w:spacing w:after="20"/>
            </w:pPr>
            <w:r>
              <w:rPr>
                <w:sz w:val="17"/>
              </w:rPr>
              <w:t>El equipo puede explicar y demostrar el prototipo en pocos minutos.</w:t>
            </w:r>
          </w:p>
        </w:tc>
      </w:tr>
      <w:tr>
        <w:tc>
          <w:tcPr>
            <w:tcW w:type="dxa" w:w="5083"/>
            <w:vAlign w:val="top"/>
            <w:tcBorders>
              <w:top w:sz="4" w:val="single" w:color="D9DFD2"/>
              <w:left w:sz="4" w:val="single" w:color="D9DFD2"/>
              <w:bottom w:sz="4" w:val="single" w:color="D9DFD2"/>
              <w:right w:sz="4" w:val="single" w:color="D9DFD2"/>
            </w:tcBorders>
          </w:tcPr>
          <w:p>
            <w:pPr>
              <w:spacing w:after="20"/>
            </w:pPr>
            <w:r>
              <w:rPr>
                <w:sz w:val="17"/>
              </w:rPr>
              <w:t>Creatividad responsable</w:t>
            </w:r>
          </w:p>
        </w:tc>
        <w:tc>
          <w:tcPr>
            <w:tcW w:type="dxa" w:w="5083"/>
            <w:vAlign w:val="top"/>
            <w:tcBorders>
              <w:top w:sz="4" w:val="single" w:color="D9DFD2"/>
              <w:left w:sz="4" w:val="single" w:color="D9DFD2"/>
              <w:bottom w:sz="4" w:val="single" w:color="D9DFD2"/>
              <w:right w:sz="4" w:val="single" w:color="D9DFD2"/>
            </w:tcBorders>
          </w:tcPr>
          <w:p>
            <w:pPr>
              <w:spacing w:after="20"/>
            </w:pPr>
            <w:r>
              <w:rPr>
                <w:sz w:val="17"/>
              </w:rPr>
              <w:t>La solución propone un enfoque propio sin romper la regla de human sign-off.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rPr>
          <w:b/>
          <w:color w:val="495B39"/>
          <w:sz w:val="26"/>
        </w:rPr>
        <w:t>Entregables esperados</w:t>
      </w:r>
    </w:p>
    <w:p>
      <w:pPr>
        <w:pStyle w:val="ListBullet"/>
        <w:spacing w:after="20"/>
        <w:ind w:left="259" w:hanging="173"/>
      </w:pPr>
      <w:r>
        <w:rPr>
          <w:sz w:val="19"/>
        </w:rPr>
        <w:t>Demo funcional, prototipo navegable o prueba técnica clara.</w:t>
      </w:r>
    </w:p>
    <w:p>
      <w:pPr>
        <w:pStyle w:val="ListBullet"/>
        <w:spacing w:after="20"/>
        <w:ind w:left="259" w:hanging="173"/>
      </w:pPr>
      <w:r>
        <w:rPr>
          <w:sz w:val="19"/>
        </w:rPr>
        <w:t>Explicación breve del problema elegido y del enfoque propuesto.</w:t>
      </w:r>
    </w:p>
    <w:p>
      <w:pPr>
        <w:pStyle w:val="ListBullet"/>
        <w:spacing w:after="20"/>
        <w:ind w:left="259" w:hanging="173"/>
      </w:pPr>
      <w:r>
        <w:rPr>
          <w:sz w:val="19"/>
        </w:rPr>
        <w:t>Ejemplo de 1 a 3 fuentes procesadas o simuladas.</w:t>
      </w:r>
    </w:p>
    <w:p>
      <w:pPr>
        <w:pStyle w:val="ListBullet"/>
        <w:spacing w:after="20"/>
        <w:ind w:left="259" w:hanging="173"/>
      </w:pPr>
      <w:r>
        <w:rPr>
          <w:sz w:val="19"/>
        </w:rPr>
        <w:t>Muestra de los hallazgos, señales de alerta y decisión humana.</w:t>
      </w:r>
    </w:p>
    <w:p>
      <w:pPr>
        <w:pStyle w:val="ListBullet"/>
        <w:spacing w:after="20"/>
        <w:ind w:left="259" w:hanging="173"/>
      </w:pPr>
      <w:r>
        <w:rPr>
          <w:sz w:val="19"/>
        </w:rPr>
        <w:t>Indicación clara de qué partes son reales, simuladas o pendientes.</w:t>
      </w:r>
    </w:p>
    <w:p>
      <w:pPr>
        <w:pStyle w:val="ListBullet"/>
        <w:spacing w:after="20"/>
        <w:ind w:left="259" w:hanging="173"/>
      </w:pPr>
      <w:r>
        <w:rPr>
          <w:sz w:val="19"/>
        </w:rPr>
        <w:t>Limitaciones conocidas y próximos pasos recomendados.</w:t>
      </w:r>
    </w:p>
    <w:p>
      <w:pPr>
        <w:pStyle w:val="Heading1"/>
        <w:spacing w:before="160" w:after="80"/>
      </w:pPr>
      <w:r>
        <w:rPr>
          <w:b/>
          <w:color w:val="495B39"/>
          <w:sz w:val="26"/>
        </w:rPr>
        <w:t>Imagen de éxito</w:t>
      </w:r>
    </w:p>
    <w:p>
      <w:pPr>
        <w:spacing w:after="100" w:line="252" w:lineRule="auto"/>
      </w:pPr>
      <w:r>
        <w:rPr>
          <w:sz w:val="19"/>
        </w:rPr>
        <w:t>Una demo exitosa no tiene que ser grande. Debe demostrar que el equipo entendió el problema: ayudar a un humano a revisar evidencia más rápido, con menos trabajo repetitivo y con mejor trazabilidad.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3E9"/>
            <w:tcBorders>
              <w:top w:sz="8" w:val="single" w:color="AEBE9A"/>
              <w:left w:sz="8" w:val="single" w:color="AEBE9A"/>
              <w:bottom w:sz="8" w:val="single" w:color="AEBE9A"/>
              <w:right w:sz="8" w:val="single" w:color="AEBE9A"/>
            </w:tcBorders>
            <w:vAlign w:val="center"/>
          </w:tcPr>
          <w:p>
            <w:pPr>
              <w:spacing w:after="60"/>
            </w:pPr>
            <w:r>
              <w:rPr>
                <w:b/>
                <w:color w:val="3C502D"/>
                <w:sz w:val="20"/>
              </w:rPr>
              <w:t>Frase guía</w:t>
            </w:r>
          </w:p>
          <w:p>
            <w:pPr>
              <w:spacing w:after="40"/>
            </w:pPr>
            <w:r>
              <w:rPr>
                <w:color w:val="323232"/>
                <w:sz w:val="20"/>
              </w:rPr>
              <w:t>Una buena solución no intenta reemplazar al experto. Le ahorra tiempo, le muestra señales de alerta y deja trazabilidad de la decisión.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787878"/>
        <w:sz w:val="16"/>
      </w:rPr>
      <w:t>Digital Wellness Technologies · Brief de hackathon · Uso interno / participantes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