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1.png" ContentType="image/png"/>
  <Override PartName="/word/media/rId38.png" ContentType="image/png"/>
  <Override PartName="/word/media/rId46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Chronotype in the Neural and Behavioural Evaluation of Decision Feedback: Converging ERP, Computational, and Fusion Evidence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Chronotype, the stable individual preference for morning versus evening activity,</w:t>
      </w:r>
      <w:r>
        <w:t xml:space="preserve"> </w:t>
      </w:r>
      <w:r>
        <w:t xml:space="preserve">has been linked to differences in reward sensitivity and decision-making, but its</w:t>
      </w:r>
      <w:r>
        <w:t xml:space="preserve"> </w:t>
      </w:r>
      <w:r>
        <w:t xml:space="preserve">neural correlates during feedback processing are not well characterized. We</w:t>
      </w:r>
      <w:r>
        <w:t xml:space="preserve"> </w:t>
      </w:r>
      <w:r>
        <w:t xml:space="preserve">recorded EEG while 39 participants (19 Evening, 20 Morning) performed a risky</w:t>
      </w:r>
      <w:r>
        <w:t xml:space="preserve"> </w:t>
      </w:r>
      <w:r>
        <w:t xml:space="preserve">decision-making task with trial-by-trial gain/loss feedback, and characterized</w:t>
      </w:r>
      <w:r>
        <w:t xml:space="preserve"> </w:t>
      </w:r>
      <w:r>
        <w:t xml:space="preserve">chronotype through converging event-related potential (ERP), computational, and</w:t>
      </w:r>
      <w:r>
        <w:t xml:space="preserve"> </w:t>
      </w:r>
      <w:r>
        <w:t xml:space="preserve">multimodal-fusion analyses under a uniformly leakage-safe, permutation-clean</w:t>
      </w:r>
      <w:r>
        <w:t xml:space="preserve"> </w:t>
      </w:r>
      <w:r>
        <w:t xml:space="preserve">evaluation. First, Morning and Evening chronotypes differed robustly in the</w:t>
      </w:r>
      <w:r>
        <w:t xml:space="preserve"> </w:t>
      </w:r>
      <w:r>
        <w:t xml:space="preserve">feedback-locked</w:t>
      </w:r>
      <w:r>
        <w:t xml:space="preserve"> </w:t>
      </w:r>
      <w:r>
        <w:rPr>
          <w:b/>
          <w:bCs/>
        </w:rPr>
        <w:t xml:space="preserve">posterior P300</w:t>
      </w:r>
      <w:r>
        <w:t xml:space="preserve">: the parietal/posterior loss-minus-gain</w:t>
      </w:r>
      <w:r>
        <w:t xml:space="preserve"> </w:t>
      </w:r>
      <w:r>
        <w:t xml:space="preserve">contrast separated the groups with large effect sizes (Pz Cohen’s d = -1.04, FDR</w:t>
      </w:r>
      <w:r>
        <w:t xml:space="preserve"> </w:t>
      </w:r>
      <w:r>
        <w:t xml:space="preserve">p = 0.034; POz d = -0.92, FDR p = 0.045), invariant across participant-exclusion</w:t>
      </w:r>
      <w:r>
        <w:t xml:space="preserve"> </w:t>
      </w:r>
      <w:r>
        <w:t xml:space="preserve">sensitivity analyses (d ≈ -1.0, p &lt; 0.011 throughout) and directionally confirmed</w:t>
      </w:r>
      <w:r>
        <w:t xml:space="preserve"> </w:t>
      </w:r>
      <w:r>
        <w:t xml:space="preserve">against the continuous MEQ score. Second, a causal recurrent (GRU) model of</w:t>
      </w:r>
      <w:r>
        <w:t xml:space="preserve"> </w:t>
      </w:r>
      <w:r>
        <w:t xml:space="preserve">risky-choice</w:t>
      </w:r>
      <w:r>
        <w:t xml:space="preserve"> </w:t>
      </w:r>
      <w:r>
        <w:rPr>
          <w:b/>
          <w:bCs/>
        </w:rPr>
        <w:t xml:space="preserve">dynamics</w:t>
      </w:r>
      <w:r>
        <w:t xml:space="preserve"> </w:t>
      </w:r>
      <w:r>
        <w:t xml:space="preserve">decoded chronotype from behaviour alone (out-of-fold</w:t>
      </w:r>
      <w:r>
        <w:t xml:space="preserve"> </w:t>
      </w:r>
      <w:r>
        <w:t xml:space="preserve">ROC AUC 0.713, permutation p = 0.027), independent of EEG. Third, and centrally,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dynamics with the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 </w:t>
      </w:r>
      <w:r>
        <w:t xml:space="preserve">— chronotype decoding rose to AUC 0.797 (p = 0.004; bootstrap</w:t>
      </w:r>
      <w:r>
        <w:t xml:space="preserve"> </w:t>
      </w:r>
      <w:r>
        <w:t xml:space="preserve">95% CI [0.64, 0.92]), exceeding either modality alone and predicting the</w:t>
      </w:r>
      <w:r>
        <w:t xml:space="preserve"> </w:t>
      </w:r>
      <w:r>
        <w:t xml:space="preserve">continuous MEQ score (r = 0.34, p = 0.027) — indicating partly independent</w:t>
      </w:r>
      <w:r>
        <w:t xml:space="preserve"> </w:t>
      </w:r>
      <w:r>
        <w:t xml:space="preserve">behavioural and neural information. An exploratory asymmetric reinforcement-learning</w:t>
      </w:r>
      <w:r>
        <w:t xml:space="preserve"> </w:t>
      </w:r>
      <w:r>
        <w:t xml:space="preserve">analysis suggested chronotype differences in outcome-specific learning and choice</w:t>
      </w:r>
      <w:r>
        <w:t xml:space="preserve"> </w:t>
      </w:r>
      <w:r>
        <w:t xml:space="preserve">consistency, but these were weakly identified and did not survive a hierarchical</w:t>
      </w:r>
      <w:r>
        <w:t xml:space="preserve"> </w:t>
      </w:r>
      <w:r>
        <w:t xml:space="preserve">partial-pooling refit, so the mechanism is reported as tentative. Two honest</w:t>
      </w:r>
      <w:r>
        <w:t xml:space="preserve"> </w:t>
      </w:r>
      <w:r>
        <w:t xml:space="preserve">negatives bound the claim: an end-to-end network (EEGNet) decoded single-trial</w:t>
      </w:r>
      <w:r>
        <w:t xml:space="preserve"> </w:t>
      </w:r>
      <w:r>
        <w:t xml:space="preserve">feedback valence cross-subject (AUC 0.64)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recover chronotype from</w:t>
      </w:r>
      <w:r>
        <w:t xml:space="preserve"> </w:t>
      </w:r>
      <w:r>
        <w:t xml:space="preserve">learned features at this sample size, and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 single-trial P300→next-choice coupling (d = -0.36,</w:t>
      </w:r>
      <w:r>
        <w:t xml:space="preserve"> </w:t>
      </w:r>
      <w:r>
        <w:t xml:space="preserve">p = 0.22), localising it to the between-subject/trait level. The results provide</w:t>
      </w:r>
      <w:r>
        <w:t xml:space="preserve"> </w:t>
      </w:r>
      <w:r>
        <w:t xml:space="preserve">preliminary single-cohort evidence that chronotype shapes the neural evaluation</w:t>
      </w:r>
      <w:r>
        <w:t xml:space="preserve"> </w:t>
      </w:r>
      <w:r>
        <w:t xml:space="preserve">of decision feedback — concentrated in the posterior P300 — and that this neural</w:t>
      </w:r>
      <w:r>
        <w:t xml:space="preserve"> </w:t>
      </w:r>
      <w:r>
        <w:t xml:space="preserve">signature converges super-additively with the behavioural dynamics of risky</w:t>
      </w:r>
      <w:r>
        <w:t xml:space="preserve"> </w:t>
      </w:r>
      <w:r>
        <w:t xml:space="preserve">choice.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describes stable inter-individual variation in the diurnal timing of</w:t>
      </w:r>
      <w:r>
        <w:t xml:space="preserve"> </w:t>
      </w:r>
      <w:r>
        <w:t xml:space="preserve">sleep, alertness, and performance, commonly indexed by the Morningness-Eveningness</w:t>
      </w:r>
      <w:r>
        <w:t xml:space="preserve"> </w:t>
      </w:r>
      <w:r>
        <w:t xml:space="preserve">Questionnaire (MEQ) and the Munich ChronoType Questionnaire (MCTQ; Horne &amp;</w:t>
      </w:r>
      <w:r>
        <w:t xml:space="preserve"> </w:t>
      </w:r>
      <w:r>
        <w:t xml:space="preserve">Ostberg, 1976; Roenneberg et al., 2003). It is more than a sleep-timing</w:t>
      </w:r>
      <w:r>
        <w:t xml:space="preserve"> </w:t>
      </w:r>
      <w:r>
        <w:t xml:space="preserve">preference: chronotype is embedded in circadian physiology and has been linked to</w:t>
      </w:r>
      <w:r>
        <w:t xml:space="preserve"> </w:t>
      </w:r>
      <w:r>
        <w:t xml:space="preserve">broad differences in affect, cognition, and self-regulation (Adan et al., 2012). Of</w:t>
      </w:r>
      <w:r>
        <w:t xml:space="preserve"> </w:t>
      </w:r>
      <w:r>
        <w:t xml:space="preserve">particular relevance to decision-making, evening-type individuals are frequently</w:t>
      </w:r>
      <w:r>
        <w:t xml:space="preserve"> </w:t>
      </w:r>
      <w:r>
        <w:t xml:space="preserve">reported to show greater sensation seeking and reward sensitivity (Muro et al.,</w:t>
      </w:r>
      <w:r>
        <w:t xml:space="preserve"> </w:t>
      </w:r>
      <w:r>
        <w:t xml:space="preserve">2012), higher impulsivity (Adan et al., 2010; McGowan &amp; Coogan, 2018), stronger</w:t>
      </w:r>
      <w:r>
        <w:t xml:space="preserve"> </w:t>
      </w:r>
      <w:r>
        <w:t xml:space="preserve">approach-related (BIS/BAS) tendencies (Randler et al., 2014), and more risk-taking</w:t>
      </w:r>
      <w:r>
        <w:t xml:space="preserve"> </w:t>
      </w:r>
      <w:r>
        <w:t xml:space="preserve">(Killgore, 2007) than morning types, a profile that plausibly reflects differences</w:t>
      </w:r>
      <w:r>
        <w:t xml:space="preserve"> </w:t>
      </w:r>
      <w:r>
        <w:t xml:space="preserve">in how the outcomes of choices — gains and losses — are evaluated. Neuroimaging has</w:t>
      </w:r>
      <w:r>
        <w:t xml:space="preserve"> </w:t>
      </w:r>
      <w:r>
        <w:t xml:space="preserve">begun to link evening-ness to altered reward-related brain function (Hasler et al.,</w:t>
      </w:r>
      <w:r>
        <w:t xml:space="preserve"> </w:t>
      </w:r>
      <w:r>
        <w:t xml:space="preserve">2013; Hasler &amp; Clark, 2013). Yet most evidence for this link is behavioural or</w:t>
      </w:r>
      <w:r>
        <w:t xml:space="preserve"> </w:t>
      </w:r>
      <w:r>
        <w:t xml:space="preserve">trait-questionnaire based, and the</w:t>
      </w:r>
      <w:r>
        <w:t xml:space="preserve"> </w:t>
      </w:r>
      <w:r>
        <w:rPr>
          <w:i/>
          <w:iCs/>
        </w:rPr>
        <w:t xml:space="preserve">neural</w:t>
      </w:r>
      <w:r>
        <w:t xml:space="preserve"> </w:t>
      </w:r>
      <w:r>
        <w:t xml:space="preserve">processing of decision feedback in</w:t>
      </w:r>
      <w:r>
        <w:t xml:space="preserve"> </w:t>
      </w:r>
      <w:r>
        <w:t xml:space="preserve">morning versus evening types — its feedback-locked electrophysiology — remains</w:t>
      </w:r>
      <w:r>
        <w:t xml:space="preserve"> </w:t>
      </w:r>
      <w:r>
        <w:t xml:space="preserve">poorly characterized.</w:t>
      </w:r>
    </w:p>
    <w:p>
      <w:pPr>
        <w:pStyle w:val="BodyText"/>
      </w:pPr>
      <w:r>
        <w:t xml:space="preserve">Feedback during value-based decisions elicits well-characterized event-related</w:t>
      </w:r>
      <w:r>
        <w:t xml:space="preserve"> </w:t>
      </w:r>
      <w:r>
        <w:t xml:space="preserve">potentials (ERPs) that dissociate distinct evaluative processes. The</w:t>
      </w:r>
      <w:r>
        <w:t xml:space="preserve"> </w:t>
      </w:r>
      <w:r>
        <w:t xml:space="preserve">feedback-related negativity (FRN), a frontocentral deflection peaking ~250-300 ms</w:t>
      </w:r>
      <w:r>
        <w:t xml:space="preserve"> </w:t>
      </w:r>
      <w:r>
        <w:t xml:space="preserve">after outcome onset, is sensitive to outcome valence and has been interpreted as a</w:t>
      </w:r>
      <w:r>
        <w:t xml:space="preserve"> </w:t>
      </w:r>
      <w:r>
        <w:t xml:space="preserve">reward-prediction-error signal arising from midbrain-to-medial-frontal projections</w:t>
      </w:r>
      <w:r>
        <w:t xml:space="preserve"> </w:t>
      </w:r>
      <w:r>
        <w:t xml:space="preserve">(Gehring &amp; Willoughby, 2002; Hajcak et al., 2007; Holroyd &amp; Coles, 2002; Miltner</w:t>
      </w:r>
      <w:r>
        <w:t xml:space="preserve"> </w:t>
      </w:r>
      <w:r>
        <w:t xml:space="preserve">et al., 1997; Sambrook &amp; Goslin, 2015), and its reward-sensitive positive</w:t>
      </w:r>
      <w:r>
        <w:t xml:space="preserve"> </w:t>
      </w:r>
      <w:r>
        <w:t xml:space="preserve">counterpart is the reward positivity (Proudfit, 2015). The feedback P300, a later parietal/posterior</w:t>
      </w:r>
      <w:r>
        <w:t xml:space="preserve"> </w:t>
      </w:r>
      <w:r>
        <w:t xml:space="preserve">positivity, scales with the motivational salience and subjective significance of</w:t>
      </w:r>
      <w:r>
        <w:t xml:space="preserve"> </w:t>
      </w:r>
      <w:r>
        <w:t xml:space="preserve">outcomes and the allocation of attention to them (Polich, 2007; San Martín, 2012;</w:t>
      </w:r>
      <w:r>
        <w:t xml:space="preserve"> </w:t>
      </w:r>
      <w:r>
        <w:t xml:space="preserve">Wu &amp; Zhou, 2009; Yeung &amp; Sanfey, 2004). Because these components separate the rapid</w:t>
      </w:r>
      <w:r>
        <w:t xml:space="preserve"> </w:t>
      </w:r>
      <w:r>
        <w:t xml:space="preserve">valence-coding and the later salience-weighting of feedback (Walsh &amp; Anderson,</w:t>
      </w:r>
      <w:r>
        <w:t xml:space="preserve"> </w:t>
      </w:r>
      <w:r>
        <w:t xml:space="preserve">2012), they provide a principled window onto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individuals neurally evaluate</w:t>
      </w:r>
      <w:r>
        <w:t xml:space="preserve"> </w:t>
      </w:r>
      <w:r>
        <w:t xml:space="preserve">gains and losses. If chronotype reflects differences in outcome</w:t>
      </w:r>
      <w:r>
        <w:t xml:space="preserve"> </w:t>
      </w:r>
      <w:r>
        <w:t xml:space="preserve">evaluation, those differences should surface in the valence sensitivity of these</w:t>
      </w:r>
      <w:r>
        <w:t xml:space="preserve"> </w:t>
      </w:r>
      <w:r>
        <w:t xml:space="preserve">feedback-locked components — most plausibly in the salience-weighting P300.</w:t>
      </w:r>
    </w:p>
    <w:p>
      <w:pPr>
        <w:pStyle w:val="BodyText"/>
      </w:pPr>
      <w:r>
        <w:t xml:space="preserve">Despite the behavioural links between chronotype and risk, the feedback-locked</w:t>
      </w:r>
      <w:r>
        <w:t xml:space="preserve"> </w:t>
      </w:r>
      <w:r>
        <w:t xml:space="preserve">neural signatures that distinguish morning and evening types during decision-making</w:t>
      </w:r>
      <w:r>
        <w:t xml:space="preserve"> </w:t>
      </w:r>
      <w:r>
        <w:t xml:space="preserve">are largely unknown, and existing individual-differences work rarely combines ERPs</w:t>
      </w:r>
      <w:r>
        <w:t xml:space="preserve"> </w:t>
      </w:r>
      <w:r>
        <w:t xml:space="preserve">with rigorous, leakage-aware modelling of the</w:t>
      </w:r>
      <w:r>
        <w:t xml:space="preserve"> </w:t>
      </w:r>
      <w:r>
        <w:rPr>
          <w:i/>
          <w:iCs/>
        </w:rPr>
        <w:t xml:space="preserve">behaviour</w:t>
      </w:r>
      <w:r>
        <w:t xml:space="preserve"> </w:t>
      </w:r>
      <w:r>
        <w:t xml:space="preserve">those ERPs accompany.</w:t>
      </w:r>
      <w:r>
        <w:t xml:space="preserve"> </w:t>
      </w:r>
      <w:r>
        <w:t xml:space="preserve">Characterizing a stable trait such as chronotype from neural and behavioural data</w:t>
      </w:r>
      <w:r>
        <w:t xml:space="preserve"> </w:t>
      </w:r>
      <w:r>
        <w:t xml:space="preserve">is methodologically demanding in the modest samples typical of ERP studies:</w:t>
      </w:r>
      <w:r>
        <w:t xml:space="preserve"> </w:t>
      </w:r>
      <w:r>
        <w:t xml:space="preserve">naive multivariate models readily overfit and leak information across the</w:t>
      </w:r>
      <w:r>
        <w:t xml:space="preserve"> </w:t>
      </w:r>
      <w:r>
        <w:t xml:space="preserve">train/test boundary, inflating apparent effects (Kriegeskorte et al., 2009;</w:t>
      </w:r>
      <w:r>
        <w:t xml:space="preserve"> </w:t>
      </w:r>
      <w:r>
        <w:t xml:space="preserve">Varoquaux, 2018). A convincing account therefore</w:t>
      </w:r>
      <w:r>
        <w:t xml:space="preserve"> </w:t>
      </w:r>
      <w:r>
        <w:t xml:space="preserve">requires (i) theory-driven neural hypotheses tested with classical statistics,</w:t>
      </w:r>
      <w:r>
        <w:t xml:space="preserve"> </w:t>
      </w:r>
      <w:r>
        <w:t xml:space="preserve">(ii) predictive models evaluated under strict, participant-generalizing,</w:t>
      </w:r>
      <w:r>
        <w:t xml:space="preserve"> </w:t>
      </w:r>
      <w:r>
        <w:t xml:space="preserve">permutation-clean protocols, and (iii) an explicit test of whether behavioural and</w:t>
      </w:r>
      <w:r>
        <w:t xml:space="preserve"> </w:t>
      </w:r>
      <w:r>
        <w:t xml:space="preserve">neural signals carry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redundant</w:t>
      </w:r>
      <w:r>
        <w:t xml:space="preserve"> </w:t>
      </w:r>
      <w:r>
        <w:t xml:space="preserve">information about the trait.</w:t>
      </w:r>
    </w:p>
    <w:p>
      <w:pPr>
        <w:pStyle w:val="BodyText"/>
      </w:pPr>
      <w:r>
        <w:t xml:space="preserve">Here we characterize chronotype during a feedback-based risky-choice task in a</w:t>
      </w:r>
      <w:r>
        <w:t xml:space="preserve"> </w:t>
      </w:r>
      <w:r>
        <w:t xml:space="preserve">single cohort, integrating ERP, computational, and multimodal-fusion analyses under</w:t>
      </w:r>
      <w:r>
        <w:t xml:space="preserve"> </w:t>
      </w:r>
      <w:r>
        <w:t xml:space="preserve">a uniformly leakage-safe, permutation-clean evaluation. We test three hypotheses.</w:t>
      </w:r>
      <w:r>
        <w:t xml:space="preserve"> </w:t>
      </w:r>
      <w:r>
        <w:rPr>
          <w:b/>
          <w:bCs/>
        </w:rPr>
        <w:t xml:space="preserve">H1 (neural):</w:t>
      </w:r>
      <w:r>
        <w:t xml:space="preserve"> </w:t>
      </w:r>
      <w:r>
        <w:t xml:space="preserve">morning and evening chronotypes differ in the feedback-locked</w:t>
      </w:r>
      <w:r>
        <w:t xml:space="preserve"> </w:t>
      </w:r>
      <w:r>
        <w:t xml:space="preserve">posterior P300 response to outcome valence (loss versus gain), our pre-specified</w:t>
      </w:r>
      <w:r>
        <w:t xml:space="preserve"> </w:t>
      </w:r>
      <w:r>
        <w:t xml:space="preserve">neural hypothesis, tested by classical group comparison with multiple-comparison</w:t>
      </w:r>
      <w:r>
        <w:t xml:space="preserve"> </w:t>
      </w:r>
      <w:r>
        <w:t xml:space="preserve">control and corroborated against the continuous MEQ score.</w:t>
      </w:r>
      <w:r>
        <w:t xml:space="preserve"> </w:t>
      </w:r>
      <w:r>
        <w:rPr>
          <w:b/>
          <w:bCs/>
        </w:rPr>
        <w:t xml:space="preserve">H2 (behavioural):</w:t>
      </w:r>
      <w:r>
        <w:t xml:space="preserve"> </w:t>
      </w:r>
      <w:r>
        <w:t xml:space="preserve">chronotype is decodable from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risky choice — how individuals adapt</w:t>
      </w:r>
      <w:r>
        <w:t xml:space="preserve"> </w:t>
      </w:r>
      <w:r>
        <w:t xml:space="preserve">choices to feedback over time — captured by a causal recurrent model that learns</w:t>
      </w:r>
      <w:r>
        <w:t xml:space="preserve"> </w:t>
      </w:r>
      <w:r>
        <w:t xml:space="preserve">temporal structure without hand-engineered history features.</w:t>
      </w:r>
      <w:r>
        <w:t xml:space="preserve"> </w:t>
      </w:r>
      <w:r>
        <w:rPr>
          <w:b/>
          <w:bCs/>
        </w:rPr>
        <w:t xml:space="preserve">H3 (convergence):</w:t>
      </w:r>
      <w:r>
        <w:t xml:space="preserve"> </w:t>
      </w:r>
      <w:r>
        <w:t xml:space="preserve">combining the behavioural dynamics with the validated ERP contrasts predicts</w:t>
      </w:r>
      <w:r>
        <w:t xml:space="preserve"> </w:t>
      </w:r>
      <w:r>
        <w:t xml:space="preserve">chronotype</w:t>
      </w:r>
      <w:r>
        <w:t xml:space="preserve"> </w:t>
      </w:r>
      <w:r>
        <w:rPr>
          <w:i/>
          <w:iCs/>
        </w:rPr>
        <w:t xml:space="preserve">better than either modality alone</w:t>
      </w:r>
      <w:r>
        <w:t xml:space="preserve">, which would indicate that the neural</w:t>
      </w:r>
      <w:r>
        <w:t xml:space="preserve"> </w:t>
      </w:r>
      <w:r>
        <w:t xml:space="preserve">and behavioural expressions of chronotype carry partly independent information. To</w:t>
      </w:r>
      <w:r>
        <w:t xml:space="preserve"> </w:t>
      </w:r>
      <w:r>
        <w:t xml:space="preserve">sharpen interpretation we further ask (a) whether an interpretable reinforcement-</w:t>
      </w:r>
      <w:r>
        <w:t xml:space="preserve"> </w:t>
      </w:r>
      <w:r>
        <w:t xml:space="preserve">learning model can localise the behavioural difference to specific learning or</w:t>
      </w:r>
      <w:r>
        <w:t xml:space="preserve"> </w:t>
      </w:r>
      <w:r>
        <w:t xml:space="preserve">choice-consistency parameters, (b) whether end-to-end deep learning recovers</w:t>
      </w:r>
      <w:r>
        <w:t xml:space="preserve"> </w:t>
      </w:r>
      <w:r>
        <w:t xml:space="preserve">chronotype from single-trial EEG, and (c) whether the neural effect operates as a</w:t>
      </w:r>
      <w:r>
        <w:t xml:space="preserve"> </w:t>
      </w:r>
      <w:r>
        <w:t xml:space="preserve">within-subject, single-trial coupling between feedback P300 and subsequent choice</w:t>
      </w:r>
      <w:r>
        <w:t xml:space="preserve"> </w:t>
      </w:r>
      <w:r>
        <w:t xml:space="preserve">or as a between-subject trait. As a secondary question, we assess how far</w:t>
      </w:r>
      <w:r>
        <w:t xml:space="preserve"> </w:t>
      </w:r>
      <w:r>
        <w:t xml:space="preserve">trial-level risky choice itself is predictable from pre-choice value and choice</w:t>
      </w:r>
      <w:r>
        <w:t xml:space="preserve"> </w:t>
      </w:r>
      <w:r>
        <w:t xml:space="preserve">history under participant-generalizing evaluation.</w:t>
      </w:r>
    </w:p>
    <w:bookmarkEnd w:id="10"/>
    <w:bookmarkStart w:id="25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For a two-group comparison with this allocation (19 vs 20), the minimum effect</w:t>
      </w:r>
      <w:r>
        <w:t xml:space="preserve"> </w:t>
      </w:r>
      <w:r>
        <w:t xml:space="preserve">detectable with 80% power at a two-sided alpha of 0.05 is Cohen’s d of</w:t>
      </w:r>
      <w:r>
        <w:t xml:space="preserve"> </w:t>
      </w:r>
      <w:r>
        <w:t xml:space="preserve">approximately 0.90 (normal approximation). Estimated power is about 0.90 for the</w:t>
      </w:r>
      <w:r>
        <w:t xml:space="preserve"> </w:t>
      </w:r>
      <w:r>
        <w:t xml:space="preserve">observed posterior P300 effect (d approximately 1.0) but only about 0.35 for a</w:t>
      </w:r>
      <w:r>
        <w:t xml:space="preserve"> </w:t>
      </w:r>
      <w:r>
        <w:t xml:space="preserve">medium effect (d = 0.5). The study is therefore powered to detect only large</w:t>
      </w:r>
      <w:r>
        <w:t xml:space="preserve"> </w:t>
      </w:r>
      <w:r>
        <w:t xml:space="preserve">between-group effects; weak or null results for medium-sized contrasts are</w:t>
      </w:r>
      <w:r>
        <w:t xml:space="preserve"> </w:t>
      </w:r>
      <w:r>
        <w:t xml:space="preserve">inconclusive rather than evidence of absence.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performed a risky decision-making task with trial-by-trial feedback</w:t>
      </w:r>
      <w:r>
        <w:t xml:space="preserve"> </w:t>
      </w:r>
      <w:r>
        <w:t xml:space="preserve">classified by valence (gain/loss) and correctness, yielding Gain-Correct,</w:t>
      </w:r>
      <w:r>
        <w:t xml:space="preserve"> </w:t>
      </w:r>
      <w:r>
        <w:t xml:space="preserve">Gain-Error, Loss-Correct, and Loss-Error conditions. EEG was recorded and feedback-locked single-trial means were</w:t>
      </w:r>
      <w:r>
        <w:t xml:space="preserve"> </w:t>
      </w:r>
      <w:r>
        <w:t xml:space="preserve">exported per channel and time window. Acquisition, preprocessing, and ERP</w:t>
      </w:r>
      <w:r>
        <w:t xml:space="preserve"> </w:t>
      </w:r>
      <w:r>
        <w:t xml:space="preserve">measurement are reported in line with the Society for Psychophysiological Research</w:t>
      </w:r>
      <w:r>
        <w:t xml:space="preserve"> </w:t>
      </w:r>
      <w:r>
        <w:t xml:space="preserve">committee guidelines (Keil et al., 2014).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(Morning vs Evening) were taken from study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all final data.xlsx</w:t>
      </w:r>
      <w:r>
        <w:t xml:space="preserve">). Because the metadata workbooks lacked an explicit</w:t>
      </w:r>
      <w:r>
        <w:t xml:space="preserve"> </w:t>
      </w:r>
      <w:r>
        <w:t xml:space="preserve">participant identifier, participant-summary rows were linked to behavioural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s using an optimal one-to-one (Hungarian) assignment over standardized</w:t>
      </w:r>
      <w:r>
        <w:t xml:space="preserve"> </w:t>
      </w:r>
      <w:r>
        <w:t xml:space="preserve">previous-feedback behavioural aggregates recomputed from the raw trial data</w:t>
      </w:r>
      <w:r>
        <w:t xml:space="preserve"> </w:t>
      </w:r>
      <w:r>
        <w:t xml:space="preserve">. The assignment is a guaranteed bijection; the</w:t>
      </w:r>
      <w:r>
        <w:t xml:space="preserve"> </w:t>
      </w:r>
      <w:r>
        <w:t xml:space="preserve">smallest assignment margin (0.157) was large relative to typical match distances</w:t>
      </w:r>
      <w:r>
        <w:t xml:space="preserve"> </w:t>
      </w:r>
      <w:r>
        <w:t xml:space="preserve">(approximately 0.013), and all 39 links were unambiguous.</w:t>
      </w:r>
    </w:p>
    <w:p>
      <w:pPr>
        <w:pStyle w:val="BodyText"/>
      </w:pPr>
      <w:r>
        <w:t xml:space="preserve">Two independent metadata sources (</w:t>
      </w:r>
      <w:r>
        <w:rPr>
          <w:rStyle w:val="VerbatimChar"/>
        </w:rPr>
        <w:t xml:space="preserve">participant_summary.xlsx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 final data.xlsx</w:t>
      </w:r>
      <w:r>
        <w:t xml:space="preserve">) agreed on the chronotype label for every participant, and</w:t>
      </w:r>
      <w:r>
        <w:t xml:space="preserve"> </w:t>
      </w:r>
      <w:r>
        <w:t xml:space="preserve">the raw behavioural-trials chronotype column disagreed for only two participants</w:t>
      </w:r>
      <w:r>
        <w:t xml:space="preserve"> </w:t>
      </w:r>
      <w:r>
        <w:t xml:space="preserve">(1027, 1036). The binary labels were validated against the continuous MEQ score</w:t>
      </w:r>
      <w:r>
        <w:t xml:space="preserve"> </w:t>
      </w:r>
      <w:r>
        <w:t xml:space="preserve">: the MEQ score, attached by participant name,</w:t>
      </w:r>
      <w:r>
        <w:t xml:space="preserve"> </w:t>
      </w:r>
      <w:r>
        <w:t xml:space="preserve">was strongly separated by label (Evening mean 37.3; Morning mean 57.7) in the</w:t>
      </w:r>
      <w:r>
        <w:t xml:space="preserve"> </w:t>
      </w:r>
      <w:r>
        <w:t xml:space="preserve">standard Horne-Ostberg direction (Horne &amp; Ostberg, 1976; see also Roenneberg et</w:t>
      </w:r>
      <w:r>
        <w:t xml:space="preserve"> </w:t>
      </w:r>
      <w:r>
        <w:t xml:space="preserve">al., 2007, and Wittmann et al., 2006, on chronotype/MCTQ assessment), and all 26</w:t>
      </w:r>
      <w:r>
        <w:t xml:space="preserve"> </w:t>
      </w:r>
      <w:r>
        <w:t xml:space="preserve">participants with a decisive MEQ</w:t>
      </w:r>
      <w:r>
        <w:t xml:space="preserve"> </w:t>
      </w:r>
      <w:r>
        <w:t xml:space="preserve">score (outside the 42-58 intermediate band) were consistent with their binary</w:t>
      </w:r>
      <w:r>
        <w:t xml:space="preserve"> </w:t>
      </w:r>
      <w:r>
        <w:t xml:space="preserve">label. Both raw-behaviour conflict cases had decisive MEQ scores confirming the</w:t>
      </w:r>
      <w:r>
        <w:t xml:space="preserve"> </w:t>
      </w:r>
      <w:r>
        <w:t xml:space="preserve">primary label (1027 MEQ = 61, Morning; 1036 MEQ = 27, Evening), indicating the</w:t>
      </w:r>
      <w:r>
        <w:t xml:space="preserve"> </w:t>
      </w:r>
      <w:r>
        <w:t xml:space="preserve">raw-behaviour column was simply in error for these two. Twelve participants fell</w:t>
      </w:r>
      <w:r>
        <w:t xml:space="preserve"> </w:t>
      </w:r>
      <w:r>
        <w:t xml:space="preserve">in the MEQ intermediate band, where binary assignment is inherently softer.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 was trimmed to match the EEG single-trial exports, and feedback-locked</w:t>
      </w:r>
      <w:r>
        <w:t xml:space="preserve"> </w:t>
      </w:r>
      <w:r>
        <w:t xml:space="preserve">EEG single-trial means were merged to behaviour by participant and trial index</w:t>
      </w:r>
      <w:r>
        <w:t xml:space="preserve"> </w:t>
      </w:r>
      <w:r>
        <w:t xml:space="preserve">. Participant-level features were</w:t>
      </w:r>
      <w:r>
        <w:t xml:space="preserve"> </w:t>
      </w:r>
      <w:r>
        <w:t xml:space="preserve">aggregated to one row per participant and</w:t>
      </w:r>
      <w:r>
        <w:t xml:space="preserve"> </w:t>
      </w:r>
      <w:r>
        <w:t xml:space="preserve">included behavioural adaptation measures (post-error slowing, RT slope across the</w:t>
      </w:r>
      <w:r>
        <w:t xml:space="preserve"> </w:t>
      </w:r>
      <w:r>
        <w:t xml:space="preserve">task, risky-choice late-minus-early change, condition-specific risky-choice</w:t>
      </w:r>
      <w:r>
        <w:t xml:space="preserve"> </w:t>
      </w:r>
      <w:r>
        <w:t xml:space="preserve">rates) and feedback-locked ERP contrasts (frontocentral FRN error-vs-correct and</w:t>
      </w:r>
      <w:r>
        <w:t xml:space="preserve"> </w:t>
      </w:r>
      <w:r>
        <w:t xml:space="preserve">loss-vs-gain contrasts; parietal/posterior P300 loss-vs-gain and error-vs-correct</w:t>
      </w:r>
      <w:r>
        <w:t xml:space="preserve"> </w:t>
      </w:r>
      <w:r>
        <w:t xml:space="preserve">contrasts). Behavioural adaptation features used previous-trial feedback; ERP</w:t>
      </w:r>
      <w:r>
        <w:t xml:space="preserve"> </w:t>
      </w:r>
      <w:r>
        <w:t xml:space="preserve">condition contrasts used the current trial’s feedback label. The theory-driven</w:t>
      </w:r>
      <w:r>
        <w:t xml:space="preserve"> </w:t>
      </w:r>
      <w:r>
        <w:t xml:space="preserve">compact feature set comprised 12 predictors.</w:t>
      </w:r>
    </w:p>
    <w:p>
      <w:pPr>
        <w:pStyle w:val="BodyText"/>
      </w:pPr>
      <w:r>
        <w:t xml:space="preserve">For the secondary risky-choice analysis, trial-level predictors were restricted</w:t>
      </w:r>
      <w:r>
        <w:t xml:space="preserve"> </w:t>
      </w:r>
      <w:r>
        <w:t xml:space="preserve">to same-trial pre-choice values plus previous-trial and rolling history. Same-</w:t>
      </w:r>
      <w:r>
        <w:t xml:space="preserve"> </w:t>
      </w:r>
      <w:r>
        <w:t xml:space="preserve">trial outcome, correctness, score, feedback, and feedback-locked EEG were</w:t>
      </w:r>
      <w:r>
        <w:t xml:space="preserve"> </w:t>
      </w:r>
      <w:r>
        <w:t xml:space="preserve">excluded as predictors to prevent leakage.</w:t>
      </w:r>
    </w:p>
    <w:bookmarkEnd w:id="15"/>
    <w:bookmarkStart w:id="19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rPr>
          <w:b/>
          <w:bCs/>
        </w:rPr>
        <w:t xml:space="preserve">Primary (neural/behavioural group comparison).</w:t>
      </w:r>
      <w:r>
        <w:t xml:space="preserve"> </w:t>
      </w:r>
      <w:r>
        <w:t xml:space="preserve">For each theory-driven</w:t>
      </w:r>
      <w:r>
        <w:t xml:space="preserve"> </w:t>
      </w:r>
      <w:r>
        <w:t xml:space="preserve">feature, Evening and Morning groups were compared with Welch’s t-test and the</w:t>
      </w:r>
      <w:r>
        <w:t xml:space="preserve"> </w:t>
      </w:r>
      <w:r>
        <w:t xml:space="preserve">nonparametric Mann-Whitney U test. Effect sizes are reported as Cohen’s d with</w:t>
      </w:r>
      <w:r>
        <w:t xml:space="preserve"> </w:t>
      </w:r>
      <w:r>
        <w:t xml:space="preserve">percentile-bootstrap 95% confidence intervals (10,000 resamples) and as the</w:t>
      </w:r>
      <w:r>
        <w:t xml:space="preserve"> </w:t>
      </w:r>
      <w:r>
        <w:t xml:space="preserve">small-sample bias-corrected Hedges g. P-values were corrected across the</w:t>
      </w:r>
      <w:r>
        <w:t xml:space="preserve"> </w:t>
      </w:r>
      <w:r>
        <w:t xml:space="preserve">theory-driven feature family with the Benjamini-Hochberg FDR procedure</w:t>
      </w:r>
      <w:r>
        <w:t xml:space="preserve"> </w:t>
      </w:r>
      <w:r>
        <w:t xml:space="preserve">(Benjamini &amp; Hochberg, 1995). Where the</w:t>
      </w:r>
      <w:r>
        <w:t xml:space="preserve"> </w:t>
      </w:r>
      <w:r>
        <w:t xml:space="preserve">evidence for a null was of interest, we complemented significance tests with</w:t>
      </w:r>
      <w:r>
        <w:t xml:space="preserve"> </w:t>
      </w:r>
      <w:r>
        <w:t xml:space="preserve">JZS Bayes factors (Rouder et al., 2009) and two one-sided equivalence tests</w:t>
      </w:r>
      <w:r>
        <w:t xml:space="preserve"> </w:t>
      </w:r>
      <w:r>
        <w:t xml:space="preserve">(TOST; Lakens, 2017).</w:t>
      </w:r>
    </w:p>
    <w:p>
      <w:pPr>
        <w:pStyle w:val="BodyText"/>
      </w:pPr>
      <w:r>
        <w:rPr>
          <w:b/>
          <w:bCs/>
        </w:rPr>
        <w:t xml:space="preserve">Machine-learning classification (Figure 5).</w:t>
      </w:r>
      <w:r>
        <w:t xml:space="preserve"> </w:t>
      </w:r>
      <w:r>
        <w:t xml:space="preserve">Chronotype was classified at the</w:t>
      </w:r>
      <w:r>
        <w:t xml:space="preserve"> </w:t>
      </w:r>
      <w:r>
        <w:t xml:space="preserve">participant level from the theory-driven 12-feature set. All preprocessing</w:t>
      </w:r>
      <w:r>
        <w:t xml:space="preserve"> </w:t>
      </w:r>
      <w:r>
        <w:t xml:space="preserve">(median imputation and standardization of numeric features; most-frequent</w:t>
      </w:r>
      <w:r>
        <w:t xml:space="preserve"> </w:t>
      </w:r>
      <w:r>
        <w:t xml:space="preserve">imputation and one-hot encoding of any categorical features) was encapsulated in a</w:t>
      </w:r>
      <w:r>
        <w:t xml:space="preserve"> </w:t>
      </w:r>
      <w:r>
        <w:t xml:space="preserve">scikit-learn pipeline fit only on training folds, eliminating preprocessing</w:t>
      </w:r>
      <w:r>
        <w:t xml:space="preserve"> </w:t>
      </w:r>
      <w:r>
        <w:t xml:space="preserve">leakage (Kriegeskorte et al., 2009; Varoquaux, 2018); class imbalance was handled</w:t>
      </w:r>
      <w:r>
        <w:t xml:space="preserve"> </w:t>
      </w:r>
      <w:r>
        <w:t xml:space="preserve">by class weighting with balanced accuracy as the primary metric. Five classifiers were compared on identical folds: L2- and</w:t>
      </w:r>
      <w:r>
        <w:t xml:space="preserve"> </w:t>
      </w:r>
      <w:r>
        <w:t xml:space="preserve">L1-regularized logistic regression, random forest, an RBF-kernel support vector</w:t>
      </w:r>
      <w:r>
        <w:t xml:space="preserve"> </w:t>
      </w:r>
      <w:r>
        <w:t xml:space="preserve">machine, and histogram gradient boosting, with the L2 logistic regression</w:t>
      </w:r>
      <w:r>
        <w:t xml:space="preserve"> </w:t>
      </w:r>
      <w:r>
        <w:t xml:space="preserve">pre-specified as the primary model. Generalization was estimated with nested</w:t>
      </w:r>
      <w:r>
        <w:t xml:space="preserve"> </w:t>
      </w:r>
      <w:r>
        <w:t xml:space="preserve">cross-validation: an outer repeated stratified 5-fold loop (10 repeats) estimated</w:t>
      </w:r>
      <w:r>
        <w:t xml:space="preserve"> </w:t>
      </w:r>
      <w:r>
        <w:t xml:space="preserve">out-of-fold performance while an inner stratified 3-fold grid search tuned each</w:t>
      </w:r>
      <w:r>
        <w:t xml:space="preserve"> </w:t>
      </w:r>
      <w:r>
        <w:t xml:space="preserve">model’s hyperparameters using balanced accuracy, so no test fold informed model</w:t>
      </w:r>
      <w:r>
        <w:t xml:space="preserve"> </w:t>
      </w:r>
      <w:r>
        <w:t xml:space="preserve">selection. Performance is reported as balanced accuracy, accuracy, ROC AUC,</w:t>
      </w:r>
      <w:r>
        <w:t xml:space="preserve"> </w:t>
      </w:r>
      <w:r>
        <w:t xml:space="preserve">sensitivity, specificity, and macro F1 (mean and SD across outer folds), with</w:t>
      </w:r>
      <w:r>
        <w:t xml:space="preserve"> </w:t>
      </w:r>
      <w:r>
        <w:t xml:space="preserve">out-of-fold predicted probabilities pooled for the ROC curve and confusion matrix.</w:t>
      </w:r>
      <w:r>
        <w:t xml:space="preserve"> </w:t>
      </w:r>
      <w:r>
        <w:t xml:space="preserve">The tuned primary model was tested against a label-permutation null with the full</w:t>
      </w:r>
      <w:r>
        <w:t xml:space="preserve"> </w:t>
      </w:r>
      <w:r>
        <w:t xml:space="preserve">nested pipeline re-fit on each of 200 permutations (Combrisson &amp; Jerbi, 2015;</w:t>
      </w:r>
      <w:r>
        <w:t xml:space="preserve"> </w:t>
      </w:r>
      <w:r>
        <w:t xml:space="preserve">Poldrack et al., 2020). Model interpretability was</w:t>
      </w:r>
      <w:r>
        <w:t xml:space="preserve"> </w:t>
      </w:r>
      <w:r>
        <w:t xml:space="preserve">assessed from the standardized coefficients of the primary model refit on the full</w:t>
      </w:r>
      <w:r>
        <w:t xml:space="preserve"> </w:t>
      </w:r>
      <w:r>
        <w:t xml:space="preserve">sample and from cross-validated held-out permutation importance, to test</w:t>
      </w:r>
      <w:r>
        <w:t xml:space="preserve"> </w:t>
      </w:r>
      <w:r>
        <w:t xml:space="preserve">convergence with the univariate group statistics. As a guard against optimism from</w:t>
      </w:r>
      <w:r>
        <w:t xml:space="preserve"> </w:t>
      </w:r>
      <w:r>
        <w:t xml:space="preserve">comparing feature sets, the five pre-specified literature feature packs were each</w:t>
      </w:r>
      <w:r>
        <w:t xml:space="preserve"> </w:t>
      </w:r>
      <w:r>
        <w:t xml:space="preserve">permutation-tested and FDR-corrected as a family, and higher-dimensional models</w:t>
      </w:r>
      <w:r>
        <w:t xml:space="preserve"> </w:t>
      </w:r>
      <w:r>
        <w:t xml:space="preserve">(47-171 features) were retained only as exploratory comparisons given the</w:t>
      </w:r>
      <w:r>
        <w:t xml:space="preserve"> </w:t>
      </w:r>
      <w:r>
        <w:t xml:space="preserve">feature-to-sample ratio. Analyses used scikit-learn 1.4 (Python 3.11);</w:t>
      </w:r>
      <w:r>
        <w:t xml:space="preserve"> </w:t>
      </w:r>
      <w:r>
        <w:t xml:space="preserve">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Leakage-safe, permutation-clean evaluation pipeline and out-of-fold classifier ROC." title="" id="17" name="Picture"/>
            <a:graphic>
              <a:graphicData uri="http://schemas.openxmlformats.org/drawingml/2006/picture">
                <pic:pic>
                  <pic:nvPicPr>
                    <pic:cNvPr descr="docs/figures/fig_main_5_roc_pipelin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Leakage-safe, permutation-clean evaluation pipeline and out-of-fold classifier ROC.</w:t>
      </w:r>
    </w:p>
    <w:p>
      <w:pPr>
        <w:pStyle w:val="BodyText"/>
      </w:pPr>
      <w:r>
        <w:rPr>
          <w:b/>
          <w:bCs/>
        </w:rPr>
        <w:t xml:space="preserve">Secondary (risky choice).</w:t>
      </w:r>
      <w:r>
        <w:t xml:space="preserve"> </w:t>
      </w:r>
      <w:r>
        <w:t xml:space="preserve">Trial-level risky choice was evaluated with</w:t>
      </w:r>
      <w:r>
        <w:t xml:space="preserve"> </w:t>
      </w:r>
      <w:r>
        <w:t xml:space="preserve">participant-grouped cross-validation so that performance reflects generalization</w:t>
      </w:r>
      <w:r>
        <w:t xml:space="preserve"> </w:t>
      </w:r>
      <w:r>
        <w:t xml:space="preserve">to held-out participants. Results are contextualized against majority-class,</w:t>
      </w:r>
      <w:r>
        <w:t xml:space="preserve"> </w:t>
      </w:r>
      <w:r>
        <w:t xml:space="preserve">previous-choice-persistence, and participant-mean-oracle baselines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All primary and secondary chronotype analyses were</w:t>
      </w:r>
      <w:r>
        <w:t xml:space="preserve"> </w:t>
      </w:r>
      <w:r>
        <w:t xml:space="preserve">repeated excluding (a) participant 1013 (an EEG/trigger quality-control case),</w:t>
      </w:r>
      <w:r>
        <w:t xml:space="preserve"> </w:t>
      </w:r>
      <w:r>
        <w:t xml:space="preserve">(b) the two label-conflict participants (1027, 1036), and (c) all three together</w:t>
      </w:r>
      <w:r>
        <w:t xml:space="preserve"> </w:t>
      </w:r>
      <w:r>
        <w:t xml:space="preserve">.</w:t>
      </w:r>
    </w:p>
    <w:bookmarkEnd w:id="19"/>
    <w:bookmarkStart w:id="20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To capture how participants adapt risk-taking over time, a causal (unidirectional)</w:t>
      </w:r>
      <w:r>
        <w:t xml:space="preserve"> </w:t>
      </w:r>
      <w:r>
        <w:t xml:space="preserve">single-layer gated recurrent unit (GRU; Cho et al., 2014; hidden size 64) was trained to predict</w:t>
      </w:r>
      <w:r>
        <w:t xml:space="preserve"> </w:t>
      </w:r>
      <w:r>
        <w:t xml:space="preserve">trial-level risky choice from the current pre-choice context plus the previous</w:t>
      </w:r>
      <w:r>
        <w:t xml:space="preserve"> </w:t>
      </w:r>
      <w:r>
        <w:t xml:space="preserve">trial’s outcome (20 features), with no hand-engineered rolling-history features so</w:t>
      </w:r>
      <w:r>
        <w:t xml:space="preserve"> </w:t>
      </w:r>
      <w:r>
        <w:t xml:space="preserve">the network had to learn temporal structure itself. The recurrence is causal, so</w:t>
      </w:r>
      <w:r>
        <w:t xml:space="preserve"> </w:t>
      </w:r>
      <w:r>
        <w:t xml:space="preserve">the prediction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depends only on trials ≤</w:t>
      </w:r>
      <w:r>
        <w:t xml:space="preserve"> </w:t>
      </w:r>
      <w:r>
        <w:rPr>
          <w:i/>
          <w:iCs/>
        </w:rPr>
        <w:t xml:space="preserve">t</w:t>
      </w:r>
      <w:r>
        <w:t xml:space="preserve">. Training used</w:t>
      </w:r>
      <w:r>
        <w:t xml:space="preserve"> </w:t>
      </w:r>
      <w:r>
        <w:t xml:space="preserve">binary cross-entropy over valid time steps (Adam, lr = 3×10⁻³, 40 epochs, seed 0)</w:t>
      </w:r>
      <w:r>
        <w:t xml:space="preserve"> </w:t>
      </w:r>
      <w:r>
        <w:t xml:space="preserve">and was evaluated with participant-grouped 5-fold CV, standardizing features on</w:t>
      </w:r>
      <w:r>
        <w:t xml:space="preserve"> </w:t>
      </w:r>
      <w:r>
        <w:t xml:space="preserve">training participants only. For each held-out participant, the GRU hidden state</w:t>
      </w:r>
      <w:r>
        <w:t xml:space="preserve"> </w:t>
      </w:r>
      <w:r>
        <w:t xml:space="preserve">was averaged across trials to yield a 64-dimensional, out-of-fold, chronotype-</w:t>
      </w:r>
      <w:r>
        <w:t xml:space="preserve"> </w:t>
      </w:r>
      <w:r>
        <w:t xml:space="preserve">agnostic</w:t>
      </w:r>
      <w:r>
        <w:t xml:space="preserve"> </w:t>
      </w:r>
      <w:r>
        <w:rPr>
          <w:b/>
          <w:bCs/>
        </w:rPr>
        <w:t xml:space="preserve">behavioural embedding</w:t>
      </w:r>
      <w:r>
        <w:t xml:space="preserve"> </w:t>
      </w:r>
      <w:r>
        <w:t xml:space="preserve">used downstream.</w:t>
      </w:r>
    </w:p>
    <w:bookmarkEnd w:id="20"/>
    <w:bookmarkStart w:id="21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mechanistic parameters, a reward-learning model was fit to</w:t>
      </w:r>
      <w:r>
        <w:t xml:space="preserve"> </w:t>
      </w:r>
      <w:r>
        <w:t xml:space="preserve">each participant’s free-trial choices. Because the sign of each box was hidden and</w:t>
      </w:r>
      <w:r>
        <w:t xml:space="preserve"> </w:t>
      </w:r>
      <w:r>
        <w:t xml:space="preserve">random, we modelled outcome-driven updating of risk preference rather than stimulus</w:t>
      </w:r>
      <w:r>
        <w:t xml:space="preserve"> </w:t>
      </w:r>
      <w:r>
        <w:t xml:space="preserve">value: two options (safe = magnitude 5, risky = magnitude 25) with action values Q,</w:t>
      </w:r>
      <w:r>
        <w:t xml:space="preserve"> </w:t>
      </w:r>
      <w:r>
        <w:t xml:space="preserve">choice rule P(risky) = logistic(β·(Q_risky − Q_safe) + bias), and chosen-option</w:t>
      </w:r>
      <w:r>
        <w:t xml:space="preserve"> </w:t>
      </w:r>
      <w:r>
        <w:t xml:space="preserve">update Q ← Q + α·(r − Q) using separate learning rates for gains and losses,</w:t>
      </w:r>
      <w:r>
        <w:t xml:space="preserve"> </w:t>
      </w:r>
      <w:r>
        <w:t xml:space="preserve">motivated by evidence for valence-asymmetric reinforcement learning (Frank et al.,</w:t>
      </w:r>
      <w:r>
        <w:t xml:space="preserve"> </w:t>
      </w:r>
      <w:r>
        <w:t xml:space="preserve">2007; Gershman, 2015; Lefebvre et al., 2017); r is the signed chosen value scaled</w:t>
      </w:r>
      <w:r>
        <w:t xml:space="preserve"> </w:t>
      </w:r>
      <w:r>
        <w:t xml:space="preserve">to [−1, 1] (Sutton &amp; Barto, 2018). Parameters (α_gain, α_loss, β, bias, and derived</w:t>
      </w:r>
      <w:r>
        <w:t xml:space="preserve"> </w:t>
      </w:r>
      <w:r>
        <w:t xml:space="preserve">asymmetry α_loss − α_gain) were fit by maximum likelihood (L-BFGS-B, 8 restarts;</w:t>
      </w:r>
      <w:r>
        <w:t xml:space="preserve"> </w:t>
      </w:r>
      <w:r>
        <w:t xml:space="preserve">Daw, 2011) and, as a robustness check, refit in a Bayesian</w:t>
      </w:r>
      <w:r>
        <w:t xml:space="preserve"> </w:t>
      </w:r>
      <w:r>
        <w:rPr>
          <w:b/>
          <w:bCs/>
        </w:rPr>
        <w:t xml:space="preserve">hierarchical partial-pooling</w:t>
      </w:r>
      <w:r>
        <w:t xml:space="preserve"> </w:t>
      </w:r>
      <w:r>
        <w:t xml:space="preserve">model with a chronotype group-level offset on each</w:t>
      </w:r>
      <w:r>
        <w:t xml:space="preserve"> </w:t>
      </w:r>
      <w:r>
        <w:t xml:space="preserve">parameter, sampled with NUTS (Ahn et al., 2017).</w:t>
      </w:r>
    </w:p>
    <w:bookmarkEnd w:id="21"/>
    <w:bookmarkStart w:id="22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2018), a compact convolutional network widely used for</w:t>
      </w:r>
      <w:r>
        <w:t xml:space="preserve"> </w:t>
      </w:r>
      <w:r>
        <w:t xml:space="preserve">end-to-end EEG decoding (Roy et al., 2019; Schirrmeister et al., 2017), was</w:t>
      </w:r>
      <w:r>
        <w:t xml:space="preserve"> </w:t>
      </w:r>
      <w:r>
        <w:t xml:space="preserve">applied to the cleaned single-trial epochs (64 × 251). It was trained cross-subject</w:t>
      </w:r>
      <w:r>
        <w:t xml:space="preserve"> </w:t>
      </w:r>
      <w:r>
        <w:t xml:space="preserve">(GroupKFold over participants) to decode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 gain) — a chronotype-agnostic positive control — with per-channel z-scoring</w:t>
      </w:r>
      <w:r>
        <w:t xml:space="preserve"> </w:t>
      </w:r>
      <w:r>
        <w:t xml:space="preserve">on training statistics (Adam, lr = 10⁻³, weight decay 10⁻³, 25 epochs). Penultimate-</w:t>
      </w:r>
      <w:r>
        <w:t xml:space="preserve"> </w:t>
      </w:r>
      <w:r>
        <w:t xml:space="preserve">layer features were aggregated per participant (mean, and a loss-minus-gain contrast)</w:t>
      </w:r>
      <w:r>
        <w:t xml:space="preserve"> </w:t>
      </w:r>
      <w:r>
        <w:t xml:space="preserve">to form learned EEG embeddings.</w:t>
      </w:r>
    </w:p>
    <w:bookmarkEnd w:id="22"/>
    <w:bookmarkStart w:id="23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All embeddings (behavioural, EEG, RL, fused) were evaluated for chronotype</w:t>
      </w:r>
      <w:r>
        <w:t xml:space="preserve"> </w:t>
      </w:r>
      <w:r>
        <w:t xml:space="preserve">prediction with one shared, permutation-clean procedure: a StandardScaler → PCA →</w:t>
      </w:r>
      <w:r>
        <w:t xml:space="preserve"> </w:t>
      </w:r>
      <w:r>
        <w:t xml:space="preserve">L2-logistic pipeline under nested CV (inner 4-fold grid search over PCA components</w:t>
      </w:r>
      <w:r>
        <w:t xml:space="preserve"> </w:t>
      </w:r>
      <w:r>
        <w:t xml:space="preserve">and logistic C; outer leave-one-participant-out), yielding one out-of-fold score per</w:t>
      </w:r>
      <w:r>
        <w:t xml:space="preserve"> </w:t>
      </w:r>
      <w:r>
        <w:t xml:space="preserve">participant. Inference used a 1000-iteration label-permutation test with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nested procedure re-run per permutation; out-of-fold scores were also correlated with</w:t>
      </w:r>
      <w:r>
        <w:t xml:space="preserve"> </w:t>
      </w:r>
      <w:r>
        <w:t xml:space="preserve">the continuous MEQ. Multimodal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concatenated the GRU behavioural embedding</w:t>
      </w:r>
      <w:r>
        <w:t xml:space="preserve"> </w:t>
      </w:r>
      <w:r>
        <w:t xml:space="preserve">with the six validated ERP contrast features (behaviour-only and ERP-only evaluated</w:t>
      </w:r>
      <w:r>
        <w:t xml:space="preserve"> </w:t>
      </w:r>
      <w:r>
        <w:t xml:space="preserve">identically). To avoid dichotomizing the trait, the continuous MEQ score was</w:t>
      </w:r>
      <w:r>
        <w:t xml:space="preserve"> </w:t>
      </w:r>
      <w:r>
        <w:t xml:space="preserve">additionally predicted by nested leave-one-out Ridge regression (predicted-vs-observed</w:t>
      </w:r>
      <w:r>
        <w:t xml:space="preserve"> </w:t>
      </w:r>
      <w:r>
        <w:t xml:space="preserve">Pearson r, 1000-permutation p). Robustness of the fused result was assessed by</w:t>
      </w:r>
      <w:r>
        <w:t xml:space="preserve"> </w:t>
      </w:r>
      <w:r>
        <w:t xml:space="preserve">participant-level bootstrap CI, pre-defined exclusion scenarios, and leave-one-subject-</w:t>
      </w:r>
      <w:r>
        <w:t xml:space="preserve"> </w:t>
      </w:r>
      <w:r>
        <w:t xml:space="preserve">out influence (, ,</w:t>
      </w:r>
      <w:r>
        <w:t xml:space="preserve"> </w:t>
      </w:r>
      <w:r>
        <w:t xml:space="preserve">).</w:t>
      </w:r>
    </w:p>
    <w:bookmarkEnd w:id="23"/>
    <w:bookmarkStart w:id="24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To test whether the neural effect operates within-subject at the single-trial level,</w:t>
      </w:r>
      <w:r>
        <w:t xml:space="preserve"> </w:t>
      </w:r>
      <w:r>
        <w:t xml:space="preserve">each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was paired to the following trial</w:t>
      </w:r>
      <w:r>
        <w:t xml:space="preserve"> </w:t>
      </w:r>
      <w:r>
        <w:rPr>
          <w:i/>
          <w:iCs/>
        </w:rPr>
        <w:t xml:space="preserve">t</w:t>
      </w:r>
      <w:r>
        <w:t xml:space="preserve">+1 (leakage-safe: the feedback-</w:t>
      </w:r>
      <w:r>
        <w:t xml:space="preserve"> </w:t>
      </w:r>
      <w:r>
        <w:t xml:space="preserve">locked P300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</w:t>
      </w:r>
      <w:r>
        <w:t xml:space="preserve"> </w:t>
      </w:r>
      <w:r>
        <w:t xml:space="preserve">per-participant logistic slope of next-trial risky choice on the within-participant</w:t>
      </w:r>
      <w:r>
        <w:t xml:space="preserve"> </w:t>
      </w:r>
      <w:r>
        <w:t xml:space="preserve">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 (overall, and a valence-resolved P300×loss interaction) was</w:t>
      </w:r>
      <w:r>
        <w:t xml:space="preserve"> </w:t>
      </w:r>
      <w:r>
        <w:t xml:space="preserve">compared between chronotypes (two-stage Mann-Whitney + bootstrap d), with a</w:t>
      </w:r>
      <w:r>
        <w:t xml:space="preserve"> </w:t>
      </w:r>
      <w:r>
        <w:t xml:space="preserve">confirmatory Binomial mixed model carrying a P300×chronotype interaction and random</w:t>
      </w:r>
      <w:r>
        <w:t xml:space="preserve"> </w:t>
      </w:r>
      <w:r>
        <w:t xml:space="preserve">P300 slopes.</w:t>
      </w:r>
    </w:p>
    <w:p>
      <w:pPr>
        <w:pStyle w:val="BodyText"/>
      </w:pPr>
      <w:r>
        <w:t xml:space="preserve">All deep-learning/computational analyses ran in a separate environment (PyTorch,</w:t>
      </w:r>
      <w:r>
        <w:t xml:space="preserve"> </w:t>
      </w:r>
      <w:r>
        <w:t xml:space="preserve">MNE-Python, scikit-learn, PyMC), with fixed seed 0; see for</w:t>
      </w:r>
      <w:r>
        <w:t xml:space="preserve"> </w:t>
      </w:r>
      <w:r>
        <w:t xml:space="preserve">full detail.</w:t>
      </w:r>
    </w:p>
    <w:bookmarkEnd w:id="24"/>
    <w:bookmarkEnd w:id="25"/>
    <w:bookmarkStart w:id="50" w:name="results"/>
    <w:p>
      <w:pPr>
        <w:pStyle w:val="Heading2"/>
      </w:pPr>
      <w:r>
        <w:t xml:space="preserve">3. Results</w:t>
      </w:r>
    </w:p>
    <w:bookmarkStart w:id="29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Feedback-locked posterior P300 (loss minus gain) by chronotype at Pz and POz, with the window specification curve confirming robustness." title="" id="27" name="Picture"/>
            <a:graphic>
              <a:graphicData uri="http://schemas.openxmlformats.org/drawingml/2006/picture">
                <pic:pic>
                  <pic:nvPicPr>
                    <pic:cNvPr descr="docs/figures/fig_main_1_p300_spe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Feedback-locked posterior P300 (loss minus gain) by chronotype at Pz and POz, with the window specification curve confirming robustness.</w:t>
      </w:r>
    </w:p>
    <w:p>
      <w:pPr>
        <w:pStyle w:val="BodyText"/>
      </w:pPr>
      <w:r>
        <w:t xml:space="preserve">Morning and Evening chronotypes differed in the feedback-locked posterior P300</w:t>
      </w:r>
      <w:r>
        <w:t xml:space="preserve"> </w:t>
      </w:r>
      <w:r>
        <w:t xml:space="preserve">loss-minus-gain contrast. At Pz, Evening types showed a negative loss-minus-gain</w:t>
      </w:r>
      <w:r>
        <w:t xml:space="preserve"> </w:t>
      </w:r>
      <w:r>
        <w:t xml:space="preserve">contrast and Morning types a positive one (Evening mean -0.96, Morning mean</w:t>
      </w:r>
      <w:r>
        <w:t xml:space="preserve"> </w:t>
      </w:r>
      <w:r>
        <w:t xml:space="preserve">0.31; Cohen’s d = -1.04, 95% CI [-1.63, -0.59]; Welch p = 0.0028; Mann-Whitney</w:t>
      </w:r>
      <w:r>
        <w:t xml:space="preserve"> </w:t>
      </w:r>
      <w:r>
        <w:t xml:space="preserve">p = 0.005). The POz contrast showed the same pattern (d = -0.92, 95% CI</w:t>
      </w:r>
      <w:r>
        <w:t xml:space="preserve"> </w:t>
      </w:r>
      <w:r>
        <w:t xml:space="preserve">[-1.55, -0.39]; Welch p = 0.0076; Mann-Whitney p = 0.002). These two contrasts</w:t>
      </w:r>
      <w:r>
        <w:t xml:space="preserve"> </w:t>
      </w:r>
      <w:r>
        <w:t xml:space="preserve">were the only features that survived Benjamini-Hochberg FDR correction across the</w:t>
      </w:r>
      <w:r>
        <w:t xml:space="preserve"> </w:t>
      </w:r>
      <w:r>
        <w:t xml:space="preserve">theory-driven feature family (FDR p = 0.034 and 0.045, respectively).</w:t>
      </w:r>
    </w:p>
    <w:bookmarkEnd w:id="29"/>
    <w:bookmarkStart w:id="30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types showed higher risky-choice rates than Morning types, with</w:t>
      </w:r>
      <w:r>
        <w:t xml:space="preserve"> </w:t>
      </w:r>
      <w:r>
        <w:t xml:space="preserve">medium-to-large uncorrected effects (loss-error risky rate d = 0.81; free risky</w:t>
      </w:r>
      <w:r>
        <w:t xml:space="preserve"> </w:t>
      </w:r>
      <w:r>
        <w:t xml:space="preserve">rate d = 0.80; gain-correct risky rate d = 0.77; all Welch p &lt; 0.025). These</w:t>
      </w:r>
      <w:r>
        <w:t xml:space="preserve"> </w:t>
      </w:r>
      <w:r>
        <w:t xml:space="preserve">effects did not survive FDR correction, and their effect-size CIs included small</w:t>
      </w:r>
      <w:r>
        <w:t xml:space="preserve"> </w:t>
      </w:r>
      <w:r>
        <w:t xml:space="preserve">effects, consistent with the study being underpowered for medium effects.</w:t>
      </w:r>
      <w:r>
        <w:t xml:space="preserve"> </w:t>
      </w:r>
      <w:r>
        <w:t xml:space="preserve">Frontocentral FRN contrasts did not differ significantly between groups</w:t>
      </w:r>
      <w:r>
        <w:t xml:space="preserve"> </w:t>
      </w:r>
      <w:r>
        <w:t xml:space="preserve">(e.g. Fz FRN error-minus-correct d = -0.60, FDR p = 0.14). Bayes factors were</w:t>
      </w:r>
      <w:r>
        <w:t xml:space="preserve"> </w:t>
      </w:r>
      <w:r>
        <w:t xml:space="preserve">consistent with the absence of an FRN group difference at central sites (FCz</w:t>
      </w:r>
      <w:r>
        <w:t xml:space="preserve"> </w:t>
      </w:r>
      <w:r>
        <w:t xml:space="preserve">BF01 = 2.46, Cz BF01 = 3.17 — moderate evidence for the null) while remaining</w:t>
      </w:r>
      <w:r>
        <w:t xml:space="preserve"> </w:t>
      </w:r>
      <w:r>
        <w:t xml:space="preserve">inconclusive frontally (Fz BF01 = 0.82). Equivalence tests (TOST, bounds ±0.5 SD)</w:t>
      </w:r>
      <w:r>
        <w:t xml:space="preserve"> </w:t>
      </w:r>
      <w:r>
        <w:t xml:space="preserve">on the loss-minus-gain FRN contrasts could not formally establish equivalence</w:t>
      </w:r>
      <w:r>
        <w:t xml:space="preserve"> </w:t>
      </w:r>
      <w:r>
        <w:t xml:space="preserve">(e.g. Fz TOST p = 0.43), consistent with the study being underpowered to bound</w:t>
      </w:r>
      <w:r>
        <w:t xml:space="preserve"> </w:t>
      </w:r>
      <w:r>
        <w:t xml:space="preserve">medium effects rather than with a demonstrated null.</w:t>
      </w:r>
    </w:p>
    <w:bookmarkEnd w:id="30"/>
    <w:bookmarkStart w:id="34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Posterior P300 loss-minus-gain amplitude versus the continuous MEQ score." title="" id="32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Posterior P300 loss-minus-gain amplitude versus the continuous MEQ score.</w:t>
      </w:r>
    </w:p>
    <w:p>
      <w:pPr>
        <w:pStyle w:val="BodyText"/>
      </w:pPr>
      <w:r>
        <w:t xml:space="preserve">To confirm the effect was not an artifact of dichotomizing chronotype, the</w:t>
      </w:r>
      <w:r>
        <w:t xml:space="preserve"> </w:t>
      </w:r>
      <w:r>
        <w:t xml:space="preserve">posterior P300 loss-minus-gain contrasts were related to the continuous MEQ score</w:t>
      </w:r>
      <w:r>
        <w:t xml:space="preserve"> </w:t>
      </w:r>
      <w:r>
        <w:t xml:space="preserve">(n = 38). Both electrodes showed a positive association in the predicted</w:t>
      </w:r>
      <w:r>
        <w:t xml:space="preserve"> </w:t>
      </w:r>
      <w:r>
        <w:t xml:space="preserve">direction (Pz Pearson r = 0.29, 95% CI [0.06, 0.49], Spearman rho = 0.32; POz</w:t>
      </w:r>
      <w:r>
        <w:t xml:space="preserve"> </w:t>
      </w:r>
      <w:r>
        <w:t xml:space="preserve">r = 0.24, 95% CI [-0.01, 0.46], Spearman rho = 0.30). The correlations were</w:t>
      </w:r>
      <w:r>
        <w:t xml:space="preserve"> </w:t>
      </w:r>
      <w:r>
        <w:t xml:space="preserve">modest and only marginally significant, consistent with limited power for</w:t>
      </w:r>
      <w:r>
        <w:t xml:space="preserve"> </w:t>
      </w:r>
      <w:r>
        <w:t xml:space="preserve">effects of this size (minimum detectable r approximately 0.44 at 80% power for</w:t>
      </w:r>
      <w:r>
        <w:t xml:space="preserve"> </w:t>
      </w:r>
      <w:r>
        <w:t xml:space="preserve">n = 38) and with the 12 intermediate-band participants adding scatter. The</w:t>
      </w:r>
      <w:r>
        <w:t xml:space="preserve"> </w:t>
      </w:r>
      <w:r>
        <w:t xml:space="preserve">continuous and group-level analyses thus agree on a graded posterior-P300</w:t>
      </w:r>
      <w:r>
        <w:t xml:space="preserve"> </w:t>
      </w:r>
      <w:r>
        <w:t xml:space="preserve">association with morningness that the present sample resolves precisely only at</w:t>
      </w:r>
      <w:r>
        <w:t xml:space="preserve"> </w:t>
      </w:r>
      <w:r>
        <w:t xml:space="preserve">the group-contrast level.</w:t>
      </w:r>
    </w:p>
    <w:bookmarkEnd w:id="34"/>
    <w:bookmarkStart w:id="35" w:name="X79613af3f7a6a91814f00e632237684d58b16a3"/>
    <w:p>
      <w:pPr>
        <w:pStyle w:val="Heading3"/>
      </w:pPr>
      <w:r>
        <w:t xml:space="preserve">3.4 Robustness across participant exclusions (Supplementary Figure S1)</w:t>
      </w:r>
    </w:p>
    <w:p>
      <w:pPr>
        <w:pStyle w:val="FirstParagraph"/>
      </w:pPr>
      <w:r>
        <w:t xml:space="preserve">The posterior P300 group difference was essentially invariant to participant</w:t>
      </w:r>
      <w:r>
        <w:t xml:space="preserve"> </w:t>
      </w:r>
      <w:r>
        <w:t xml:space="preserve">exclusions. Across the full sample and all three exclusion scenarios, the Pz</w:t>
      </w:r>
      <w:r>
        <w:t xml:space="preserve"> </w:t>
      </w:r>
      <w:r>
        <w:t xml:space="preserve">loss-minus-gain effect remained near d = -1.0 (range -1.00 to -1.07) with</w:t>
      </w:r>
      <w:r>
        <w:t xml:space="preserve"> </w:t>
      </w:r>
      <w:r>
        <w:t xml:space="preserve">Welch p &lt; 0.011 and a 95% CI that excluded zero in every case; POz behaved</w:t>
      </w:r>
      <w:r>
        <w:t xml:space="preserve"> </w:t>
      </w:r>
      <w:r>
        <w:t xml:space="preserve">similarly. In contrast, the classifier (Section 3.5) was more sensitive to the</w:t>
      </w:r>
      <w:r>
        <w:t xml:space="preserve"> </w:t>
      </w:r>
      <w:r>
        <w:t xml:space="preserve">sample: its permutation p rose from 0.034 in the full sample to 0.38 when the two</w:t>
      </w:r>
      <w:r>
        <w:t xml:space="preserve"> </w:t>
      </w:r>
      <w:r>
        <w:t xml:space="preserve">label-conflict participants were removed. The dissociation between the invariant</w:t>
      </w:r>
      <w:r>
        <w:t xml:space="preserve"> </w:t>
      </w:r>
      <w:r>
        <w:t xml:space="preserve">neural effect and the exclusion-sensitive classifier indicates the univariate</w:t>
      </w:r>
      <w:r>
        <w:t xml:space="preserve"> </w:t>
      </w:r>
      <w:r>
        <w:t xml:space="preserve">group difference is the more robust of the two mutually-validating analyses.</w:t>
      </w:r>
    </w:p>
    <w:p>
      <w:pPr>
        <w:pStyle w:val="BodyText"/>
      </w:pPr>
      <w:r>
        <w:t xml:space="preserve">The P300 effect was also robust to the choice of analysis window. Across a</w:t>
      </w:r>
      <w:r>
        <w:t xml:space="preserve"> </w:t>
      </w:r>
      <w:r>
        <w:t xml:space="preserve">72-cell specification curve (Pz/POz × window centre 400–600 ms × width 50/100 ms</w:t>
      </w:r>
      <w:r>
        <w:t xml:space="preserve"> </w:t>
      </w:r>
      <w:r>
        <w:t xml:space="preserve">× mean/peak summary), recomputed directly from the single-trial epochs, the</w:t>
      </w:r>
      <w:r>
        <w:t xml:space="preserve"> </w:t>
      </w:r>
      <w:r>
        <w:t xml:space="preserve">loss-minus-gain group difference kept the same sign (Evening more negative) in</w:t>
      </w:r>
      <w:r>
        <w:t xml:space="preserve"> </w:t>
      </w:r>
      <w:r>
        <w:t xml:space="preserve">64/72 cells and was large and significant (d &lt; −0.8, p &lt; 0.05) in 19/72, with the</w:t>
      </w:r>
      <w:r>
        <w:t xml:space="preserve"> </w:t>
      </w:r>
      <w:r>
        <w:t xml:space="preserve">largest and most significant cells clustering around the pre-specified 450–550 ms</w:t>
      </w:r>
      <w:r>
        <w:t xml:space="preserve"> </w:t>
      </w:r>
      <w:r>
        <w:t xml:space="preserve">P300 window (anchor cell Pz d = −0.84, POz d = −0.66; slightly attenuated relative</w:t>
      </w:r>
      <w:r>
        <w:t xml:space="preserve"> </w:t>
      </w:r>
      <w:r>
        <w:t xml:space="preserve">to the validated-feature estimates because this curve is recomputed from raw epoch</w:t>
      </w:r>
      <w:r>
        <w:t xml:space="preserve"> </w:t>
      </w:r>
      <w:r>
        <w:t xml:space="preserve">amplitudes via an independent pipeline). The primary effect is therefore not an</w:t>
      </w:r>
      <w:r>
        <w:t xml:space="preserve"> </w:t>
      </w:r>
      <w:r>
        <w:t xml:space="preserve">artefact of window selection.</w:t>
      </w:r>
    </w:p>
    <w:bookmarkEnd w:id="35"/>
    <w:bookmarkStart w:id="36" w:name="X170960c18563717503fe8228910e7ed8957cad7"/>
    <w:p>
      <w:pPr>
        <w:pStyle w:val="Heading3"/>
      </w:pPr>
      <w:r>
        <w:t xml:space="preserve">3.5 Machine-learning classification of chronotype (Figure 5; see also Supplementary Figures S2 and S4)</w:t>
      </w:r>
    </w:p>
    <w:p>
      <w:pPr>
        <w:pStyle w:val="FirstParagraph"/>
      </w:pPr>
      <w:r>
        <w:t xml:space="preserve">Under nested cross-validation with hyperparameter tuning (Figure 5), the five</w:t>
      </w:r>
      <w:r>
        <w:t xml:space="preserve"> </w:t>
      </w:r>
      <w:r>
        <w:t xml:space="preserve">classifiers were compared on identical folds of the 12-feature set. The</w:t>
      </w:r>
      <w:r>
        <w:t xml:space="preserve"> </w:t>
      </w:r>
      <w:r>
        <w:t xml:space="preserve">pre-specified L2 logistic regression performed best on balanced accuracy</w:t>
      </w:r>
      <w:r>
        <w:t xml:space="preserve"> </w:t>
      </w:r>
      <w:r>
        <w:t xml:space="preserve">(0.717 +/- 0.14), with accuracy 0.715, ROC AUC 0.750, sensitivity (Morning) 0.695,</w:t>
      </w:r>
      <w:r>
        <w:t xml:space="preserve"> </w:t>
      </w:r>
      <w:r>
        <w:t xml:space="preserve">and specificity (Evening) 0.738; the random forest reached the highest AUC</w:t>
      </w:r>
      <w:r>
        <w:t xml:space="preserve"> </w:t>
      </w:r>
      <w:r>
        <w:t xml:space="preserve">(0.772), L1 logistic regression 0.651 balanced accuracy, the RBF SVM 0.609, and</w:t>
      </w:r>
      <w:r>
        <w:t xml:space="preserve"> </w:t>
      </w:r>
      <w:r>
        <w:t xml:space="preserve">gradient boosting degenerated to a single-class predictor at this sample size</w:t>
      </w:r>
      <w:r>
        <w:t xml:space="preserve"> </w:t>
      </w:r>
      <w:r>
        <w:t xml:space="preserve">(Table 1). The tuned primary model selected strong regularization (C = 0.01),</w:t>
      </w:r>
      <w:r>
        <w:t xml:space="preserve"> </w:t>
      </w:r>
      <w:r>
        <w:t xml:space="preserve">consistent with the small sample.</w:t>
      </w:r>
    </w:p>
    <w:p>
      <w:pPr>
        <w:pStyle w:val="BodyText"/>
      </w:pPr>
      <w:r>
        <w:t xml:space="preserve">Pooling out-of-fold predictions for the primary model, the classifier correctly</w:t>
      </w:r>
      <w:r>
        <w:t xml:space="preserve"> </w:t>
      </w:r>
      <w:r>
        <w:t xml:space="preserve">labelled 28 of 39 participants (accuracy 0.718; sensitivity 0.75, specificity</w:t>
      </w:r>
      <w:r>
        <w:t xml:space="preserve"> </w:t>
      </w:r>
      <w:r>
        <w:t xml:space="preserve">0.68; confusion matrix Supplementary Figure S4) with a pooled ROC AUC of 0.79 (Figure 5).</w:t>
      </w:r>
      <w:r>
        <w:t xml:space="preserve"> </w:t>
      </w:r>
      <w:r>
        <w:t xml:space="preserve">Against a label-permutation null with the full nested pipeline re-fit on each</w:t>
      </w:r>
      <w:r>
        <w:t xml:space="preserve"> </w:t>
      </w:r>
      <w:r>
        <w:t xml:space="preserve">permutation, the model was significantly above chance (observed balanced accuracy</w:t>
      </w:r>
      <w:r>
        <w:t xml:space="preserve"> </w:t>
      </w:r>
      <w:r>
        <w:t xml:space="preserve">0.717, null mean 0.509, p = 0.020).</w:t>
      </w:r>
    </w:p>
    <w:p>
      <w:pPr>
        <w:pStyle w:val="BodyText"/>
      </w:pPr>
      <w:r>
        <w:t xml:space="preserve">Interpretability links the model directly to the neural finding: the strongest</w:t>
      </w:r>
      <w:r>
        <w:t xml:space="preserve"> </w:t>
      </w:r>
      <w:r>
        <w:t xml:space="preserve">standardized coefficient was</w:t>
      </w:r>
      <w:r>
        <w:t xml:space="preserve"> </w:t>
      </w:r>
      <w:r>
        <w:rPr>
          <w:rStyle w:val="VerbatimChar"/>
        </w:rPr>
        <w:t xml:space="preserve">Pz_P300_loss_minus_gain</w:t>
      </w:r>
      <w:r>
        <w:t xml:space="preserve"> </w:t>
      </w:r>
      <w:r>
        <w:t xml:space="preserve">(+0.34, the top predictor</w:t>
      </w:r>
      <w:r>
        <w:t xml:space="preserve"> </w:t>
      </w:r>
      <w:r>
        <w:t xml:space="preserve">of Morning), followed by</w:t>
      </w:r>
      <w:r>
        <w:t xml:space="preserve"> </w:t>
      </w:r>
      <w:r>
        <w:rPr>
          <w:rStyle w:val="VerbatimChar"/>
        </w:rPr>
        <w:t xml:space="preserve">loss_error_risky_rate</w:t>
      </w:r>
      <w:r>
        <w:t xml:space="preserve"> </w:t>
      </w:r>
      <w:r>
        <w:t xml:space="preserve">(-0.31),</w:t>
      </w:r>
      <w:r>
        <w:t xml:space="preserve"> </w:t>
      </w:r>
      <w:r>
        <w:rPr>
          <w:rStyle w:val="VerbatimChar"/>
        </w:rPr>
        <w:t xml:space="preserve">gain_correct_risky_rate</w:t>
      </w:r>
      <w:r>
        <w:t xml:space="preserve"> </w:t>
      </w:r>
      <w:r>
        <w:t xml:space="preserve">(-0.24), and</w:t>
      </w:r>
      <w:r>
        <w:t xml:space="preserve"> </w:t>
      </w:r>
      <w:r>
        <w:rPr>
          <w:rStyle w:val="VerbatimChar"/>
        </w:rPr>
        <w:t xml:space="preserve">POz_P300_loss_minus_gain</w:t>
      </w:r>
      <w:r>
        <w:t xml:space="preserve"> </w:t>
      </w:r>
      <w:r>
        <w:t xml:space="preserve">(+0.24); held-out permutation importance</w:t>
      </w:r>
      <w:r>
        <w:t xml:space="preserve"> </w:t>
      </w:r>
      <w:r>
        <w:t xml:space="preserve">showed the same ordering (Supplementary Figure S2). The multivariate classifier thus relies on</w:t>
      </w:r>
      <w:r>
        <w:t xml:space="preserve"> </w:t>
      </w:r>
      <w:r>
        <w:t xml:space="preserve">the same posterior P300 contrast identified by the univariate group comparison,</w:t>
      </w:r>
      <w:r>
        <w:t xml:space="preserve"> </w:t>
      </w:r>
      <w:r>
        <w:t xml:space="preserve">so the two analyses are mutually validating.</w:t>
      </w:r>
    </w:p>
    <w:p>
      <w:pPr>
        <w:pStyle w:val="BodyText"/>
      </w:pPr>
      <w:r>
        <w:t xml:space="preserve">Two caveats temper the predictive claim. First, across the family of five</w:t>
      </w:r>
      <w:r>
        <w:t xml:space="preserve"> </w:t>
      </w:r>
      <w:r>
        <w:t xml:space="preserve">pre-specified feature packs no pack survived FDR correction (best raw permutation</w:t>
      </w:r>
      <w:r>
        <w:t xml:space="preserve"> </w:t>
      </w:r>
      <w:r>
        <w:t xml:space="preserve">p = 0.051, FDR p = 0.175), so the single-model significance should not be read as</w:t>
      </w:r>
      <w:r>
        <w:t xml:space="preserve"> </w:t>
      </w:r>
      <w:r>
        <w:t xml:space="preserve">robust to feature-set selection. Second, classifier significance was sensitive to</w:t>
      </w:r>
      <w:r>
        <w:t xml:space="preserve"> </w:t>
      </w:r>
      <w:r>
        <w:t xml:space="preserve">removing the two label-conflict participants (Section 3.4), whereas the neural</w:t>
      </w:r>
      <w:r>
        <w:t xml:space="preserve"> </w:t>
      </w:r>
      <w:r>
        <w:t xml:space="preserve">group difference was not. Higher-dimensional models (47-171 features) scored</w:t>
      </w:r>
      <w:r>
        <w:t xml:space="preserve"> </w:t>
      </w:r>
      <w:r>
        <w:t xml:space="preserve">numerically higher but are reported only as exploratory given the</w:t>
      </w:r>
      <w:r>
        <w:t xml:space="preserve"> </w:t>
      </w:r>
      <w:r>
        <w:t xml:space="preserve">feature-to-sample ratio. We therefore present the classifier as an interpretable</w:t>
      </w:r>
      <w:r>
        <w:t xml:space="preserve"> </w:t>
      </w:r>
      <w:r>
        <w:t xml:space="preserve">multivariate complement to the neural effect rather than a deployable diagnostic.</w:t>
      </w:r>
    </w:p>
    <w:bookmarkEnd w:id="36"/>
    <w:bookmarkStart w:id="37" w:name="X1cae57b47cca9587354b7f4e22832f5834b044d"/>
    <w:p>
      <w:pPr>
        <w:pStyle w:val="Heading3"/>
      </w:pPr>
      <w:r>
        <w:t xml:space="preserve">3.6 Secondary: trial-level risky choice (Supplementary Figure S3)</w:t>
      </w:r>
    </w:p>
    <w:p>
      <w:pPr>
        <w:pStyle w:val="FirstParagraph"/>
      </w:pPr>
      <w:r>
        <w:t xml:space="preserve">Under participant-grouped cross-validation, the best leakage-safe models reached</w:t>
      </w:r>
      <w:r>
        <w:t xml:space="preserve"> </w:t>
      </w:r>
      <w:r>
        <w:t xml:space="preserve">a balanced accuracy of approximately 0.587 (ROC AUC approximately 0.62) on</w:t>
      </w:r>
      <w:r>
        <w:t xml:space="preserve"> </w:t>
      </w:r>
      <w:r>
        <w:t xml:space="preserve">10,669 free-choice trials. This exceeded the majority-class (0.50) and previous-</w:t>
      </w:r>
      <w:r>
        <w:t xml:space="preserve"> </w:t>
      </w:r>
      <w:r>
        <w:t xml:space="preserve">choice-persistence (0.554) baselines and approached the participant-mean oracle</w:t>
      </w:r>
      <w:r>
        <w:t xml:space="preserve"> </w:t>
      </w:r>
      <w:r>
        <w:t xml:space="preserve">ceiling (0.604) without ever observing the held-out participant’s own data.</w:t>
      </w:r>
      <w:r>
        <w:t xml:space="preserve"> </w:t>
      </w:r>
      <w:r>
        <w:t xml:space="preserve">Previous-trial and rolling history features carried most of the signal; adding</w:t>
      </w:r>
      <w:r>
        <w:t xml:space="preserve"> </w:t>
      </w:r>
      <w:r>
        <w:t xml:space="preserve">previous-trial EEG did not materially improve performance over history and value</w:t>
      </w:r>
      <w:r>
        <w:t xml:space="preserve"> </w:t>
      </w:r>
      <w:r>
        <w:t xml:space="preserve">features in the current representation.</w:t>
      </w:r>
    </w:p>
    <w:bookmarkEnd w:id="37"/>
    <w:bookmarkStart w:id="41" w:name="Xd7a05025df7648c9e22be96ad368cd99fdc73c1"/>
    <w:p>
      <w:pPr>
        <w:pStyle w:val="Heading3"/>
      </w:pPr>
      <w:r>
        <w:t xml:space="preserve">3.7 Chronotype is decodable from risky-choice dynamics alone (Figure 3)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Chronotype decoding from behavioural choice dynamics (GRU), from validated ERP contrasts, and their super-additive fusion." title="" id="39" name="Picture"/>
            <a:graphic>
              <a:graphicData uri="http://schemas.openxmlformats.org/drawingml/2006/picture">
                <pic:pic>
                  <pic:nvPicPr>
                    <pic:cNvPr descr="docs/figures/fig_main_3_fu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Chronotype decoding from behavioural choice dynamics (GRU), from validated ERP contrasts, and their super-additive fusion.</w:t>
      </w:r>
    </w:p>
    <w:p>
      <w:pPr>
        <w:pStyle w:val="BodyText"/>
      </w:pPr>
      <w:r>
        <w:t xml:space="preserve">A causal (unidirectional) GRU trained to predict trial-level risky choice from</w:t>
      </w:r>
      <w:r>
        <w:t xml:space="preserve"> </w:t>
      </w:r>
      <w:r>
        <w:t xml:space="preserve">pre-choice context and the previous trial’s outcome exceeded the leakage-safe</w:t>
      </w:r>
      <w:r>
        <w:t xml:space="preserve"> </w:t>
      </w:r>
      <w:r>
        <w:t xml:space="preserve">baseline (balanced accuracy 0.603, AUC 0.647)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hand-engineered history</w:t>
      </w:r>
      <w:r>
        <w:t xml:space="preserve"> </w:t>
      </w:r>
      <w:r>
        <w:t xml:space="preserve">features, learning the temporal structure itself. Its out-of-fold 64-dimensional</w:t>
      </w:r>
      <w:r>
        <w:t xml:space="preserve"> </w:t>
      </w:r>
      <w:r>
        <w:t xml:space="preserve">behavioural embedding — a chronotype-agnostic summary of each participant’s choice</w:t>
      </w:r>
      <w:r>
        <w:t xml:space="preserve"> </w:t>
      </w:r>
      <w:r>
        <w:t xml:space="preserve">dynamics — predicted Morning vs Evening under nested leave-one-participant-out CV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ROC AUC 0.713</w:t>
      </w:r>
      <w:r>
        <w:t xml:space="preserve"> </w:t>
      </w:r>
      <w:r>
        <w:t xml:space="preserve">(balanced accuracy 0.691; label-permutation p = 0.027; null</w:t>
      </w:r>
      <w:r>
        <w:t xml:space="preserve"> </w:t>
      </w:r>
      <w:r>
        <w:t xml:space="preserve">AUC mean 0.457), and the out-of-fold scores tracked the continuous MEQ (r = -0.31).</w:t>
      </w:r>
      <w:r>
        <w:t xml:space="preserve"> </w:t>
      </w:r>
      <w:r>
        <w:t xml:space="preserve">Chronotype is therefore expressed in the dynamics of risky choice, independent of</w:t>
      </w:r>
      <w:r>
        <w:t xml:space="preserve"> </w:t>
      </w:r>
      <w:r>
        <w:t xml:space="preserve">any EEG.</w:t>
      </w:r>
    </w:p>
    <w:bookmarkEnd w:id="41"/>
    <w:bookmarkStart w:id="42" w:name="X641f21a92ae2dac0087a6a68f0288228066c225"/>
    <w:p>
      <w:pPr>
        <w:pStyle w:val="Heading3"/>
      </w:pPr>
      <w:r>
        <w:t xml:space="preserve">3.8 Behaviour and neural feedback signals fuse super-additively (Figure 3; headline)</w:t>
      </w:r>
    </w:p>
    <w:p>
      <w:pPr>
        <w:pStyle w:val="FirstParagraph"/>
      </w:pPr>
      <w:r>
        <w:t xml:space="preserve">Using only the six validated FRN/P300 contrast features, chronotype was predicted</w:t>
      </w:r>
      <w:r>
        <w:t xml:space="preserve"> </w:t>
      </w:r>
      <w:r>
        <w:t xml:space="preserve">at AUC 0.668 (p = 0.032), confirming the neural group difference within the same</w:t>
      </w:r>
      <w:r>
        <w:t xml:space="preserve"> </w:t>
      </w:r>
      <w:r>
        <w:t xml:space="preserve">permutation-clean predictive framework.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GRU embedding</w:t>
      </w:r>
      <w:r>
        <w:t xml:space="preserve"> </w:t>
      </w:r>
      <w:r>
        <w:t xml:space="preserve">with these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: chronotype decoding</w:t>
      </w:r>
      <w:r>
        <w:t xml:space="preserve"> </w:t>
      </w:r>
      <w:r>
        <w:t xml:space="preserve">rose to</w:t>
      </w:r>
      <w:r>
        <w:t xml:space="preserve"> </w:t>
      </w:r>
      <w:r>
        <w:rPr>
          <w:b/>
          <w:bCs/>
        </w:rPr>
        <w:t xml:space="preserve">AUC 0.797</w:t>
      </w:r>
      <w:r>
        <w:t xml:space="preserve"> </w:t>
      </w:r>
      <w:r>
        <w:t xml:space="preserve">(balanced accuracy 0.742, permutation p = 0.004), exceeding</w:t>
      </w:r>
      <w:r>
        <w:t xml:space="preserve"> </w:t>
      </w:r>
      <w:r>
        <w:t xml:space="preserve">either modality alone, and the correlation with the continuous MEQ nearly doubled</w:t>
      </w:r>
      <w:r>
        <w:t xml:space="preserve"> </w:t>
      </w:r>
      <w:r>
        <w:t xml:space="preserve">to r = -0.42 (p = 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Because the combination exceeds each part, the behavioural and neural signals</w:t>
      </w:r>
      <w:r>
        <w:t xml:space="preserve"> </w:t>
      </w:r>
      <w:r>
        <w:t xml:space="preserve">carry</w:t>
      </w:r>
      <w:r>
        <w:t xml:space="preserve"> </w:t>
      </w:r>
      <w:r>
        <w:rPr>
          <w:b/>
          <w:bCs/>
        </w:rPr>
        <w:t xml:space="preserve">partly independent</w:t>
      </w:r>
      <w:r>
        <w:t xml:space="preserve"> </w:t>
      </w:r>
      <w:r>
        <w:t xml:space="preserve">chronotype information. As a control, fusing the GRU</w:t>
      </w:r>
      <w:r>
        <w:t xml:space="preserve"> </w:t>
      </w:r>
      <w:r>
        <w:t xml:space="preserve">embedding with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EEGNet embedding instead reduced performance</w:t>
      </w:r>
      <w:r>
        <w:t xml:space="preserve"> </w:t>
      </w:r>
      <w:r>
        <w:t xml:space="preserve">(AUC 0.65), motivating the use of low-dimensional validated ERP features (§3.11).</w:t>
      </w:r>
      <w:r>
        <w:t xml:space="preserve"> </w:t>
      </w:r>
      <w:r>
        <w:t xml:space="preserve">The fused result was robust across all pre-defined participant exclusions</w:t>
      </w:r>
      <w:r>
        <w:t xml:space="preserve"> </w:t>
      </w:r>
      <w:r>
        <w:t xml:space="preserve">(AUC 0.70-0.80), had a bootstrap 95% CI of [0.639, 0.924] that excluded chance,</w:t>
      </w:r>
      <w:r>
        <w:t xml:space="preserve"> </w:t>
      </w:r>
      <w:r>
        <w:t xml:space="preserve">and was not driven by any single participant (leave-one-subject-out AUC range</w:t>
      </w:r>
      <w:r>
        <w:t xml:space="preserve"> </w:t>
      </w:r>
      <w:r>
        <w:t xml:space="preserve">0.653-0.853; most influential participant 1001 reported transparently).</w:t>
      </w:r>
    </w:p>
    <w:bookmarkEnd w:id="42"/>
    <w:bookmarkStart w:id="43" w:name="X3620277d4d84cbcc0230cf6a5ddb988b249f560"/>
    <w:p>
      <w:pPr>
        <w:pStyle w:val="Heading3"/>
      </w:pPr>
      <w:r>
        <w:t xml:space="preserve">3.9 The continuous MEQ score is predictable (Figure 3)</w:t>
      </w:r>
    </w:p>
    <w:p>
      <w:pPr>
        <w:pStyle w:val="FirstParagraph"/>
      </w:pPr>
      <w:r>
        <w:t xml:space="preserve">To avoid dichotomizing a continuous trait, the actual MEQ score was predicted by</w:t>
      </w:r>
      <w:r>
        <w:t xml:space="preserve"> </w:t>
      </w:r>
      <w:r>
        <w:t xml:space="preserve">nested leave-one-out Ridge regression (n = 38). Behaviour predicted MEQ</w:t>
      </w:r>
      <w:r>
        <w:t xml:space="preserve"> </w:t>
      </w:r>
      <w:r>
        <w:t xml:space="preserve">(r = 0.310, p = 0.039), the neural features less so (r = 0.145), and the fused</w:t>
      </w:r>
      <w:r>
        <w:t xml:space="preserve"> </w:t>
      </w:r>
      <w:r>
        <w:t xml:space="preserve">feature set best (</w:t>
      </w:r>
      <w:r>
        <w:rPr>
          <w:b/>
          <w:bCs/>
        </w:rPr>
        <w:t xml:space="preserve">r = 0.344, p = 0.027</w:t>
      </w:r>
      <w:r>
        <w:t xml:space="preserve">), mirroring the binary classification</w:t>
      </w:r>
      <w:r>
        <w:t xml:space="preserve"> </w:t>
      </w:r>
      <w:r>
        <w:t xml:space="preserve">and confirming the effect does not depend on the Morning/Evening split.</w:t>
      </w:r>
    </w:p>
    <w:bookmarkEnd w:id="43"/>
    <w:bookmarkStart w:id="44" w:name="X8c85a2fd1a4f4df2aa7bcaf30abf0941c7fa3ca"/>
    <w:p>
      <w:pPr>
        <w:pStyle w:val="Heading3"/>
      </w:pPr>
      <w:r>
        <w:t xml:space="preserve">3.10 A reinforcement-learning model localises the mechanism (Figure 3)</w:t>
      </w:r>
    </w:p>
    <w:p>
      <w:pPr>
        <w:pStyle w:val="FirstParagraph"/>
      </w:pPr>
      <w:r>
        <w:t xml:space="preserve">Per-participant maximum-likelihood fits of an asymmetric reward-learning model</w:t>
      </w:r>
      <w:r>
        <w:t xml:space="preserve"> </w:t>
      </w:r>
      <w:r>
        <w:t xml:space="preserve">gave exploratory point estimates suggesting Evening types learned more strongly</w:t>
      </w:r>
      <w:r>
        <w:t xml:space="preserve"> </w:t>
      </w:r>
      <w:r>
        <w:t xml:space="preserve">from gains (α_gain Evening 0.23 vs Morning 0.05; group p = 0.040; MEQ r = -0.32)</w:t>
      </w:r>
      <w:r>
        <w:t xml:space="preserve"> </w:t>
      </w:r>
      <w:r>
        <w:t xml:space="preserve">and chose less consistently (β; MEQ r = 0.36, p = 0.027), with Morning types</w:t>
      </w:r>
      <w:r>
        <w:t xml:space="preserve"> </w:t>
      </w:r>
      <w:r>
        <w:t xml:space="preserve">showing a relative bias toward learning from losses (learning-asymmetry trend</w:t>
      </w:r>
      <w:r>
        <w:t xml:space="preserve"> </w:t>
      </w:r>
      <w:r>
        <w:t xml:space="preserve">p = 0.072). The RL parameters jointly classified chronotype only weakly</w:t>
      </w:r>
      <w:r>
        <w:t xml:space="preserve"> </w:t>
      </w:r>
      <w:r>
        <w:t xml:space="preserve">(AUC 0.532).</w:t>
      </w:r>
    </w:p>
    <w:p>
      <w:pPr>
        <w:pStyle w:val="BodyText"/>
      </w:pPr>
      <w:r>
        <w:t xml:space="preserve">However, these point-estimate contrasts</w:t>
      </w:r>
      <w:r>
        <w:t xml:space="preserve"> </w:t>
      </w:r>
      <w:r>
        <w:rPr>
          <w:b/>
          <w:bCs/>
        </w:rPr>
        <w:t xml:space="preserve">did not survive a Bayesian hierarchical</w:t>
      </w:r>
      <w:r>
        <w:rPr>
          <w:b/>
          <w:bCs/>
        </w:rPr>
        <w:t xml:space="preserve"> </w:t>
      </w:r>
      <w:r>
        <w:rPr>
          <w:b/>
          <w:bCs/>
        </w:rPr>
        <w:t xml:space="preserve">partial-pooling refit</w:t>
      </w:r>
      <w:r>
        <w:t xml:space="preserve"> </w:t>
      </w:r>
      <w:r>
        <w:t xml:space="preserve">(NUTS, chronotype group-level offset per parameter; max</w:t>
      </w:r>
      <w:r>
        <w:t xml:space="preserve"> </w:t>
      </w:r>
      <w:r>
        <w:t xml:space="preserve">R-hat 1.02, no divergences). Under partial pooling the α_gain contrast collapsed to</w:t>
      </w:r>
      <w:r>
        <w:t xml:space="preserve"> </w:t>
      </w:r>
      <w:r>
        <w:t xml:space="preserve">essentially zero (Evening − Morning ≈ 0.00, 94% HDI [-0.010, 0.011],</w:t>
      </w:r>
      <w:r>
        <w:t xml:space="preserve"> </w:t>
      </w:r>
      <w:r>
        <w:t xml:space="preserve">P(contrast&gt;0) = 0.46) and the β contrast reversed sign and remained uncertain</w:t>
      </w:r>
      <w:r>
        <w:t xml:space="preserve"> </w:t>
      </w:r>
      <w:r>
        <w:t xml:space="preserve">(+0.38, HDI [-0.53, 1.28]); the only tendency was weaker learning from losses in</w:t>
      </w:r>
      <w:r>
        <w:t xml:space="preserve"> </w:t>
      </w:r>
      <w:r>
        <w:t xml:space="preserve">Evening types (α_loss contrast -0.012, HDI [-0.032, 0.002]; learning asymmetry</w:t>
      </w:r>
      <w:r>
        <w:t xml:space="preserve"> </w:t>
      </w:r>
      <w:r>
        <w:t xml:space="preserve">P(contrast&gt;0) = 0.06). Crucially, the subject-level MLE and hierarchical estimates</w:t>
      </w:r>
      <w:r>
        <w:t xml:space="preserve"> </w:t>
      </w:r>
      <w:r>
        <w:t xml:space="preserve">were weakly correlated (α_loss r = 0.02, β r = 0.13, α_gain r = 0.45), showing the</w:t>
      </w:r>
      <w:r>
        <w:t xml:space="preserve"> </w:t>
      </w:r>
      <w:r>
        <w:t xml:space="preserve">per-participant MLE parameters were poorly identified given ~270 free trials with</w:t>
      </w:r>
      <w:r>
        <w:t xml:space="preserve"> </w:t>
      </w:r>
      <w:r>
        <w:t xml:space="preserve">hidden, random signs. We therefore treat the RL analysis as</w:t>
      </w:r>
      <w:r>
        <w:t xml:space="preserve"> </w:t>
      </w:r>
      <w:r>
        <w:rPr>
          <w:b/>
          <w:bCs/>
        </w:rPr>
        <w:t xml:space="preserve">weakly identified and</w:t>
      </w:r>
      <w:r>
        <w:rPr>
          <w:b/>
          <w:bCs/>
        </w:rPr>
        <w:t xml:space="preserve"> </w:t>
      </w:r>
      <w:r>
        <w:rPr>
          <w:b/>
          <w:bCs/>
        </w:rPr>
        <w:t xml:space="preserve">exploratory</w:t>
      </w:r>
      <w:r>
        <w:t xml:space="preserve">: it does not provide a confirmed mechanism, and — importantly — the</w:t>
      </w:r>
      <w:r>
        <w:t xml:space="preserve"> </w:t>
      </w:r>
      <w:r>
        <w:t xml:space="preserve">predictive headline (the behaviour+ERP fusion, §3.8) does not depend on it. The</w:t>
      </w:r>
      <w:r>
        <w:t xml:space="preserve"> </w:t>
      </w:r>
      <w:r>
        <w:t xml:space="preserve">five MLE comparisons are uncorrected; the hierarchical contrasts are reported with</w:t>
      </w:r>
      <w:r>
        <w:t xml:space="preserve"> </w:t>
      </w:r>
      <w:r>
        <w:t xml:space="preserve">HDIs rather than as tests.</w:t>
      </w:r>
    </w:p>
    <w:bookmarkEnd w:id="44"/>
    <w:bookmarkStart w:id="45" w:name="Xdde51a32f19630a7c280135dd18e9f102b73597"/>
    <w:p>
      <w:pPr>
        <w:pStyle w:val="Heading3"/>
      </w:pPr>
      <w:r>
        <w:t xml:space="preserve">3.11 Honest negative: deep learning on single-trial EEG (Figure 3)</w:t>
      </w:r>
    </w:p>
    <w:p>
      <w:pPr>
        <w:pStyle w:val="FirstParagraph"/>
      </w:pPr>
      <w:r>
        <w:t xml:space="preserve">Trained cross-subject, EEGNet decoded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</w:t>
      </w:r>
      <w:r>
        <w:t xml:space="preserve"> </w:t>
      </w:r>
      <w:r>
        <w:t xml:space="preserve">gain) at AUC 0.641 on held-out participants — the cleaned epochs carry genuine</w:t>
      </w:r>
      <w:r>
        <w:t xml:space="preserve"> </w:t>
      </w:r>
      <w:r>
        <w:t xml:space="preserve">decodable single-trial signal. However, neither learned per-subject EEG embedding</w:t>
      </w:r>
      <w:r>
        <w:t xml:space="preserve"> </w:t>
      </w:r>
      <w:r>
        <w:t xml:space="preserve">predicted chronotype (mean-pooled AUC 0.426; loss-minus-gain contrast embedding</w:t>
      </w:r>
      <w:r>
        <w:t xml:space="preserve"> </w:t>
      </w:r>
      <w:r>
        <w:t xml:space="preserve">AUC 0.389). At N = 39 a network cannot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the subtle subject-level chronotype</w:t>
      </w:r>
      <w:r>
        <w:t xml:space="preserve"> </w:t>
      </w:r>
      <w:r>
        <w:t xml:space="preserve">difference from single trials, even though a small set of theory-driven, FDR-</w:t>
      </w:r>
      <w:r>
        <w:t xml:space="preserve"> </w:t>
      </w:r>
      <w:r>
        <w:t xml:space="preserve">validated ERP contrasts captures it (§3.8). We report this transparently: for</w:t>
      </w:r>
      <w:r>
        <w:t xml:space="preserve"> </w:t>
      </w:r>
      <w:r>
        <w:t xml:space="preserve">small-sample individual-differences EEG, validated low-dimensional features can</w:t>
      </w:r>
      <w:r>
        <w:t xml:space="preserve"> </w:t>
      </w:r>
      <w:r>
        <w:t xml:space="preserve">outperform end-to-end representation learning. Both learned embeddings decoded</w:t>
      </w:r>
      <w:r>
        <w:t xml:space="preserve"> </w:t>
      </w:r>
      <w:r>
        <w:t xml:space="preserve">chronotype at chance under permutation (mean AUC 0.426, p = 0.61; contrast AUC</w:t>
      </w:r>
      <w:r>
        <w:t xml:space="preserve"> </w:t>
      </w:r>
      <w:r>
        <w:t xml:space="preserve">0.389, p = 0.71); a permutation-null density-ratio Bayes factor was only weakly</w:t>
      </w:r>
      <w:r>
        <w:t xml:space="preserve"> </w:t>
      </w:r>
      <w:r>
        <w:t xml:space="preserve">informative (BF01 ≈ 1.2), because the observed AUCs fell slightly below chance,</w:t>
      </w:r>
      <w:r>
        <w:t xml:space="preserve"> </w:t>
      </w:r>
      <w:r>
        <w:t xml:space="preserve">so the non-significant permutation test is the clearer statement of the null.</w:t>
      </w:r>
      <w:r>
        <w:t xml:space="preserve"> </w:t>
      </w:r>
      <w:r>
        <w:t xml:space="preserve">(The positive-control valence AUC of 0.64 is from the canonical EEGNet run</w:t>
      </w:r>
      <w:r>
        <w:t xml:space="preserve"> </w:t>
      </w:r>
      <w:r>
        <w:t xml:space="preserve">[30 training epochs, 5-fold participant-grouped CV] that generated the embeddings</w:t>
      </w:r>
      <w:r>
        <w:t xml:space="preserve"> </w:t>
      </w:r>
      <w:r>
        <w:t xml:space="preserve">used here; a separate 2-epoch/2-fold sanity run gave 0.59 and is not used.)</w:t>
      </w:r>
    </w:p>
    <w:bookmarkEnd w:id="45"/>
    <w:bookmarkStart w:id="49" w:name="Xab7dd127ad7d669849725407a9af334e9a9e1f2"/>
    <w:p>
      <w:pPr>
        <w:pStyle w:val="Heading3"/>
      </w:pPr>
      <w:r>
        <w:t xml:space="preserve">3.12 The chronotype effect is trait-level, not a single-trial coupling (Figure 4)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feedback P300 to next-trial risk coupling by chronotype (overall and valence-resolved)." title="" id="47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feedback P300 to next-trial risk coupling by chronotype (overall and valence-resolved).</w:t>
      </w:r>
    </w:p>
    <w:p>
      <w:pPr>
        <w:pStyle w:val="BodyText"/>
      </w:pPr>
      <w:r>
        <w:t xml:space="preserve">To test whether the neural effect operates as a within-subject dynamic — i.e.</w:t>
      </w:r>
      <w:r>
        <w:t xml:space="preserve"> </w:t>
      </w:r>
      <w:r>
        <w:t xml:space="preserve">whether the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drives the participant’s risk adjustment on</w:t>
      </w:r>
      <w:r>
        <w:t xml:space="preserve"> </w:t>
      </w:r>
      <w:r>
        <w:t xml:space="preserve">trial</w:t>
      </w:r>
      <w:r>
        <w:t xml:space="preserve"> </w:t>
      </w:r>
      <w:r>
        <w:rPr>
          <w:i/>
          <w:iCs/>
        </w:rPr>
        <w:t xml:space="preserve">t</w:t>
      </w:r>
      <w:r>
        <w:t xml:space="preserve">+1 — we fit a leakage-safe coupling analysis (the P300 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Across 10,630 consecutive trial pairs, the</w:t>
      </w:r>
      <w:r>
        <w:t xml:space="preserve"> </w:t>
      </w:r>
      <w:r>
        <w:t xml:space="preserve">per-participant coupling slope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by chronotype, either overall</w:t>
      </w:r>
      <w:r>
        <w:t xml:space="preserve"> </w:t>
      </w:r>
      <w:r>
        <w:t xml:space="preserve">(Evening -0.033 vs Morning 0.025; d = -0.36, 95% CI [-1.12, 0.25]; Mann-Whitney</w:t>
      </w:r>
      <w:r>
        <w:t xml:space="preserve"> </w:t>
      </w:r>
      <w:r>
        <w:t xml:space="preserve">p = 0.22) or in the theory-matched valence-resolved form (P300×loss interaction</w:t>
      </w:r>
      <w:r>
        <w:t xml:space="preserve"> </w:t>
      </w:r>
      <w:r>
        <w:t xml:space="preserve">d = -0.08, p = 0.62); a confirmatory Binomial mixed model gave a P300×chronotype</w:t>
      </w:r>
      <w:r>
        <w:t xml:space="preserve"> </w:t>
      </w:r>
      <w:r>
        <w:t xml:space="preserve">interaction of p = 0.12. Thus the chronotype difference is expressed at the</w:t>
      </w:r>
      <w:r>
        <w:t xml:space="preserve"> </w:t>
      </w:r>
      <w:r>
        <w:rPr>
          <w:b/>
          <w:bCs/>
        </w:rPr>
        <w:t xml:space="preserve">between-subject/trait level</w:t>
      </w:r>
      <w:r>
        <w:t xml:space="preserve"> </w:t>
      </w:r>
      <w:r>
        <w:t xml:space="preserve">— in aggregate feedback evaluation and in choice</w:t>
      </w:r>
      <w:r>
        <w:t xml:space="preserve"> </w:t>
      </w:r>
      <w:r>
        <w:t xml:space="preserve">dynamics that fuse super-additively (§3.8) — rather than as a strong single-trial</w:t>
      </w:r>
      <w:r>
        <w:t xml:space="preserve"> </w:t>
      </w:r>
      <w:r>
        <w:t xml:space="preserve">brain→behaviour coupling. This bounds the mechanistic interpretation and indicates</w:t>
      </w:r>
      <w:r>
        <w:t xml:space="preserve"> </w:t>
      </w:r>
      <w:r>
        <w:t xml:space="preserve">the fusion is not reducible to a moment-to-moment neural drive of choice.</w:t>
      </w:r>
    </w:p>
    <w:bookmarkEnd w:id="49"/>
    <w:bookmarkEnd w:id="50"/>
    <w:bookmarkStart w:id="58" w:name="discussion"/>
    <w:p>
      <w:pPr>
        <w:pStyle w:val="Heading2"/>
      </w:pPr>
      <w:r>
        <w:t xml:space="preserve">4. Discussion</w:t>
      </w:r>
    </w:p>
    <w:bookmarkStart w:id="51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expressed in the neural and</w:t>
      </w:r>
      <w:r>
        <w:t xml:space="preserve"> </w:t>
      </w:r>
      <w:r>
        <w:t xml:space="preserve">behavioural evaluation of decision feedback, and the two modalities converged. Four</w:t>
      </w:r>
      <w:r>
        <w:t xml:space="preserve"> </w:t>
      </w:r>
      <w:r>
        <w:t xml:space="preserve">findings anchor the account: (i) morning and evening chronotypes differed robustly</w:t>
      </w:r>
      <w:r>
        <w:t xml:space="preserve"> </w:t>
      </w:r>
      <w:r>
        <w:t xml:space="preserve">in the feedback-locked posterior P300 to outcome valence (H1); (ii) chronotype was</w:t>
      </w:r>
      <w:r>
        <w:t xml:space="preserve"> </w:t>
      </w:r>
      <w:r>
        <w:t xml:space="preserve">decodable from the dynamics of risky choice alone (H2); (iii) fusing the behavioural</w:t>
      </w:r>
      <w:r>
        <w:t xml:space="preserve"> </w:t>
      </w:r>
      <w:r>
        <w:t xml:space="preserve">dynamics with the validated ERP contrasts predicted chronotype better than either</w:t>
      </w:r>
      <w:r>
        <w:t xml:space="preserve"> </w:t>
      </w:r>
      <w:r>
        <w:t xml:space="preserve">modality alone (H3), and predicted the continuous MEQ score; and (iv) two</w:t>
      </w:r>
      <w:r>
        <w:t xml:space="preserve"> </w:t>
      </w:r>
      <w:r>
        <w:t xml:space="preserve">pre-planned negative tests — end-to-end EEG decoding and a within-subject</w:t>
      </w:r>
      <w:r>
        <w:t xml:space="preserve"> </w:t>
      </w:r>
      <w:r>
        <w:t xml:space="preserve">single-trial coupling — localised the effect to a between-subject trait rather than</w:t>
      </w:r>
      <w:r>
        <w:t xml:space="preserve"> </w:t>
      </w:r>
      <w:r>
        <w:t xml:space="preserve">a moment-to-moment neural drive of choice. Because every predictive result was</w:t>
      </w:r>
      <w:r>
        <w:t xml:space="preserve"> </w:t>
      </w:r>
      <w:r>
        <w:t xml:space="preserve">obtained under participant-generalizing, permutation-clean evaluation, the</w:t>
      </w:r>
      <w:r>
        <w:t xml:space="preserve"> </w:t>
      </w:r>
      <w:r>
        <w:t xml:space="preserve">convergence across methodologically distinct analyses, rather than any single</w:t>
      </w:r>
      <w:r>
        <w:t xml:space="preserve"> </w:t>
      </w:r>
      <w:r>
        <w:t xml:space="preserve">model’s accuracy, is the study’s central evidentiary strength.</w:t>
      </w:r>
    </w:p>
    <w:bookmarkEnd w:id="51"/>
    <w:bookmarkStart w:id="52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confirmed: evening types showed a more</w:t>
      </w:r>
      <w:r>
        <w:t xml:space="preserve"> </w:t>
      </w:r>
      <w:r>
        <w:t xml:space="preserve">negative loss-minus-gain P300 contrast at parietal/posterior sites, a large effect</w:t>
      </w:r>
      <w:r>
        <w:t xml:space="preserve"> </w:t>
      </w:r>
      <w:r>
        <w:t xml:space="preserve">(d ≈ 1.0) that survived FDR correction, was stable across participant-exclusion</w:t>
      </w:r>
      <w:r>
        <w:t xml:space="preserve"> </w:t>
      </w:r>
      <w:r>
        <w:t xml:space="preserve">sensitivity analyses and across a 72-cell window specification curve, and was</w:t>
      </w:r>
      <w:r>
        <w:t xml:space="preserve"> </w:t>
      </w:r>
      <w:r>
        <w:t xml:space="preserve">directionally corroborated against the continuous MEQ. Because the posterior P300</w:t>
      </w:r>
      <w:r>
        <w:t xml:space="preserve"> </w:t>
      </w:r>
      <w:r>
        <w:t xml:space="preserve">scales with the motivational salience and subjective significance of outcomes</w:t>
      </w:r>
      <w:r>
        <w:t xml:space="preserve"> </w:t>
      </w:r>
      <w:r>
        <w:t xml:space="preserve">(Polich, 2007; Yeung &amp; Sanfey, 2004), this pattern is consistent with</w:t>
      </w:r>
      <w:r>
        <w:t xml:space="preserve"> </w:t>
      </w:r>
      <w:r>
        <w:t xml:space="preserve">chronotype-related differences in how the relative salience of losses and gains is</w:t>
      </w:r>
      <w:r>
        <w:t xml:space="preserve"> </w:t>
      </w:r>
      <w:r>
        <w:t xml:space="preserve">neurally weighted during feedback. The direction is coherent with the wider</w:t>
      </w:r>
      <w:r>
        <w:t xml:space="preserve"> </w:t>
      </w:r>
      <w:r>
        <w:t xml:space="preserve">literature: evening types took more risks here and are reported to be more</w:t>
      </w:r>
      <w:r>
        <w:t xml:space="preserve"> </w:t>
      </w:r>
      <w:r>
        <w:t xml:space="preserve">reward-sensitive and impulsive (Adan et al., 2010; Killgore, 2007; Muro et al.,</w:t>
      </w:r>
      <w:r>
        <w:t xml:space="preserve"> </w:t>
      </w:r>
      <w:r>
        <w:t xml:space="preserve">2012), and evening-ness has been associated with altered reward-related brain</w:t>
      </w:r>
      <w:r>
        <w:t xml:space="preserve"> </w:t>
      </w:r>
      <w:r>
        <w:t xml:space="preserve">function (Hasler et al., 2013; Hasler &amp; Clark, 2013) and with a circadian system</w:t>
      </w:r>
      <w:r>
        <w:t xml:space="preserve"> </w:t>
      </w:r>
      <w:r>
        <w:t xml:space="preserve">that up-regulates reward motivation at certain phases (Murray et al., 2009). A</w:t>
      </w:r>
      <w:r>
        <w:t xml:space="preserve"> </w:t>
      </w:r>
      <w:r>
        <w:t xml:space="preserve">relatively smaller posterior-P300 response to losses than gains in evening types is</w:t>
      </w:r>
      <w:r>
        <w:t xml:space="preserve"> </w:t>
      </w:r>
      <w:r>
        <w:t xml:space="preserve">thus the electrophysiological complement of a behavioural profile that</w:t>
      </w:r>
      <w:r>
        <w:t xml:space="preserve"> </w:t>
      </w:r>
      <w:r>
        <w:t xml:space="preserve">comparatively down-weights losses (cf. loss aversion; Kahneman &amp; Tversky, 1979). That the frontocentral FRN did not</w:t>
      </w:r>
      <w:r>
        <w:t xml:space="preserve"> </w:t>
      </w:r>
      <w:r>
        <w:t xml:space="preserve">distinguish the groups — with Bayes factors giving moderate evidence for the null</w:t>
      </w:r>
      <w:r>
        <w:t xml:space="preserve"> </w:t>
      </w:r>
      <w:r>
        <w:t xml:space="preserve">at central sites — further localises the chronotype difference to the later,</w:t>
      </w:r>
      <w:r>
        <w:t xml:space="preserve"> </w:t>
      </w:r>
      <w:r>
        <w:t xml:space="preserve">salience-weighting stage of feedback processing rather than the earlier</w:t>
      </w:r>
      <w:r>
        <w:t xml:space="preserve"> </w:t>
      </w:r>
      <w:r>
        <w:t xml:space="preserve">valence/prediction-error stage indexed by the FRN (Holroyd &amp; Coles, 2002;</w:t>
      </w:r>
      <w:r>
        <w:t xml:space="preserve"> </w:t>
      </w:r>
      <w:r>
        <w:t xml:space="preserve">Sambrook &amp; Goslin, 2015).</w:t>
      </w:r>
    </w:p>
    <w:bookmarkEnd w:id="52"/>
    <w:bookmarkStart w:id="53" w:name="Xf23b55a0df1970d2b11056df24a2acce750cdf8"/>
    <w:p>
      <w:pPr>
        <w:pStyle w:val="Heading3"/>
      </w:pPr>
      <w:r>
        <w:t xml:space="preserve">4.3 Brain–behaviour convergence: the super-additive fusion</w:t>
      </w:r>
    </w:p>
    <w:p>
      <w:pPr>
        <w:pStyle w:val="FirstParagraph"/>
      </w:pPr>
      <w:r>
        <w:t xml:space="preserve">The most informative result is that behaviour and neural feedback signals combined</w:t>
      </w:r>
      <w:r>
        <w:t xml:space="preserve"> </w:t>
      </w:r>
      <w:r>
        <w:rPr>
          <w:b/>
          <w:bCs/>
        </w:rPr>
        <w:t xml:space="preserve">super-additively</w:t>
      </w:r>
      <w:r>
        <w:t xml:space="preserve">. Chronotype was decodable from risky-choice dynamics alone</w:t>
      </w:r>
      <w:r>
        <w:t xml:space="preserve"> </w:t>
      </w:r>
      <w:r>
        <w:t xml:space="preserve">(GRU AUC 0.713) and from the validated ERP contrasts alone (AUC 0.668), but fusing</w:t>
      </w:r>
      <w:r>
        <w:t xml:space="preserve"> </w:t>
      </w:r>
      <w:r>
        <w:t xml:space="preserve">them raised decoding to AUC 0.797 and roughly doubled the correlation with the</w:t>
      </w:r>
      <w:r>
        <w:t xml:space="preserve"> </w:t>
      </w:r>
      <w:r>
        <w:t xml:space="preserve">continuous MEQ (to −0.42). Had the two modalities indexed the same latent variable,</w:t>
      </w:r>
      <w:r>
        <w:t xml:space="preserve"> </w:t>
      </w:r>
      <w:r>
        <w:t xml:space="preserve">fusion would have been redundant; instead, how choices evolve over many trials and</w:t>
      </w:r>
      <w:r>
        <w:t xml:space="preserve"> </w:t>
      </w:r>
      <w:r>
        <w:t xml:space="preserve">the immediate neural evaluation of each outcome appear to capture partly independent,</w:t>
      </w:r>
      <w:r>
        <w:t xml:space="preserve"> </w:t>
      </w:r>
      <w:r>
        <w:t xml:space="preserve">complementary facets of the same chronotype difference. This cross-modal</w:t>
      </w:r>
      <w:r>
        <w:t xml:space="preserve"> </w:t>
      </w:r>
      <w:r>
        <w:t xml:space="preserve">convergence is precisely the evidence that strengthens an individual-differences</w:t>
      </w:r>
      <w:r>
        <w:t xml:space="preserve"> </w:t>
      </w:r>
      <w:r>
        <w:t xml:space="preserve">claim beyond a single-modality classifier, and it is consistent with the</w:t>
      </w:r>
      <w:r>
        <w:t xml:space="preserve"> </w:t>
      </w:r>
      <w:r>
        <w:t xml:space="preserve">interpretable group-comparison result: the multivariate classifier’s most</w:t>
      </w:r>
      <w:r>
        <w:t xml:space="preserve"> </w:t>
      </w:r>
      <w:r>
        <w:t xml:space="preserve">influential feature was the same posterior-P300 contrast that drove the univariate</w:t>
      </w:r>
      <w:r>
        <w:t xml:space="preserve"> </w:t>
      </w:r>
      <w:r>
        <w:t xml:space="preserve">effect. We are nonetheless deliberately conservative about deployment. The</w:t>
      </w:r>
      <w:r>
        <w:t xml:space="preserve"> </w:t>
      </w:r>
      <w:r>
        <w:t xml:space="preserve">single-model classifier was modest, did not survive correction across the family of</w:t>
      </w:r>
      <w:r>
        <w:t xml:space="preserve"> </w:t>
      </w:r>
      <w:r>
        <w:t xml:space="preserve">feature sets, and was sensitive to two participants (whose labels the MEQ</w:t>
      </w:r>
      <w:r>
        <w:t xml:space="preserve"> </w:t>
      </w:r>
      <w:r>
        <w:t xml:space="preserve">nonetheless confirms), and the fused estimate carries real uncertainty (bootstrap CI</w:t>
      </w:r>
      <w:r>
        <w:t xml:space="preserve"> </w:t>
      </w:r>
      <w:r>
        <w:t xml:space="preserve">[0.64, 0.92]). The models are best read as evidence of a convergent trait</w:t>
      </w:r>
      <w:r>
        <w:t xml:space="preserve"> </w:t>
      </w:r>
      <w:r>
        <w:t xml:space="preserve">signature, not as a deployable diagnostic — a limit intrinsic to the sample size</w:t>
      </w:r>
      <w:r>
        <w:t xml:space="preserve"> </w:t>
      </w:r>
      <w:r>
        <w:t xml:space="preserve">rather than the method.</w:t>
      </w:r>
    </w:p>
    <w:bookmarkEnd w:id="53"/>
    <w:bookmarkStart w:id="54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To move from prediction toward mechanism, an asymmetric reinforcement-learning model</w:t>
      </w:r>
      <w:r>
        <w:t xml:space="preserve"> </w:t>
      </w:r>
      <w:r>
        <w:t xml:space="preserve">(cf. Frank et al., 2007; Lefebvre et al., 2017) offered a candidate account —</w:t>
      </w:r>
      <w:r>
        <w:t xml:space="preserve"> </w:t>
      </w:r>
      <w:r>
        <w:t xml:space="preserve">greater gain-driven learning and lower choice consistency in evening types — that</w:t>
      </w:r>
      <w:r>
        <w:t xml:space="preserve"> </w:t>
      </w:r>
      <w:r>
        <w:t xml:space="preserve">would fit a profile of stronger approach/reward sensitivity and weaker</w:t>
      </w:r>
      <w:r>
        <w:t xml:space="preserve"> </w:t>
      </w:r>
      <w:r>
        <w:t xml:space="preserve">loss-avoidance, and a risk-sensitive learning process (Niv et al., 2012), plausibly</w:t>
      </w:r>
      <w:r>
        <w:t xml:space="preserve"> </w:t>
      </w:r>
      <w:r>
        <w:t xml:space="preserve">under circadian/dopaminergic modulation of reward function (McClung, 2007; Murray</w:t>
      </w:r>
      <w:r>
        <w:t xml:space="preserve"> </w:t>
      </w:r>
      <w:r>
        <w:t xml:space="preserve">et al., 2009; Webb et al., 2009). However, we treat this account as</w:t>
      </w:r>
      <w:r>
        <w:t xml:space="preserve"> </w:t>
      </w:r>
      <w:r>
        <w:rPr>
          <w:b/>
          <w:bCs/>
        </w:rPr>
        <w:t xml:space="preserve">exploratory</w:t>
      </w:r>
      <w:r>
        <w:rPr>
          <w:b/>
          <w:bCs/>
        </w:rPr>
        <w:t xml:space="preserve"> </w:t>
      </w:r>
      <w:r>
        <w:rPr>
          <w:b/>
          <w:bCs/>
        </w:rPr>
        <w:t xml:space="preserve">and weakly identified</w:t>
      </w:r>
      <w:r>
        <w:t xml:space="preserve">: the maximum-likelihood parameter contrasts did not survive</w:t>
      </w:r>
      <w:r>
        <w:t xml:space="preserve"> </w:t>
      </w:r>
      <w:r>
        <w:t xml:space="preserve">a hierarchical partial-pooling refit, and the per-participant estimates were poorly</w:t>
      </w:r>
      <w:r>
        <w:t xml:space="preserve"> </w:t>
      </w:r>
      <w:r>
        <w:t xml:space="preserve">identified in this hidden-sign paradigm (weak MLE-to-hierarchical agreement). The</w:t>
      </w:r>
      <w:r>
        <w:t xml:space="preserve"> </w:t>
      </w:r>
      <w:r>
        <w:t xml:space="preserve">mechanism is therefore a hypothesis for a trial-richer or hierarchically-designed</w:t>
      </w:r>
      <w:r>
        <w:t xml:space="preserve"> </w:t>
      </w:r>
      <w:r>
        <w:t xml:space="preserve">follow-up rather than a confirmed finding, and — importantly — the predictive and</w:t>
      </w:r>
      <w:r>
        <w:t xml:space="preserve"> </w:t>
      </w:r>
      <w:r>
        <w:t xml:space="preserve">neural results stand independently of it.</w:t>
      </w:r>
    </w:p>
    <w:bookmarkEnd w:id="54"/>
    <w:bookmarkStart w:id="55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pre-planned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 — a practically useful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within-subject, single-trial coupling between feedback P300</w:t>
      </w:r>
      <w:r>
        <w:t xml:space="preserve"> </w:t>
      </w:r>
      <w:r>
        <w:t xml:space="preserve">and the subsequent choice; it is a between-subject trait. The super-additive fusion</w:t>
      </w:r>
      <w:r>
        <w:t xml:space="preserve"> </w:t>
      </w:r>
      <w:r>
        <w:t xml:space="preserve">is therefore a convergence of two trait-level signatures — a stable difference in</w:t>
      </w:r>
      <w:r>
        <w:t xml:space="preserve"> </w:t>
      </w:r>
      <w:r>
        <w:t xml:space="preserve">feedback salience-weighting and a stable difference in choice dynamics — not a</w:t>
      </w:r>
      <w:r>
        <w:t xml:space="preserve"> </w:t>
      </w:r>
      <w:r>
        <w:t xml:space="preserve">reducible moment-to-moment neural control of behaviour. Reporting these negatives</w:t>
      </w:r>
      <w:r>
        <w:t xml:space="preserve"> </w:t>
      </w:r>
      <w:r>
        <w:t xml:space="preserve">transparently both bounds the mechanistic claim and pre-empts the concern that the</w:t>
      </w:r>
      <w:r>
        <w:t xml:space="preserve"> </w:t>
      </w:r>
      <w:r>
        <w:t xml:space="preserve">fusion merely re-describes a single between-subject correlation.</w:t>
      </w:r>
    </w:p>
    <w:bookmarkEnd w:id="55"/>
    <w:bookmarkStart w:id="56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we analysed a binary morning/evening label, the same features predicted the</w:t>
      </w:r>
      <w:r>
        <w:t xml:space="preserve"> </w:t>
      </w:r>
      <w:r>
        <w:rPr>
          <w:b/>
          <w:bCs/>
        </w:rPr>
        <w:t xml:space="preserve">continuous MEQ</w:t>
      </w:r>
      <w:r>
        <w:t xml:space="preserve"> </w:t>
      </w:r>
      <w:r>
        <w:t xml:space="preserve">score (fused r = 0.34), and 12 of 39 participants fell in the MEQ</w:t>
      </w:r>
      <w:r>
        <w:t xml:space="preserve"> </w:t>
      </w:r>
      <w:r>
        <w:t xml:space="preserve">intermediate band where the dichotomy is inherently soft. The dimensional result</w:t>
      </w:r>
      <w:r>
        <w:t xml:space="preserve"> </w:t>
      </w:r>
      <w:r>
        <w:t xml:space="preserve">indicates the effect is not an artefact of dichotomization and supports treating</w:t>
      </w:r>
      <w:r>
        <w:t xml:space="preserve"> </w:t>
      </w:r>
      <w:r>
        <w:t xml:space="preserve">morningness–eveningness as a graded individual difference in the reward-based</w:t>
      </w:r>
      <w:r>
        <w:t xml:space="preserve"> </w:t>
      </w:r>
      <w:r>
        <w:t xml:space="preserve">evaluation of decision feedback. Future work should model the continuous score as</w:t>
      </w:r>
      <w:r>
        <w:t xml:space="preserve"> </w:t>
      </w:r>
      <w:r>
        <w:t xml:space="preserve">the primary outcome.</w:t>
      </w:r>
    </w:p>
    <w:bookmarkEnd w:id="56"/>
    <w:bookmarkStart w:id="57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Using converging ERP, computational, and fusion analyses under uniformly</w:t>
      </w:r>
      <w:r>
        <w:t xml:space="preserve"> </w:t>
      </w:r>
      <w:r>
        <w:t xml:space="preserve">leakage-safe evaluation, we provide preliminary single-cohort evidence that</w:t>
      </w:r>
      <w:r>
        <w:t xml:space="preserve"> </w:t>
      </w:r>
      <w:r>
        <w:t xml:space="preserve">chronotype shapes the neural evaluation of decision feedback — concentrated in the</w:t>
      </w:r>
      <w:r>
        <w:t xml:space="preserve"> </w:t>
      </w:r>
      <w:r>
        <w:t xml:space="preserve">posterior P300 — and that this neural signature converges super-additively with the</w:t>
      </w:r>
      <w:r>
        <w:t xml:space="preserve"> </w:t>
      </w:r>
      <w:r>
        <w:t xml:space="preserve">behavioural dynamics of risky choice. The findings are internally validated and</w:t>
      </w:r>
      <w:r>
        <w:t xml:space="preserve"> </w:t>
      </w:r>
      <w:r>
        <w:t xml:space="preserve">await independent replication, but the cross-modal, multi-method convergence offers</w:t>
      </w:r>
      <w:r>
        <w:t xml:space="preserve"> </w:t>
      </w:r>
      <w:r>
        <w:t xml:space="preserve">a rigorous template for characterizing stable traits from modest neural and</w:t>
      </w:r>
      <w:r>
        <w:t xml:space="preserve"> </w:t>
      </w:r>
      <w:r>
        <w:t xml:space="preserve">behavioural samples.</w:t>
      </w:r>
    </w:p>
    <w:bookmarkEnd w:id="57"/>
    <w:bookmarkEnd w:id="58"/>
    <w:bookmarkStart w:id="59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validated against the continuous MEQ score (all 26</w:t>
      </w:r>
      <w:r>
        <w:t xml:space="preserve"> </w:t>
      </w:r>
      <w:r>
        <w:t xml:space="preserve">decisively-scored participants consistent; both raw-behaviour conflict cases</w:t>
      </w:r>
      <w:r>
        <w:t xml:space="preserve"> </w:t>
      </w:r>
      <w:r>
        <w:t xml:space="preserve">MEQ-confirmed), but 12 of 39 participants fall in the MEQ intermediate band</w:t>
      </w:r>
      <w:r>
        <w:t xml:space="preserve"> </w:t>
      </w:r>
      <w:r>
        <w:t xml:space="preserve">where the dichotomy is inherently soft; modelling the continuous score is left</w:t>
      </w:r>
      <w:r>
        <w:t xml:space="preserve"> </w:t>
      </w:r>
      <w:r>
        <w:t xml:space="preserve">to future work.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(GRU decoding, fusion, continuous-MEQ) are</w:t>
      </w:r>
      <w:r>
        <w:t xml:space="preserve"> </w:t>
      </w:r>
      <w:r>
        <w:rPr>
          <w:b/>
          <w:bCs/>
        </w:rPr>
        <w:t xml:space="preserve">internally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only</w:t>
      </w:r>
      <w:r>
        <w:t xml:space="preserve"> </w:t>
      </w:r>
      <w:r>
        <w:t xml:space="preserve">on one cohort of 39; robustness was established within-sample</w:t>
      </w:r>
      <w:r>
        <w:t xml:space="preserve"> </w:t>
      </w:r>
      <w:r>
        <w:t xml:space="preserve">(bootstrap, exclusions, leave-one-subject-out) but not against a new dataset.</w:t>
      </w:r>
      <w:r>
        <w:t xml:space="preserve"> </w:t>
      </w:r>
      <w:r>
        <w:t xml:space="preserve">Removing the most influential participant lowered the fused AUC from 0.80 to</w:t>
      </w:r>
      <w:r>
        <w:t xml:space="preserve"> </w:t>
      </w:r>
      <w:r>
        <w:t xml:space="preserve">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trials/participant with hidden random signs): the MLE contrasts did not</w:t>
      </w:r>
      <w:r>
        <w:t xml:space="preserve"> </w:t>
      </w:r>
      <w:r>
        <w:t xml:space="preserve">survive a hierarchical partial-pooling refit and MLE-vs-hierarchical subject</w:t>
      </w:r>
      <w:r>
        <w:t xml:space="preserve"> </w:t>
      </w:r>
      <w:r>
        <w:t xml:space="preserve">estimates were weakly correlated. The RL account is therefore exploratory and</w:t>
      </w:r>
      <w:r>
        <w:t xml:space="preserve"> </w:t>
      </w:r>
      <w:r>
        <w:t xml:space="preserve">tentative, not a confirmed mechanism; the predictive and neural findings do not</w:t>
      </w:r>
      <w:r>
        <w:t xml:space="preserve"> </w:t>
      </w:r>
      <w:r>
        <w:t xml:space="preserve">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bookmarkEnd w:id="59"/>
    <w:bookmarkStart w:id="60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Analysis code and a de-identified participant-level dataset will be made openly available in a public repository upon publication; raw EEG data are available from the corresponding author on reasonable request.</w:t>
      </w:r>
    </w:p>
    <w:bookmarkEnd w:id="60"/>
    <w:bookmarkStart w:id="6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Chronotype in the Neural and Behavioural Evaluation of Decision Feedback: Converging ERP, Computational, and Fusion Evidence</dc:title>
  <dc:creator/>
  <cp:keywords/>
  <dcterms:created xsi:type="dcterms:W3CDTF">2026-07-08T20:09:53Z</dcterms:created>
  <dcterms:modified xsi:type="dcterms:W3CDTF">2026-07-08T20:09:53Z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