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  <Override PartName="/word/media/rId39.png" ContentType="image/png"/>
  <Override PartName="/word/media/rId4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Chronotype Differences in Feedback-Related P300 and Risky-Choice Dynamics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and behavioural and FRN effects in the present cohort have been reported previously.</w:t>
      </w:r>
      <w:r>
        <w:t xml:space="preserve"> </w:t>
      </w:r>
      <w:r>
        <w:t xml:space="preserve">Here we analysed the same 39-participant cohort (19 Evening, 20 Morning) as a</w:t>
      </w:r>
      <w:r>
        <w:t xml:space="preserve"> </w:t>
      </w:r>
      <w:r>
        <w:t xml:space="preserve">computational and multivariate follow-up focused on posterior P300 contrasts,</w:t>
      </w:r>
      <w:r>
        <w:t xml:space="preserve"> </w:t>
      </w:r>
      <w:r>
        <w:t xml:space="preserve">behavioural sequence models, and participant-generalizing validation. The clearest</w:t>
      </w:r>
      <w:r>
        <w:t xml:space="preserve"> </w:t>
      </w:r>
      <w:r>
        <w:t xml:space="preserve">neural difference was in the posterior P300. The parietal loss-minus-gain contrast</w:t>
      </w:r>
      <w:r>
        <w:t xml:space="preserve"> </w:t>
      </w:r>
      <w:r>
        <w:t xml:space="preserve">separated Morning and Evening groups with large effects (Pz Cohen’s d = -1.04, FDR p</w:t>
      </w:r>
      <w:r>
        <w:t xml:space="preserve"> </w:t>
      </w:r>
      <w:r>
        <w:t xml:space="preserve">= 0.034; POz d = -0.92, FDR p = 0.045), remained stable across participant-exclusion</w:t>
      </w:r>
      <w:r>
        <w:t xml:space="preserve"> </w:t>
      </w:r>
      <w:r>
        <w:t xml:space="preserve">analyses (d approximately -1.0, p &lt; 0.011 throughout), and showed the same direction</w:t>
      </w:r>
      <w:r>
        <w:t xml:space="preserve"> </w:t>
      </w:r>
      <w:r>
        <w:t xml:space="preserve">of association with continuous MEQ score. Behaviour carried convergent information:</w:t>
      </w:r>
      <w:r>
        <w:t xml:space="preserve"> </w:t>
      </w:r>
      <w:r>
        <w:t xml:space="preserve">out-of-fold scores from a causal GRU model of risky-choice dynamics distinguished</w:t>
      </w:r>
      <w:r>
        <w:t xml:space="preserve"> </w:t>
      </w:r>
      <w:r>
        <w:t xml:space="preserve">Morning and Evening participants without EEG (ROC AUC 0.713, permutation p = 0.027).</w:t>
      </w:r>
      <w:r>
        <w:t xml:space="preserve"> </w:t>
      </w:r>
      <w:r>
        <w:t xml:space="preserve">Out-of-fold scores that combined the behavioural embedding with the validated ERP</w:t>
      </w:r>
      <w:r>
        <w:t xml:space="preserve"> </w:t>
      </w:r>
      <w:r>
        <w:t xml:space="preserve">contrasts separated the groups more strongly (AUC 0.797, p = 0.004; bootstrap 95% CI</w:t>
      </w:r>
      <w:r>
        <w:t xml:space="preserve"> </w:t>
      </w:r>
      <w:r>
        <w:t xml:space="preserve">[0.64, 0.92]) and tracked the continuous MEQ score (r = 0.34, p = 0.027), indicating</w:t>
      </w:r>
      <w:r>
        <w:t xml:space="preserve"> </w:t>
      </w:r>
      <w:r>
        <w:t xml:space="preserve">that behavioural dynamics and feedback ERPs carry partly independent, rather than</w:t>
      </w:r>
      <w:r>
        <w:t xml:space="preserve"> </w:t>
      </w:r>
      <w:r>
        <w:t xml:space="preserve">diagnostic, information about chronotype. That the same measures related to</w:t>
      </w:r>
      <w:r>
        <w:t xml:space="preserve"> </w:t>
      </w:r>
      <w:r>
        <w:t xml:space="preserve">continuous MEQ score is consistent with a graded, dimensional trait rather than a</w:t>
      </w:r>
      <w:r>
        <w:t xml:space="preserve"> </w:t>
      </w:r>
      <w:r>
        <w:t xml:space="preserve">strict dichotomy. An asymmetric</w:t>
      </w:r>
      <w:r>
        <w:t xml:space="preserve"> </w:t>
      </w:r>
      <w:r>
        <w:t xml:space="preserve">reinforcement-learning analysis suggested possible differences in outcome-specific</w:t>
      </w:r>
      <w:r>
        <w:t xml:space="preserve"> </w:t>
      </w:r>
      <w:r>
        <w:t xml:space="preserve">learning and choice consistency, but these estimates were weak and did not survive</w:t>
      </w:r>
      <w:r>
        <w:t xml:space="preserve"> </w:t>
      </w:r>
      <w:r>
        <w:t xml:space="preserve">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</w:t>
      </w:r>
    </w:p>
    <w:p>
      <w:pPr>
        <w:pStyle w:val="BodyText"/>
      </w:pPr>
      <w:r>
        <w:t xml:space="preserve">This cohort has already been reported in a univariate ERP study by Hajiaboo et al.</w:t>
      </w:r>
      <w:r>
        <w:t xml:space="preserve"> </w:t>
      </w:r>
      <w:r>
        <w:t xml:space="preserve">(2025), which established greater behavioural risk-taking in Evening than Morning</w:t>
      </w:r>
      <w:r>
        <w:t xml:space="preserve"> </w:t>
      </w:r>
      <w:r>
        <w:t xml:space="preserve">participants, faster responding and post-error effects, and FRN-amplitude</w:t>
      </w:r>
      <w:r>
        <w:t xml:space="preserve"> </w:t>
      </w:r>
      <w:r>
        <w:t xml:space="preserve">associations with chronotype. The present manuscript is therefore positioned as a</w:t>
      </w:r>
      <w:r>
        <w:t xml:space="preserve"> </w:t>
      </w:r>
      <w:r>
        <w:t xml:space="preserve">computational and multivariate follow-up to that publication, not as an independent</w:t>
      </w:r>
      <w:r>
        <w:t xml:space="preserve"> </w:t>
      </w:r>
      <w:r>
        <w:t xml:space="preserve">first report of the behavioural or FRN findings.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the same cohort performing the same</w:t>
      </w:r>
      <w:r>
        <w:t xml:space="preserve"> </w:t>
      </w:r>
      <w:r>
        <w:t xml:space="preserve">feedback-based risky-choice task. The novel focus was a posterior P300</w:t>
      </w:r>
      <w:r>
        <w:t xml:space="preserve"> </w:t>
      </w:r>
      <w:r>
        <w:t xml:space="preserve">loss-minus-gain contrast and a computational strand absent from the prior report:</w:t>
      </w:r>
      <w:r>
        <w:t xml:space="preserve"> </w:t>
      </w:r>
      <w:r>
        <w:t xml:space="preserve">GRU behavioural decoding, brain-behaviour fusion, continuous-MEQ prediction,</w:t>
      </w:r>
      <w:r>
        <w:t xml:space="preserve"> </w:t>
      </w:r>
      <w:r>
        <w:t xml:space="preserve">reinforcement-learning analysis, EEGNet, and leakage-safe/permutation-clean machine</w:t>
      </w:r>
      <w:r>
        <w:t xml:space="preserve"> </w:t>
      </w:r>
      <w:r>
        <w:t xml:space="preserve">learning. We tested whether Morning and Evening chronotypes differed in the posterior</w:t>
      </w:r>
      <w:r>
        <w:t xml:space="preserve"> </w:t>
      </w:r>
      <w:r>
        <w:t xml:space="preserve">P300 response to loss versus gain feedback. We then asked whether chronotype could be</w:t>
      </w:r>
      <w:r>
        <w:t xml:space="preserve"> </w:t>
      </w:r>
      <w:r>
        <w:t xml:space="preserve">decoded from the dynamics of risky choice using a causal recurrent model, and whether</w:t>
      </w:r>
      <w:r>
        <w:t xml:space="preserve"> </w:t>
      </w:r>
      <w:r>
        <w:t xml:space="preserve">combining behavioural dynamics with validated ERP features improved prediction</w:t>
      </w:r>
      <w:r>
        <w:t xml:space="preserve"> </w:t>
      </w:r>
      <w:r>
        <w:t xml:space="preserve">beyond either source alone. Additional analyses tested whether an interpretable</w:t>
      </w:r>
      <w:r>
        <w:t xml:space="preserve"> </w:t>
      </w:r>
      <w:r>
        <w:t xml:space="preserve">reinforcement-learning model could explain the behavioural difference, whether</w:t>
      </w:r>
      <w:r>
        <w:t xml:space="preserve"> </w:t>
      </w:r>
      <w:r>
        <w:t xml:space="preserve">EEGNet could recover chronotype from single-trial EEG, and whether trial-to-trial</w:t>
      </w:r>
      <w:r>
        <w:t xml:space="preserve"> </w:t>
      </w:r>
      <w:r>
        <w:t xml:space="preserve">P300 variation predicted subsequent risky choice differently by chronotype.</w: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Participants were recruited at the University of Tabriz, Iran, for the previously</w:t>
      </w:r>
      <w:r>
        <w:t xml:space="preserve"> </w:t>
      </w:r>
      <w:r>
        <w:t xml:space="preserve">published ERP study of chronotype and risky decision-making (Hajiaboo et al., 2025)</w:t>
      </w:r>
      <w:r>
        <w:t xml:space="preserve"> </w:t>
      </w:r>
      <w:r>
        <w:t xml:space="preserve">[confirm: same 39-participant subset]. Thirty-nine right-handed participants with</w:t>
      </w:r>
      <w:r>
        <w:t xml:space="preserve"> </w:t>
      </w:r>
      <w:r>
        <w:t xml:space="preserve">normal or corrected-to-normal vision were analysed (19 Evening, 20 Morning</w:t>
      </w:r>
      <w:r>
        <w:t xml:space="preserve"> </w:t>
      </w:r>
      <w:r>
        <w:t xml:space="preserve">chronotype), after exclusion of five participants from the EEG experiment sample</w:t>
      </w:r>
      <w:r>
        <w:t xml:space="preserve"> </w:t>
      </w:r>
      <w:r>
        <w:t xml:space="preserve">(Hajiaboo et al., 2025) [confirm: same 39-participant subset]. Participants were</w:t>
      </w:r>
      <w:r>
        <w:t xml:space="preserve"> </w:t>
      </w:r>
      <w:r>
        <w:t xml:space="preserve">aged 18-31 years. The published report implies a retained sex/gender split of 19</w:t>
      </w:r>
      <w:r>
        <w:t xml:space="preserve"> </w:t>
      </w:r>
      <w:r>
        <w:t xml:space="preserve">female and 20 male participants overall (Morning: 11 female, 9 male; Evening: 8</w:t>
      </w:r>
      <w:r>
        <w:t xml:space="preserve"> </w:t>
      </w:r>
      <w:r>
        <w:t xml:space="preserve">female, 11 male) after the reported artifact exclusions, but this should be confirmed</w:t>
      </w:r>
      <w:r>
        <w:t xml:space="preserve"> </w:t>
      </w:r>
      <w:r>
        <w:t xml:space="preserve">against the exact 39-participant subset used here [confirm: sex/gender split and same</w:t>
      </w:r>
      <w:r>
        <w:t xml:space="preserve"> </w:t>
      </w:r>
      <w:r>
        <w:t xml:space="preserve">39-participant subset]. The study was approved by the University of Tabriz ethics</w:t>
      </w:r>
      <w:r>
        <w:t xml:space="preserve"> </w:t>
      </w:r>
      <w:r>
        <w:t xml:space="preserve">committee of Medical Sciences (IR.TABRIZU.REC.1403.130), and all participants</w:t>
      </w:r>
      <w:r>
        <w:t xml:space="preserve"> </w:t>
      </w:r>
      <w:r>
        <w:t xml:space="preserve">provided written informed consent (Hajiaboo et al., 2025).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On each trial two boxes were shown, each displaying an absolute magnitude; the sign</w:t>
      </w:r>
      <w:r>
        <w:t xml:space="preserve"> </w:t>
      </w:r>
      <w:r>
        <w:t xml:space="preserve">(gain or loss) of each box was hidden at the moment of choice and revealed only as</w:t>
      </w:r>
      <w:r>
        <w:t xml:space="preserve"> </w:t>
      </w:r>
      <w:r>
        <w:t xml:space="preserve">feedback. On free trials the two boxes differed in magnitude, so choosing the</w:t>
      </w:r>
      <w:r>
        <w:t xml:space="preserve"> </w:t>
      </w:r>
      <w:r>
        <w:t xml:space="preserve">higher-magnitude box constituted the risky choice (a larger potential gain but also</w:t>
      </w:r>
      <w:r>
        <w:t xml:space="preserve"> </w:t>
      </w:r>
      <w:r>
        <w:t xml:space="preserve">a larger potential loss), whereas choosing the lower-magnitude box was the safe</w:t>
      </w:r>
      <w:r>
        <w:t xml:space="preserve"> </w:t>
      </w:r>
      <w:r>
        <w:t xml:space="preserve">choice. Feedback was then coded by the valence of the chosen box (gain if its</w:t>
      </w:r>
      <w:r>
        <w:t xml:space="preserve"> </w:t>
      </w:r>
      <w:r>
        <w:t xml:space="preserve">revealed sign was positive, loss if negative) and by correctness (whether the box</w:t>
      </w:r>
      <w:r>
        <w:t xml:space="preserve"> </w:t>
      </w:r>
      <w:r>
        <w:t xml:space="preserve">with the higher revealed signed value had been chosen), producing four feedback</w:t>
      </w:r>
      <w:r>
        <w:t xml:space="preserve"> </w:t>
      </w:r>
      <w:r>
        <w:t xml:space="preserve">conditions: Gain-Correct, Gain-Error, Loss-Correct, and Loss-Error. Valence</w:t>
      </w:r>
      <w:r>
        <w:t xml:space="preserve"> </w:t>
      </w:r>
      <w:r>
        <w:t xml:space="preserve">(gain vs loss) therefore indexes the affective outcome of the choice, and</w:t>
      </w:r>
      <w:r>
        <w:t xml:space="preserve"> </w:t>
      </w:r>
      <w:r>
        <w:t xml:space="preserve">correctness indexes whether that choice was, in hindsight, the better of the two</w:t>
      </w:r>
      <w:r>
        <w:t xml:space="preserve"> </w:t>
      </w:r>
      <w:r>
        <w:t xml:space="preserve">options. Each trial began with a 500 ms fixation, followed by two options displaying</w:t>
      </w:r>
      <w:r>
        <w:t xml:space="preserve"> </w:t>
      </w:r>
      <w:r>
        <w:t xml:space="preserve">magnitudes of 5 or 25. Participants responded with the F or J key to choose the left</w:t>
      </w:r>
      <w:r>
        <w:t xml:space="preserve"> </w:t>
      </w:r>
      <w:r>
        <w:t xml:space="preserve">or right option. One second after the response, gain/loss signs were revealed and the</w:t>
      </w:r>
      <w:r>
        <w:t xml:space="preserve"> </w:t>
      </w:r>
      <w:r>
        <w:t xml:space="preserve">chosen option was outlined in red or green for 1500 ms, followed by a 1000 ms</w:t>
      </w:r>
      <w:r>
        <w:t xml:space="preserve"> </w:t>
      </w:r>
      <w:r>
        <w:t xml:space="preserve">inter-trial interval. The task comprised 16 blocks of 24 trials, for 384 trials in</w:t>
      </w:r>
      <w:r>
        <w:t xml:space="preserve"> </w:t>
      </w:r>
      <w:r>
        <w:t xml:space="preserve">total (Hajiaboo et al., 2025) [confirm: same 39-participant subset]. Forced [5/5]</w:t>
      </w:r>
      <w:r>
        <w:t xml:space="preserve"> </w:t>
      </w:r>
      <w:r>
        <w:t xml:space="preserve">and [25/25] trials were excluded from choice analyses, yielding approximately 289</w:t>
      </w:r>
      <w:r>
        <w:t xml:space="preserve"> </w:t>
      </w:r>
      <w:r>
        <w:t xml:space="preserve">free-choice trials per participant (Hajiaboo et al., 2025) [confirm: same</w:t>
      </w:r>
      <w:r>
        <w:t xml:space="preserve"> </w:t>
      </w:r>
      <w:r>
        <w:t xml:space="preserve">39-participant subset].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 Sessions were run between 12:00 and 16:00. EEG was acquired with a</w:t>
      </w:r>
      <w:r>
        <w:t xml:space="preserve"> </w:t>
      </w:r>
      <w:r>
        <w:t xml:space="preserve">64-channel waveguard cap (ANT Neuro, Enschede, Netherlands) configured according to</w:t>
      </w:r>
      <w:r>
        <w:t xml:space="preserve"> </w:t>
      </w:r>
      <w:r>
        <w:t xml:space="preserve">the international 10-10 system, with ground at AFz, online band-pass filtering at</w:t>
      </w:r>
      <w:r>
        <w:t xml:space="preserve"> </w:t>
      </w:r>
      <w:r>
        <w:t xml:space="preserve">0.3-100 Hz, 1 kHz sampling, and electrode impedances kept below 10 kΩ (Hajiaboo et</w:t>
      </w:r>
      <w:r>
        <w:t xml:space="preserve"> </w:t>
      </w:r>
      <w:r>
        <w:t xml:space="preserve">al., 2025) [confirm: same 39-participant subset]. Preprocessing was conducted in</w:t>
      </w:r>
      <w:r>
        <w:t xml:space="preserve"> </w:t>
      </w:r>
      <w:r>
        <w:t xml:space="preserve">MATLAB R2019b using EEGLAB v2024.0 and ERPLAB v12.00. Data were filtered offline at</w:t>
      </w:r>
      <w:r>
        <w:t xml:space="preserve"> </w:t>
      </w:r>
      <w:r>
        <w:t xml:space="preserve">0.1-30 Hz, segmented from 200 ms before to 800 ms after feedback with a 200 ms</w:t>
      </w:r>
      <w:r>
        <w:t xml:space="preserve"> </w:t>
      </w:r>
      <w:r>
        <w:t xml:space="preserve">pre-feedback baseline, and cleaned for movement and eye-related artifacts using ICA</w:t>
      </w:r>
      <w:r>
        <w:t xml:space="preserve"> </w:t>
      </w:r>
      <w:r>
        <w:t xml:space="preserve">(Hajiaboo et al., 2025) [confirm: same 39-participant subset]. The present analyses</w:t>
      </w:r>
      <w:r>
        <w:t xml:space="preserve"> </w:t>
      </w:r>
      <w:r>
        <w:t xml:space="preserve">used the exported single-trial features and retained the analysis windows specified</w:t>
      </w:r>
      <w:r>
        <w:t xml:space="preserve"> </w:t>
      </w:r>
      <w:r>
        <w:t xml:space="preserve">for this manuscript: FRN, 360-430 ms; P300, 450-550 ms.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Chronotype was measured with the Morningness-Eveningness Questionnaire (MEQ; Horne &amp;</w:t>
      </w:r>
      <w:r>
        <w:t xml:space="preserve"> </w:t>
      </w:r>
      <w:r>
        <w:t xml:space="preserve">Ostberg, 1976) and the Munich ChronoType Questionnaire (MCTQ; Hajiaboo et al., 2025;</w:t>
      </w:r>
      <w:r>
        <w:t xml:space="preserve"> </w:t>
      </w:r>
      <w:r>
        <w:t xml:space="preserve">Roenneberg et al., 2003). Following the published classification rule, MEQ scores &lt;=</w:t>
      </w:r>
      <w:r>
        <w:t xml:space="preserve"> </w:t>
      </w:r>
      <w:r>
        <w:t xml:space="preserve">41 were classified as Evening, MEQ scores &gt;= 59 as Morning, and scores from 42 to 58</w:t>
      </w:r>
      <w:r>
        <w:t xml:space="preserve"> </w:t>
      </w:r>
      <w:r>
        <w:t xml:space="preserve">as intermediate (Hajiaboo et al., 2025) [confirm: same 39-participant subset].</w:t>
      </w:r>
      <w:r>
        <w:t xml:space="preserve"> </w:t>
      </w: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 [confirm: same</w:t>
      </w:r>
      <w:r>
        <w:t xml:space="preserve"> </w:t>
      </w:r>
      <w:r>
        <w:t xml:space="preserve">39-participant subset]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Start w:id="22" w:name="analysis-plan-and-inference-hierarchy"/>
    <w:p>
      <w:pPr>
        <w:pStyle w:val="Heading3"/>
      </w:pPr>
      <w:r>
        <w:t xml:space="preserve">2.12 Analysis plan and inference hierarchy</w:t>
      </w:r>
    </w:p>
    <w:p>
      <w:pPr>
        <w:pStyle w:val="FirstParagraph"/>
      </w:pPr>
      <w:r>
        <w:t xml:space="preserve">To keep interpretation disciplined given the sample size, analyses are organized</w:t>
      </w:r>
      <w:r>
        <w:t xml:space="preserve"> </w:t>
      </w:r>
      <w:r>
        <w:t xml:space="preserve">into a fixed hierarchy.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analysis is the theory-driven group</w:t>
      </w:r>
      <w:r>
        <w:t xml:space="preserve"> </w:t>
      </w:r>
      <w:r>
        <w:t xml:space="preserve">contrast in the posterior P300 loss-minus-gain response (Pz and POz), FDR-corrected</w:t>
      </w:r>
      <w:r>
        <w:t xml:space="preserve"> </w:t>
      </w:r>
      <w:r>
        <w:t xml:space="preserve">across the theory-driven feature family.</w:t>
      </w:r>
      <w:r>
        <w:t xml:space="preserve"> </w:t>
      </w:r>
      <w:r>
        <w:rPr>
          <w:b/>
          <w:bCs/>
        </w:rPr>
        <w:t xml:space="preserve">Confirmatory robustness</w:t>
      </w:r>
      <w:r>
        <w:t xml:space="preserve"> </w:t>
      </w:r>
      <w:r>
        <w:t xml:space="preserve">analyses test</w:t>
      </w:r>
      <w:r>
        <w:t xml:space="preserve"> </w:t>
      </w:r>
      <w:r>
        <w:t xml:space="preserve">the stability of that effect: participant-exclusion sensitivity analyses, the</w:t>
      </w:r>
      <w:r>
        <w:t xml:space="preserve"> </w:t>
      </w:r>
      <w:r>
        <w:t xml:space="preserve">window specification curve, and the direction of the continuous-MEQ association.</w:t>
      </w:r>
      <w:r>
        <w:t xml:space="preserve"> </w:t>
      </w:r>
      <w:r>
        <w:rPr>
          <w:b/>
          <w:bCs/>
        </w:rPr>
        <w:t xml:space="preserve">Secondary, convergent</w:t>
      </w:r>
      <w:r>
        <w:t xml:space="preserve"> </w:t>
      </w:r>
      <w:r>
        <w:t xml:space="preserve">analyses ask whether behaviour carries related chronotype</w:t>
      </w:r>
      <w:r>
        <w:t xml:space="preserve"> </w:t>
      </w:r>
      <w:r>
        <w:t xml:space="preserve">information under participant-generalizing validation: the compact 12-feature</w:t>
      </w:r>
      <w:r>
        <w:t xml:space="preserve"> </w:t>
      </w:r>
      <w:r>
        <w:t xml:space="preserve">classifier, the GRU behavioural embedding, and its combination with the validated</w:t>
      </w:r>
      <w:r>
        <w:t xml:space="preserve"> </w:t>
      </w:r>
      <w:r>
        <w:t xml:space="preserve">ERP contrasts.</w:t>
      </w:r>
      <w:r>
        <w:t xml:space="preserve"> </w:t>
      </w:r>
      <w:r>
        <w:rPr>
          <w:b/>
          <w:bCs/>
        </w:rPr>
        <w:t xml:space="preserve">Exploratory</w:t>
      </w:r>
      <w:r>
        <w:t xml:space="preserve"> </w:t>
      </w:r>
      <w:r>
        <w:t xml:space="preserve">analyses, interpreted cautiously and not used to</w:t>
      </w:r>
      <w:r>
        <w:t xml:space="preserve"> </w:t>
      </w:r>
      <w:r>
        <w:t xml:space="preserve">support the main claims, comprise the higher-dimensional models, the</w:t>
      </w:r>
      <w:r>
        <w:t xml:space="preserve"> </w:t>
      </w:r>
      <w:r>
        <w:t xml:space="preserve">reinforcement-learning parameters, the learned EEGNet embeddings, and the</w:t>
      </w:r>
      <w:r>
        <w:t xml:space="preserve"> </w:t>
      </w:r>
      <w:r>
        <w:t xml:space="preserve">single-trial P300-to-choice coupling. Predictive results are reported as evidence</w:t>
      </w:r>
      <w:r>
        <w:t xml:space="preserve"> </w:t>
      </w:r>
      <w:r>
        <w:t xml:space="preserve">that behavioural and neural measures carry convergent chronotype information, not as</w:t>
      </w:r>
      <w:r>
        <w:t xml:space="preserve"> </w:t>
      </w:r>
      <w:r>
        <w:t xml:space="preserve">a deployable classifier.</w:t>
      </w:r>
    </w:p>
    <w:bookmarkEnd w:id="22"/>
    <w:bookmarkEnd w:id="23"/>
    <w:bookmarkStart w:id="51" w:name="results"/>
    <w:p>
      <w:pPr>
        <w:pStyle w:val="Heading2"/>
      </w:pPr>
      <w:r>
        <w:t xml:space="preserve">3. Results</w:t>
      </w:r>
    </w:p>
    <w:bookmarkStart w:id="27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Feedback-locked posterior P300 (loss minus gain) by chronotype at Pz and POz, with the window specification curve confirming robustness." title="" id="25" name="Picture"/>
            <a:graphic>
              <a:graphicData uri="http://schemas.openxmlformats.org/drawingml/2006/picture">
                <pic:pic>
                  <pic:nvPicPr>
                    <pic:cNvPr descr="docs/figures/fig_main_1_p300_spe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Feedback-locked posterior P300 (loss minus gain) by chronotype at Pz and POz, with the window specification curve confirming robustness.</w:t>
      </w:r>
    </w:p>
    <w:p>
      <w:pPr>
        <w:pStyle w:val="BodyText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7"/>
    <w:bookmarkStart w:id="28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Consistent with the previously reported behavioural difference in this cohort</w:t>
      </w:r>
      <w:r>
        <w:t xml:space="preserve"> </w:t>
      </w:r>
      <w:r>
        <w:t xml:space="preserve">(Hajiaboo et al., 2025), Evening participants tended to choose the risky option more</w:t>
      </w:r>
      <w:r>
        <w:t xml:space="preserve"> </w:t>
      </w:r>
      <w:r>
        <w:t xml:space="preserve">often than Morning participants. In the present feature set, the largest uncorrected</w:t>
      </w:r>
      <w:r>
        <w:t xml:space="preserve"> </w:t>
      </w:r>
      <w:r>
        <w:t xml:space="preserve">effects were for loss-error risky rate (d = 0.81), free risky rate (d = 0.80), and</w:t>
      </w:r>
      <w:r>
        <w:t xml:space="preserve"> </w:t>
      </w:r>
      <w:r>
        <w:t xml:space="preserve">gain-correct risky rate (d = 0.77), with all Welch p-values below 0.025. These</w:t>
      </w:r>
      <w:r>
        <w:t xml:space="preserve"> </w:t>
      </w:r>
      <w:r>
        <w:t xml:space="preserve">effects did not survive FDR correction, and their confidence intervals remained</w:t>
      </w:r>
      <w:r>
        <w:t xml:space="preserve"> </w:t>
      </w:r>
      <w:r>
        <w:t xml:space="preserve">compatible with small effects. The behavioural group differences are therefore</w:t>
      </w:r>
      <w:r>
        <w:t xml:space="preserve"> </w:t>
      </w:r>
      <w:r>
        <w:t xml:space="preserve">supportive prior context rather than a primary novel finding of this manuscript.</w:t>
      </w:r>
    </w:p>
    <w:p>
      <w:pPr>
        <w:pStyle w:val="BodyText"/>
      </w:pPr>
      <w:r>
        <w:t xml:space="preserve">Frontocentral FRN difference contrasts did not show reliable group differences in</w:t>
      </w:r>
      <w:r>
        <w:t xml:space="preserve"> </w:t>
      </w:r>
      <w:r>
        <w:t xml:space="preserve">the present feature set. For example, the Fz FRN error-minus-correct contrast had d =</w:t>
      </w:r>
      <w:r>
        <w:t xml:space="preserve"> </w:t>
      </w:r>
      <w:r>
        <w:t xml:space="preserve">-0.60 and FDR p = 0.14. Bayes factors were most consistent with a null group</w:t>
      </w:r>
      <w:r>
        <w:t xml:space="preserve"> </w:t>
      </w:r>
      <w:r>
        <w:t xml:space="preserve">difference at FCz (BF01 = 2.46) and Cz (BF01 = 3.17), while the Fz result remained</w:t>
      </w:r>
      <w:r>
        <w:t xml:space="preserve"> </w:t>
      </w:r>
      <w:r>
        <w:t xml:space="preserve">inconclusive (BF01 = 0.82). Equivalence tests with bounds of +/-0.5 SD did not</w:t>
      </w:r>
      <w:r>
        <w:t xml:space="preserve"> </w:t>
      </w:r>
      <w:r>
        <w:t xml:space="preserve">establish formal equivalence (for example, Fz TOST p = 0.43; Supplementary Tables S7</w:t>
      </w:r>
      <w:r>
        <w:t xml:space="preserve"> </w:t>
      </w:r>
      <w:r>
        <w:t xml:space="preserve">and S8). These contrast-level results should not be read as contradicting the</w:t>
      </w:r>
      <w:r>
        <w:t xml:space="preserve"> </w:t>
      </w:r>
      <w:r>
        <w:t xml:space="preserve">published FRN-chronotype finding in the same cohort, which concerned FRN amplitudes</w:t>
      </w:r>
      <w:r>
        <w:t xml:space="preserve"> </w:t>
      </w:r>
      <w:r>
        <w:t xml:space="preserve">and MEQ/MCTQ associations at Fz and FCz across feedback conditions (Hajiaboo et al.,</w:t>
      </w:r>
      <w:r>
        <w:t xml:space="preserve"> </w:t>
      </w:r>
      <w:r>
        <w:t xml:space="preserve">2025). The present null is specific to our selected difference contrasts and remains</w:t>
      </w:r>
      <w:r>
        <w:t xml:space="preserve"> </w:t>
      </w:r>
      <w:r>
        <w:t xml:space="preserve">underpowered for medium-sized FRN contrast effects.</w:t>
      </w:r>
    </w:p>
    <w:bookmarkEnd w:id="28"/>
    <w:bookmarkStart w:id="32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Posterior P300 loss-minus-gain amplitude versus the continuous MEQ score." title="" id="30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Posterior P300 loss-minus-gain amplitude versus the continuous MEQ score.</w:t>
      </w:r>
    </w:p>
    <w:p>
      <w:pPr>
        <w:pStyle w:val="BodyText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32"/>
    <w:bookmarkStart w:id="33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bookmarkEnd w:id="33"/>
    <w:bookmarkStart w:id="37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Participant-generalizing evaluation pipeline and out-of-fold classifier ROC." title="" id="35" name="Picture"/>
            <a:graphic>
              <a:graphicData uri="http://schemas.openxmlformats.org/drawingml/2006/picture">
                <pic:pic>
                  <pic:nvPicPr>
                    <pic:cNvPr descr="docs/figures/fig_main_5_roc_pip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Participant-generalizing evaluation pipeline and out-of-fold classifier ROC.</w:t>
      </w:r>
    </w:p>
    <w:p>
      <w:pPr>
        <w:pStyle w:val="BodyText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37"/>
    <w:bookmarkStart w:id="38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As a preliminary check that trial-level choice is predictable at all under</w:t>
      </w:r>
      <w:r>
        <w:t xml:space="preserve"> </w:t>
      </w:r>
      <w:r>
        <w:t xml:space="preserve">participant-generalizing validation, leakage-safe models reached balanced accuracy</w:t>
      </w:r>
      <w:r>
        <w:t xml:space="preserve"> </w:t>
      </w:r>
      <w:r>
        <w:t xml:space="preserve">of approximately 0.587 (ROC AUC approximately 0.62) on 10,669 free-choice trials —</w:t>
      </w:r>
      <w:r>
        <w:t xml:space="preserve"> </w:t>
      </w:r>
      <w:r>
        <w:t xml:space="preserve">modestly above the majority-class (0.50) and previous-choice-persistence (0.554)</w:t>
      </w:r>
      <w:r>
        <w:t xml:space="preserve"> </w:t>
      </w:r>
      <w:r>
        <w:t xml:space="preserve">baselines and approaching the participant-mean oracle ceiling (0.604) without using</w:t>
      </w:r>
      <w:r>
        <w:t xml:space="preserve"> </w:t>
      </w:r>
      <w:r>
        <w:t xml:space="preserve">held-out-participant data. Most of the signal came from previous-trial and rolling</w:t>
      </w:r>
      <w:r>
        <w:t xml:space="preserve"> </w:t>
      </w:r>
      <w:r>
        <w:t xml:space="preserve">choice history, and previous-trial EEG added no clear value in this representation</w:t>
      </w:r>
      <w:r>
        <w:t xml:space="preserve"> </w:t>
      </w:r>
      <w:r>
        <w:t xml:space="preserve">(Supplementary Table S4). This motivates the sequence model in the next section,</w:t>
      </w:r>
      <w:r>
        <w:t xml:space="preserve"> </w:t>
      </w:r>
      <w:r>
        <w:t xml:space="preserve">which learns such temporal structure directly rather than from hand-engineered</w:t>
      </w:r>
      <w:r>
        <w:t xml:space="preserve"> </w:t>
      </w:r>
      <w:r>
        <w:t xml:space="preserve">history features.</w:t>
      </w:r>
    </w:p>
    <w:bookmarkEnd w:id="38"/>
    <w:bookmarkStart w:id="42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Chronotype separation from behavioural choice dynamics (GRU), from validated ERP contrasts, and from their combination, with out-of-fold scores related to the continuous MEQ score." title="" id="40" name="Picture"/>
            <a:graphic>
              <a:graphicData uri="http://schemas.openxmlformats.org/drawingml/2006/picture">
                <pic:pic>
                  <pic:nvPicPr>
                    <pic:cNvPr descr="docs/figures/fig_main_3_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Chronotype separation from behavioural choice dynamics (GRU), from validated ERP contrasts, and from their combination, with out-of-fold scores related to the continuous MEQ score.</w:t>
      </w:r>
    </w:p>
    <w:p>
      <w:pPr>
        <w:pStyle w:val="BodyText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42"/>
    <w:bookmarkStart w:id="43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43"/>
    <w:bookmarkStart w:id="44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44"/>
    <w:bookmarkStart w:id="45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45"/>
    <w:bookmarkStart w:id="46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46"/>
    <w:bookmarkStart w:id="50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feedback P300 to next-trial risky-choice coupling by chronotype (overall and valence-resolved)." title="" id="48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feedback P300 to next-trial risky-choice coupling by chronotype (overall and valence-resolved).</w:t>
      </w:r>
    </w:p>
    <w:p>
      <w:pPr>
        <w:pStyle w:val="BodyText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bookmarkEnd w:id="50"/>
    <w:bookmarkEnd w:id="51"/>
    <w:bookmarkStart w:id="59" w:name="discussion"/>
    <w:p>
      <w:pPr>
        <w:pStyle w:val="Heading2"/>
      </w:pPr>
      <w:r>
        <w:t xml:space="preserve">4. Discussion</w:t>
      </w:r>
    </w:p>
    <w:bookmarkStart w:id="52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This manuscript is a computational and multivariate follow-up to the prior</w:t>
      </w:r>
      <w:r>
        <w:t xml:space="preserve"> </w:t>
      </w:r>
      <w:r>
        <w:t xml:space="preserve">univariate ERP report on the same cohort (Hajiaboo et al., 2025). In that context,</w:t>
      </w:r>
      <w:r>
        <w:t xml:space="preserve"> </w:t>
      </w:r>
      <w:r>
        <w:t xml:space="preserve">four findings anchor the present account. First, Morning and Evening chronotypes</w:t>
      </w:r>
      <w:r>
        <w:t xml:space="preserve"> </w:t>
      </w:r>
      <w:r>
        <w:t xml:space="preserve">differed in the feedback-locked posterior P300 loss-minus-gain contrast. Second,</w:t>
      </w:r>
      <w:r>
        <w:t xml:space="preserve"> </w:t>
      </w:r>
      <w:r>
        <w:t xml:space="preserve">chronotype could be predicted from risky-choice dynamics alone. Third, combining</w:t>
      </w:r>
      <w:r>
        <w:t xml:space="preserve"> </w:t>
      </w:r>
      <w:r>
        <w:t xml:space="preserve">behavioural dynamics with validated ERP contrasts predicted chronotype better than</w:t>
      </w:r>
      <w:r>
        <w:t xml:space="preserve"> </w:t>
      </w:r>
      <w:r>
        <w:t xml:space="preserve">either modality alone and also predicted continuous MEQ score. Fourth, two planned</w:t>
      </w:r>
      <w:r>
        <w:t xml:space="preserve"> </w:t>
      </w:r>
      <w:r>
        <w:t xml:space="preserve">negative tests, end-to-end EEG decoding and within-subject single-trial coupling,</w:t>
      </w:r>
      <w:r>
        <w:t xml:space="preserve"> </w:t>
      </w:r>
      <w:r>
        <w:t xml:space="preserve">placed the effect at the between-participant trait level rather than at the level of</w:t>
      </w:r>
      <w:r>
        <w:t xml:space="preserve"> </w:t>
      </w:r>
      <w:r>
        <w:t xml:space="preserve">moment-to-moment neural control of choice. All predictive analyses used</w:t>
      </w:r>
      <w:r>
        <w:t xml:space="preserve"> </w:t>
      </w:r>
      <w:r>
        <w:t xml:space="preserve">participant-generalizing cross-validation and permutation testing. The main</w:t>
      </w:r>
      <w:r>
        <w:t xml:space="preserve"> </w:t>
      </w:r>
      <w:r>
        <w:t xml:space="preserve">evidentiary value is the agreement across distinct analyses, not the accuracy of any</w:t>
      </w:r>
      <w:r>
        <w:t xml:space="preserve"> </w:t>
      </w:r>
      <w:r>
        <w:t xml:space="preserve">single model.</w:t>
      </w:r>
    </w:p>
    <w:bookmarkEnd w:id="52"/>
    <w:bookmarkStart w:id="53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consistent, although weak, in the continuous MEQ analysis. Because</w:t>
      </w:r>
      <w:r>
        <w:t xml:space="preserve"> </w:t>
      </w:r>
      <w:r>
        <w:t xml:space="preserve">posterior 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It is also consistent with the behavioural</w:t>
      </w:r>
      <w:r>
        <w:t xml:space="preserve"> </w:t>
      </w:r>
      <w:r>
        <w:t xml:space="preserve">risk-taking difference previously reported in this cohort (Hajiaboo et al., 2025). A</w:t>
      </w:r>
      <w:r>
        <w:t xml:space="preserve"> </w:t>
      </w:r>
      <w:r>
        <w:t xml:space="preserve">smaller posterior-P300 response to losses than gains in Evening participants is</w:t>
      </w:r>
      <w:r>
        <w:t xml:space="preserve"> </w:t>
      </w:r>
      <w:r>
        <w:t xml:space="preserve">consistent with a profile in which losses carry less relative weight during feedback</w:t>
      </w:r>
      <w:r>
        <w:t xml:space="preserve"> </w:t>
      </w:r>
      <w:r>
        <w:t xml:space="preserve">evaluation (cf. loss aversion; Kahneman &amp; Tversky, 1979).</w:t>
      </w:r>
    </w:p>
    <w:p>
      <w:pPr>
        <w:pStyle w:val="BodyText"/>
      </w:pPr>
      <w:r>
        <w:t xml:space="preserve">The prior FRN findings and the present P300 contrast address different quantities.</w:t>
      </w:r>
      <w:r>
        <w:t xml:space="preserve"> </w:t>
      </w:r>
      <w:r>
        <w:t xml:space="preserve">Hajiaboo et al. (2025) reported chronotype-related FRN amplitude effects and</w:t>
      </w:r>
      <w:r>
        <w:t xml:space="preserve"> </w:t>
      </w:r>
      <w:r>
        <w:t xml:space="preserve">MEQ/MCTQ-FRN associations at Fz and FCz, with MEQ models reaching R2 values of about</w:t>
      </w:r>
      <w:r>
        <w:t xml:space="preserve"> </w:t>
      </w:r>
      <w:r>
        <w:t xml:space="preserve">0.38. The present manuscript did not retest that same amplitude-MEQ question as its</w:t>
      </w:r>
      <w:r>
        <w:t xml:space="preserve"> </w:t>
      </w:r>
      <w:r>
        <w:t xml:space="preserve">primary neural feature; it evaluated FRN error-minus-correct and loss-minus-gain</w:t>
      </w:r>
      <w:r>
        <w:t xml:space="preserve"> </w:t>
      </w:r>
      <w:r>
        <w:t xml:space="preserve">difference contrasts. A null or inconclusive result for those FRN contrasts is</w:t>
      </w:r>
      <w:r>
        <w:t xml:space="preserve"> </w:t>
      </w:r>
      <w:r>
        <w:t xml:space="preserve">therefore not in tension with the published amplitude-MEQ association. The safer</w:t>
      </w:r>
      <w:r>
        <w:t xml:space="preserve"> </w:t>
      </w:r>
      <w:r>
        <w:t xml:space="preserve">interpretation is that the novel group-separating feature isolated here was the</w:t>
      </w:r>
      <w:r>
        <w:t xml:space="preserve"> </w:t>
      </w:r>
      <w:r>
        <w:t xml:space="preserve">posterior P300 loss-minus-gain contrast.</w:t>
      </w:r>
    </w:p>
    <w:bookmarkEnd w:id="53"/>
    <w:bookmarkStart w:id="54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54"/>
    <w:bookmarkStart w:id="55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</w:t>
      </w:r>
    </w:p>
    <w:bookmarkEnd w:id="55"/>
    <w:bookmarkStart w:id="56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56"/>
    <w:bookmarkStart w:id="57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p>
      <w:pPr>
        <w:pStyle w:val="BodyText"/>
      </w:pPr>
      <w:r>
        <w:t xml:space="preserve">The P300 findings also need to be read against the prior paper. Hajiaboo et al.</w:t>
      </w:r>
      <w:r>
        <w:t xml:space="preserve"> </w:t>
      </w:r>
      <w:r>
        <w:t xml:space="preserve">(2025) reported no chronotype main effect on P300 amplitude and no MEQ-P300</w:t>
      </w:r>
      <w:r>
        <w:t xml:space="preserve"> </w:t>
      </w:r>
      <w:r>
        <w:t xml:space="preserve">correlation at Pz or Cz, but did report a Pz feedback-by-chronotype interaction (p =</w:t>
      </w:r>
      <w:r>
        <w:t xml:space="preserve"> </w:t>
      </w:r>
      <w:r>
        <w:t xml:space="preserve">.043). That interaction is condition-dependent P300 modulation by chronotype, which</w:t>
      </w:r>
      <w:r>
        <w:t xml:space="preserve"> </w:t>
      </w:r>
      <w:r>
        <w:t xml:space="preserve">is the pattern the present loss-minus-gain contrast was designed to isolate more</w:t>
      </w:r>
      <w:r>
        <w:t xml:space="preserve"> </w:t>
      </w:r>
      <w:r>
        <w:t xml:space="preserve">directly. At the same time, our continuous MEQ association for the Pz contrast was</w:t>
      </w:r>
      <w:r>
        <w:t xml:space="preserve"> </w:t>
      </w:r>
      <w:r>
        <w:t xml:space="preserve">weak (r = 0.29) and the POz association included zero, so the continuous analysis is</w:t>
      </w:r>
      <w:r>
        <w:t xml:space="preserve"> </w:t>
      </w:r>
      <w:r>
        <w:t xml:space="preserve">consistent with their null MEQ-P300 correlations. The strongest P300 evidence in the</w:t>
      </w:r>
      <w:r>
        <w:t xml:space="preserve"> </w:t>
      </w:r>
      <w:r>
        <w:t xml:space="preserve">present manuscript is specifically the binary group contrast on the posterior</w:t>
      </w:r>
      <w:r>
        <w:t xml:space="preserve"> </w:t>
      </w:r>
      <w:r>
        <w:t xml:space="preserve">difference wave, not a strong continuous MEQ-P300 relationship.</w:t>
      </w:r>
    </w:p>
    <w:bookmarkEnd w:id="57"/>
    <w:bookmarkStart w:id="58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follow-up provides preliminary evidence that the posterior P300</w:t>
      </w:r>
      <w:r>
        <w:t xml:space="preserve"> </w:t>
      </w:r>
      <w:r>
        <w:t xml:space="preserve">loss-minus-gain contrast is a group-separating feature of chronotype in these data,</w:t>
      </w:r>
      <w:r>
        <w:t xml:space="preserve"> </w:t>
      </w:r>
      <w:r>
        <w:t xml:space="preserve">building on the behavioural and FRN findings already reported by Hajiaboo et al.</w:t>
      </w:r>
      <w:r>
        <w:t xml:space="preserve"> </w:t>
      </w:r>
      <w:r>
        <w:t xml:space="preserve">(2025). Behavioural choice dynamics carried additional chronotype information, and</w:t>
      </w:r>
      <w:r>
        <w:t xml:space="preserve"> </w:t>
      </w:r>
      <w:r>
        <w:t xml:space="preserve">combining behavioural and ERP features gave the strongest prediction of both</w:t>
      </w:r>
      <w:r>
        <w:t xml:space="preserve"> </w:t>
      </w:r>
      <w:r>
        <w:t xml:space="preserve">categorical chronotype and continuous MEQ score. The novel contribution is the</w:t>
      </w:r>
      <w:r>
        <w:t xml:space="preserve"> </w:t>
      </w:r>
      <w:r>
        <w:t xml:space="preserve">posterior-P300 contrast together with the computational strand: GRU behavioural</w:t>
      </w:r>
      <w:r>
        <w:t xml:space="preserve"> </w:t>
      </w:r>
      <w:r>
        <w:t xml:space="preserve">decoding, brain-behaviour fusion, continuous-MEQ prediction, reinforcement-learning</w:t>
      </w:r>
      <w:r>
        <w:t xml:space="preserve"> </w:t>
      </w:r>
      <w:r>
        <w:t xml:space="preserve">analysis, EEGNet, and leakage-safe/permutation-clean validation. The findings are</w:t>
      </w:r>
      <w:r>
        <w:t xml:space="preserve"> </w:t>
      </w:r>
      <w:r>
        <w:t xml:space="preserve">internally validated and require independent replication, but they show how carefully</w:t>
      </w:r>
      <w:r>
        <w:t xml:space="preserve"> </w:t>
      </w:r>
      <w:r>
        <w:t xml:space="preserve">constrained ERP features and behavioural sequence models can be combined to study</w:t>
      </w:r>
      <w:r>
        <w:t xml:space="preserve"> </w:t>
      </w:r>
      <w:r>
        <w:t xml:space="preserve">stable individual differences in modest samples.</w:t>
      </w:r>
    </w:p>
    <w:bookmarkEnd w:id="58"/>
    <w:bookmarkEnd w:id="59"/>
    <w:bookmarkStart w:id="60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bookmarkEnd w:id="60"/>
    <w:bookmarkStart w:id="6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Analysis code and a de-identified participant-level dataset will be made openly available in a public repository upon publication; raw EEG data are available from the corresponding author on reasonable request.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Hajiaboo, M., Zarean, M., &amp; Heysieattalab, S. (2025). The effect of chronotype in risky decision making: An ERP study.</w:t>
      </w:r>
      <w:r>
        <w:t xml:space="preserve"> </w:t>
      </w:r>
      <w:r>
        <w:rPr>
          <w:i/>
          <w:iCs/>
        </w:rPr>
        <w:t xml:space="preserve">International Journal of Psychophysiology, 217</w:t>
      </w:r>
      <w:r>
        <w:t xml:space="preserve">, 113258. https://doi.org/10.1016/j.ijpsycho.2025.113258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Chronotype Differences in Feedback-Related P300 and Risky-Choice Dynamics</dc:title>
  <dc:creator/>
  <cp:keywords/>
  <dcterms:created xsi:type="dcterms:W3CDTF">2026-07-08T23:42:16Z</dcterms:created>
  <dcterms:modified xsi:type="dcterms:W3CDTF">2026-07-08T23:42:16Z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