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8.png" ContentType="image/png"/>
  <Override PartName="/word/media/rId4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Chronotype in the Neural and Behavioural Evaluation of Decision Feedback: Converging ERP, Computational, and Fusion Evidence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but little is known about how morning and evening types process decision feedback</w:t>
      </w:r>
      <w:r>
        <w:t xml:space="preserve"> </w:t>
      </w:r>
      <w:r>
        <w:t xml:space="preserve">at the neural level. We recorded EEG from 39 participants (19 Evening, 20 Morning)</w:t>
      </w:r>
      <w:r>
        <w:t xml:space="preserve"> </w:t>
      </w:r>
      <w:r>
        <w:t xml:space="preserve">during a risky decision-making task with gain and loss feedback. Chronotype was</w:t>
      </w:r>
      <w:r>
        <w:t xml:space="preserve"> </w:t>
      </w:r>
      <w:r>
        <w:t xml:space="preserve">examined using feedback-locked event-related potentials, behavioural sequence</w:t>
      </w:r>
      <w:r>
        <w:t xml:space="preserve"> </w:t>
      </w:r>
      <w:r>
        <w:t xml:space="preserve">models, and multimodal prediction with participant-generalizing validation. The</w:t>
      </w:r>
      <w:r>
        <w:t xml:space="preserve"> </w:t>
      </w:r>
      <w:r>
        <w:t xml:space="preserve">clearest neural difference was in the posterior P300. The parietal loss-minus-gain</w:t>
      </w:r>
      <w:r>
        <w:t xml:space="preserve"> </w:t>
      </w:r>
      <w:r>
        <w:t xml:space="preserve">contrast separated Morning and Evening groups with large effects (Pz Cohen’s d =</w:t>
      </w:r>
      <w:r>
        <w:t xml:space="preserve"> </w:t>
      </w:r>
      <w:r>
        <w:t xml:space="preserve">-1.04, FDR p = 0.034; POz d = -0.92, FDR p = 0.045), remained stable across</w:t>
      </w:r>
      <w:r>
        <w:t xml:space="preserve"> </w:t>
      </w:r>
      <w:r>
        <w:t xml:space="preserve">participant-exclusion analyses (d approximately -1.0, p &lt; 0.011 throughout), and</w:t>
      </w:r>
      <w:r>
        <w:t xml:space="preserve"> </w:t>
      </w:r>
      <w:r>
        <w:t xml:space="preserve">showed the same direction of association with continuous MEQ score. Behaviour also</w:t>
      </w:r>
      <w:r>
        <w:t xml:space="preserve"> </w:t>
      </w:r>
      <w:r>
        <w:t xml:space="preserve">carried chronotype information: a causal GRU model trained on risky-choice dynamics</w:t>
      </w:r>
      <w:r>
        <w:t xml:space="preserve"> </w:t>
      </w:r>
      <w:r>
        <w:t xml:space="preserve">decoded chronotype from behaviour alone (out-of-fold ROC AUC 0.713, permutation p =</w:t>
      </w:r>
      <w:r>
        <w:t xml:space="preserve"> </w:t>
      </w:r>
      <w:r>
        <w:t xml:space="preserve">0.027). Combining the behavioural embedding with validated ERP contrasts improved</w:t>
      </w:r>
      <w:r>
        <w:t xml:space="preserve"> </w:t>
      </w:r>
      <w:r>
        <w:t xml:space="preserve">decoding to AUC 0.797 (p = 0.004; bootstrap 95% CI [0.64, 0.92]) and predicted the</w:t>
      </w:r>
      <w:r>
        <w:t xml:space="preserve"> </w:t>
      </w:r>
      <w:r>
        <w:t xml:space="preserve">continuous MEQ score (r = 0.34, p = 0.027), suggesting that behavioural dynamics and</w:t>
      </w:r>
      <w:r>
        <w:t xml:space="preserve"> </w:t>
      </w:r>
      <w:r>
        <w:t xml:space="preserve">feedback ERPs contain partly independent information about chronotype. An</w:t>
      </w:r>
      <w:r>
        <w:t xml:space="preserve"> </w:t>
      </w:r>
      <w:r>
        <w:t xml:space="preserve">asymmetric reinforcement-learning analysis suggested possible differences in</w:t>
      </w:r>
      <w:r>
        <w:t xml:space="preserve"> </w:t>
      </w:r>
      <w:r>
        <w:t xml:space="preserve">outcome-specific learning and choice consistency, but these estimates were weak and</w:t>
      </w:r>
      <w:r>
        <w:t xml:space="preserve"> </w:t>
      </w:r>
      <w:r>
        <w:t xml:space="preserve">did not survive 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a single cohort performing a</w:t>
      </w:r>
      <w:r>
        <w:t xml:space="preserve"> </w:t>
      </w:r>
      <w:r>
        <w:t xml:space="preserve">feedback-based risky-choice task. We tested whether Morning and Evening chronotypes</w:t>
      </w:r>
      <w:r>
        <w:t xml:space="preserve"> </w:t>
      </w:r>
      <w:r>
        <w:t xml:space="preserve">differed in the posterior P300 response to loss versus gain feedback. We then asked</w:t>
      </w:r>
      <w:r>
        <w:t xml:space="preserve"> </w:t>
      </w:r>
      <w:r>
        <w:t xml:space="preserve">whether chronotype could be decoded from the dynamics of risky choice using a causal</w:t>
      </w:r>
      <w:r>
        <w:t xml:space="preserve"> </w:t>
      </w:r>
      <w:r>
        <w:t xml:space="preserve">recurrent model, and whether combining behavioural dynamics with validated ERP</w:t>
      </w:r>
      <w:r>
        <w:t xml:space="preserve"> </w:t>
      </w:r>
      <w:r>
        <w:t xml:space="preserve">features improved prediction beyond either source alone. Additional analyses tested</w:t>
      </w:r>
      <w:r>
        <w:t xml:space="preserve"> </w:t>
      </w:r>
      <w:r>
        <w:t xml:space="preserve">whether an interpretable reinforcement-learning model could explain the behavioural</w:t>
      </w:r>
      <w:r>
        <w:t xml:space="preserve"> </w:t>
      </w:r>
      <w:r>
        <w:t xml:space="preserve">difference, whether EEGNet could recover chronotype from single-trial EEG, and</w:t>
      </w:r>
      <w:r>
        <w:t xml:space="preserve"> </w:t>
      </w:r>
      <w:r>
        <w:t xml:space="preserve">whether trial-to-trial P300 variation predicted subsequent risky choice differently</w:t>
      </w:r>
      <w:r>
        <w:t xml:space="preserve"> </w:t>
      </w:r>
      <w:r>
        <w:t xml:space="preserve">by chronotype.</w: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Feedback was coded by valence (gain or loss) and correctness, producing</w:t>
      </w:r>
      <w:r>
        <w:t xml:space="preserve"> </w:t>
      </w:r>
      <w:r>
        <w:t xml:space="preserve">Gain-Correct, Gain-Error, Loss-Correct, and Loss-Error conditions.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End w:id="22"/>
    <w:bookmarkStart w:id="50" w:name="results"/>
    <w:p>
      <w:pPr>
        <w:pStyle w:val="Heading2"/>
      </w:pPr>
      <w:r>
        <w:t xml:space="preserve">3. Results</w:t>
      </w:r>
    </w:p>
    <w:bookmarkStart w:id="26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Feedback-locked posterior P300 (loss minus gain) by chronotype at Pz and POz, with the window specification curve confirming robustness." title="" id="24" name="Picture"/>
            <a:graphic>
              <a:graphicData uri="http://schemas.openxmlformats.org/drawingml/2006/picture">
                <pic:pic>
                  <pic:nvPicPr>
                    <pic:cNvPr descr="docs/figures/fig_main_1_p300_spe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Feedback-locked posterior P300 (loss minus gain) by chronotype at Pz and POz, with the window specification curve confirming robustness.</w:t>
      </w:r>
    </w:p>
    <w:p>
      <w:pPr>
        <w:pStyle w:val="BodyText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6"/>
    <w:bookmarkStart w:id="27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participants tended to choose the risky option more often than Morning</w:t>
      </w:r>
      <w:r>
        <w:t xml:space="preserve"> </w:t>
      </w:r>
      <w:r>
        <w:t xml:space="preserve">participants. The largest uncorrected effects were for loss-error risky rate (d =</w:t>
      </w:r>
      <w:r>
        <w:t xml:space="preserve"> </w:t>
      </w:r>
      <w:r>
        <w:t xml:space="preserve">0.81), free risky rate (d = 0.80), and gain-correct risky rate (d = 0.77), with all</w:t>
      </w:r>
      <w:r>
        <w:t xml:space="preserve"> </w:t>
      </w:r>
      <w:r>
        <w:t xml:space="preserve">Welch p-values below 0.025. These effects did not survive FDR correction, and their</w:t>
      </w:r>
      <w:r>
        <w:t xml:space="preserve"> </w:t>
      </w:r>
      <w:r>
        <w:t xml:space="preserve">confidence intervals remained compatible with small effects. The behavioural group</w:t>
      </w:r>
      <w:r>
        <w:t xml:space="preserve"> </w:t>
      </w:r>
      <w:r>
        <w:t xml:space="preserve">differences are therefore supportive rather than primary.</w:t>
      </w:r>
    </w:p>
    <w:p>
      <w:pPr>
        <w:pStyle w:val="BodyText"/>
      </w:pPr>
      <w:r>
        <w:t xml:space="preserve">Frontocentral FRN contrasts did not show reliable group differences. For example,</w:t>
      </w:r>
      <w:r>
        <w:t xml:space="preserve"> </w:t>
      </w:r>
      <w:r>
        <w:t xml:space="preserve">the Fz FRN error-minus-correct contrast had d = -0.60 and FDR p = 0.14. Bayes</w:t>
      </w:r>
      <w:r>
        <w:t xml:space="preserve"> </w:t>
      </w:r>
      <w:r>
        <w:t xml:space="preserve">factors were most consistent with a null group difference at FCz (BF01 = 2.46) and</w:t>
      </w:r>
      <w:r>
        <w:t xml:space="preserve"> </w:t>
      </w:r>
      <w:r>
        <w:t xml:space="preserve">Cz (BF01 = 3.17), while the Fz result remained inconclusive (BF01 = 0.82).</w:t>
      </w:r>
      <w:r>
        <w:t xml:space="preserve"> </w:t>
      </w:r>
      <w:r>
        <w:t xml:space="preserve">Equivalence tests with bounds of ±0.5 SD did not establish formal equivalence (for</w:t>
      </w:r>
      <w:r>
        <w:t xml:space="preserve"> </w:t>
      </w:r>
      <w:r>
        <w:t xml:space="preserve">example, Fz TOST p = 0.43; Supplementary Tables S7 and S8). Thus, the FRN results do not support a chronotype</w:t>
      </w:r>
      <w:r>
        <w:t xml:space="preserve"> </w:t>
      </w:r>
      <w:r>
        <w:t xml:space="preserve">effect, but the sample is not large enough to rule out medium-sized FRN differences.</w:t>
      </w:r>
    </w:p>
    <w:bookmarkEnd w:id="27"/>
    <w:bookmarkStart w:id="31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Posterior P300 loss-minus-gain amplitude versus the continuous MEQ score." title="" id="29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Posterior P300 loss-minus-gain amplitude versus the continuous MEQ score.</w:t>
      </w:r>
    </w:p>
    <w:p>
      <w:pPr>
        <w:pStyle w:val="BodyText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31"/>
    <w:bookmarkStart w:id="32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32"/>
    <w:bookmarkStart w:id="36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Leakage-safe, permutation-clean evaluation pipeline and out-of-fold classifier ROC." title="" id="34" name="Picture"/>
            <a:graphic>
              <a:graphicData uri="http://schemas.openxmlformats.org/drawingml/2006/picture">
                <pic:pic>
                  <pic:nvPicPr>
                    <pic:cNvPr descr="docs/figures/fig_main_5_roc_pipelin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Leakage-safe, permutation-clean evaluation pipeline and out-of-fold classifier ROC.</w:t>
      </w:r>
    </w:p>
    <w:p>
      <w:pPr>
        <w:pStyle w:val="BodyText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36"/>
    <w:bookmarkStart w:id="37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Participant-grouped models predicted trial-level risky choice modestly but above</w:t>
      </w:r>
      <w:r>
        <w:t xml:space="preserve"> </w:t>
      </w:r>
      <w:r>
        <w:t xml:space="preserve">simple baselines (Supplementary Table S4). The best models reached balanced accuracy of approximately 0.587</w:t>
      </w:r>
      <w:r>
        <w:t xml:space="preserve"> </w:t>
      </w:r>
      <w:r>
        <w:t xml:space="preserve">(ROC AUC approximately 0.62) across 10,669 free-choice trials. This exceeded the</w:t>
      </w:r>
      <w:r>
        <w:t xml:space="preserve"> </w:t>
      </w:r>
      <w:r>
        <w:t xml:space="preserve">majority-class baseline (0.50) and the previous-choice-persistence baseline (0.554),</w:t>
      </w:r>
      <w:r>
        <w:t xml:space="preserve"> </w:t>
      </w:r>
      <w:r>
        <w:t xml:space="preserve">and it approached the participant-mean oracle ceiling (0.604) without using data</w:t>
      </w:r>
      <w:r>
        <w:t xml:space="preserve"> </w:t>
      </w:r>
      <w:r>
        <w:t xml:space="preserve">from the held-out participant. Most of the signal came from previous-trial and</w:t>
      </w:r>
      <w:r>
        <w:t xml:space="preserve"> </w:t>
      </w:r>
      <w:r>
        <w:t xml:space="preserve">rolling-history features. Previous-trial EEG did not add clear predictive value in</w:t>
      </w:r>
      <w:r>
        <w:t xml:space="preserve"> </w:t>
      </w:r>
      <w:r>
        <w:t xml:space="preserve">the current representation.</w:t>
      </w:r>
    </w:p>
    <w:bookmarkEnd w:id="37"/>
    <w:bookmarkStart w:id="41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Chronotype decoding from behavioural choice dynamics (GRU), from validated ERP contrasts, and their super-additive fusion." title="" id="39" name="Picture"/>
            <a:graphic>
              <a:graphicData uri="http://schemas.openxmlformats.org/drawingml/2006/picture">
                <pic:pic>
                  <pic:nvPicPr>
                    <pic:cNvPr descr="docs/figures/fig_main_3_fu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Chronotype decoding from behavioural choice dynamics (GRU), from validated ERP contrasts, and their super-additive fusion.</w:t>
      </w:r>
    </w:p>
    <w:p>
      <w:pPr>
        <w:pStyle w:val="BodyText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41"/>
    <w:bookmarkStart w:id="42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42"/>
    <w:bookmarkStart w:id="43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43"/>
    <w:bookmarkStart w:id="44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44"/>
    <w:bookmarkStart w:id="45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45"/>
    <w:bookmarkStart w:id="49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feedback P300 to next-trial risk coupling by chronotype (overall and valence-resolved)." title="" id="47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feedback P300 to next-trial risk coupling by chronotype (overall and valence-resolved).</w:t>
      </w:r>
    </w:p>
    <w:p>
      <w:pPr>
        <w:pStyle w:val="BodyText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bookmarkEnd w:id="49"/>
    <w:bookmarkEnd w:id="50"/>
    <w:bookmarkStart w:id="58" w:name="discussion"/>
    <w:p>
      <w:pPr>
        <w:pStyle w:val="Heading2"/>
      </w:pPr>
      <w:r>
        <w:t xml:space="preserve">4. Discussion</w:t>
      </w:r>
    </w:p>
    <w:bookmarkStart w:id="5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related to both the neural and</w:t>
      </w:r>
      <w:r>
        <w:t xml:space="preserve"> </w:t>
      </w:r>
      <w:r>
        <w:t xml:space="preserve">behavioural evaluation of decision feedback. Four findings anchor the account.</w:t>
      </w:r>
      <w:r>
        <w:t xml:space="preserve"> </w:t>
      </w:r>
      <w:r>
        <w:t xml:space="preserve">First, Morning and Evening chronotypes differed in the feedback-locked posterior</w:t>
      </w:r>
      <w:r>
        <w:t xml:space="preserve"> </w:t>
      </w:r>
      <w:r>
        <w:t xml:space="preserve">P300 to outcome valence. Second, chronotype could be predicted from risky-choice</w:t>
      </w:r>
      <w:r>
        <w:t xml:space="preserve"> </w:t>
      </w:r>
      <w:r>
        <w:t xml:space="preserve">dynamics alone. Third, combining behavioural dynamics with validated ERP contrasts</w:t>
      </w:r>
      <w:r>
        <w:t xml:space="preserve"> </w:t>
      </w:r>
      <w:r>
        <w:t xml:space="preserve">predicted chronotype better than either modality alone and also predicted continuous</w:t>
      </w:r>
      <w:r>
        <w:t xml:space="preserve"> </w:t>
      </w:r>
      <w:r>
        <w:t xml:space="preserve">MEQ score. Fourth, two planned negative tests, end-to-end EEG decoding and</w:t>
      </w:r>
      <w:r>
        <w:t xml:space="preserve"> </w:t>
      </w:r>
      <w:r>
        <w:t xml:space="preserve">within-subject single-trial coupling, placed the effect at the between-participant</w:t>
      </w:r>
      <w:r>
        <w:t xml:space="preserve"> </w:t>
      </w:r>
      <w:r>
        <w:t xml:space="preserve">trait level rather than at the level of moment-to-moment neural control of choice.</w:t>
      </w:r>
      <w:r>
        <w:t xml:space="preserve"> </w:t>
      </w:r>
      <w:r>
        <w:t xml:space="preserve">All predictive analyses used participant-generalizing cross-validation and</w:t>
      </w:r>
      <w:r>
        <w:t xml:space="preserve"> </w:t>
      </w:r>
      <w:r>
        <w:t xml:space="preserve">permutation testing. The main evidentiary value is the agreement across distinct</w:t>
      </w:r>
      <w:r>
        <w:t xml:space="preserve"> </w:t>
      </w:r>
      <w:r>
        <w:t xml:space="preserve">analyses, not the accuracy of any single model.</w:t>
      </w:r>
    </w:p>
    <w:bookmarkEnd w:id="51"/>
    <w:bookmarkStart w:id="52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 with the continuous MEQ analysis. Because posterior</w:t>
      </w:r>
      <w:r>
        <w:t xml:space="preserve"> </w:t>
      </w:r>
      <w:r>
        <w:t xml:space="preserve">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A smaller posterior-P300 response to losses</w:t>
      </w:r>
      <w:r>
        <w:t xml:space="preserve"> </w:t>
      </w:r>
      <w:r>
        <w:t xml:space="preserve">than gains in Evening participants is consistent with a profile in which losses</w:t>
      </w:r>
      <w:r>
        <w:t xml:space="preserve"> </w:t>
      </w:r>
      <w:r>
        <w:t xml:space="preserve">carry less relative weight during feedback evaluation (cf. loss aversion; Kahneman &amp;</w:t>
      </w:r>
      <w:r>
        <w:t xml:space="preserve"> </w:t>
      </w:r>
      <w:r>
        <w:t xml:space="preserve">Tversky, 1979). The absence of a reliable</w:t>
      </w:r>
      <w:r>
        <w:t xml:space="preserve"> </w:t>
      </w:r>
      <w:r>
        <w:t xml:space="preserve">FRN group difference further narrows the interpretation. Chronotype appeared to</w:t>
      </w:r>
      <w:r>
        <w:t xml:space="preserve"> </w:t>
      </w:r>
      <w:r>
        <w:t xml:space="preserve">affect a later feedback-evaluation process indexed by P300, not the earlier</w:t>
      </w:r>
      <w:r>
        <w:t xml:space="preserve"> </w:t>
      </w:r>
      <w:r>
        <w:t xml:space="preserve">valence- or prediction-error-related process indexed by the FRN (Holroyd &amp; Coles,</w:t>
      </w:r>
      <w:r>
        <w:t xml:space="preserve"> </w:t>
      </w:r>
      <w:r>
        <w:t xml:space="preserve">2002; Sambrook &amp; Goslin, 2015).</w:t>
      </w:r>
    </w:p>
    <w:bookmarkEnd w:id="52"/>
    <w:bookmarkStart w:id="53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53"/>
    <w:bookmarkStart w:id="54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</w:t>
      </w:r>
    </w:p>
    <w:bookmarkEnd w:id="54"/>
    <w:bookmarkStart w:id="55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55"/>
    <w:bookmarkStart w:id="56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bookmarkEnd w:id="56"/>
    <w:bookmarkStart w:id="57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study provides preliminary evidence that chronotype is related to</w:t>
      </w:r>
      <w:r>
        <w:t xml:space="preserve"> </w:t>
      </w:r>
      <w:r>
        <w:t xml:space="preserve">the neural evaluation of decision feedback, with the clearest effect in the</w:t>
      </w:r>
      <w:r>
        <w:t xml:space="preserve"> </w:t>
      </w:r>
      <w:r>
        <w:t xml:space="preserve">posterior P300. Behavioural choice dynamics carried additional chronotype</w:t>
      </w:r>
      <w:r>
        <w:t xml:space="preserve"> </w:t>
      </w:r>
      <w:r>
        <w:t xml:space="preserve">information, and combining behavioural and ERP features gave the strongest</w:t>
      </w:r>
      <w:r>
        <w:t xml:space="preserve"> </w:t>
      </w:r>
      <w:r>
        <w:t xml:space="preserve">prediction of both categorical chronotype and continuous MEQ score. The findings</w:t>
      </w:r>
      <w:r>
        <w:t xml:space="preserve"> </w:t>
      </w:r>
      <w:r>
        <w:t xml:space="preserve">are internally validated and require independent replication, but they show how</w:t>
      </w:r>
      <w:r>
        <w:t xml:space="preserve"> </w:t>
      </w:r>
      <w:r>
        <w:t xml:space="preserve">carefully constrained ERP features and behavioural sequence models can be combined</w:t>
      </w:r>
      <w:r>
        <w:t xml:space="preserve"> </w:t>
      </w:r>
      <w:r>
        <w:t xml:space="preserve">to study stable individual differences in modest samples.</w:t>
      </w:r>
    </w:p>
    <w:bookmarkEnd w:id="57"/>
    <w:bookmarkEnd w:id="58"/>
    <w:bookmarkStart w:id="59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bookmarkEnd w:id="59"/>
    <w:bookmarkStart w:id="60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Analysis code and a de-identified participant-level dataset will be made openly available in a public repository upon publication; raw EEG data are available from the corresponding author on reasonable request.</w:t>
      </w:r>
    </w:p>
    <w:bookmarkEnd w:id="60"/>
    <w:bookmarkStart w:id="6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Chronotype in the Neural and Behavioural Evaluation of Decision Feedback: Converging ERP, Computational, and Fusion Evidence</dc:title>
  <dc:creator/>
  <cp:keywords/>
  <dcterms:created xsi:type="dcterms:W3CDTF">2026-07-08T21:03:32Z</dcterms:created>
  <dcterms:modified xsi:type="dcterms:W3CDTF">2026-07-08T21:03:32Z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