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462857b0ad080214911468438ad998d242e176f"/>
    <w:p>
      <w:pPr>
        <w:pStyle w:val="Heading1"/>
      </w:pPr>
      <w:r>
        <w:t xml:space="preserve">Chronotype Differences in Feedback-Related P300 and Risky-Choice Dynamics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but little is known about how morning and evening types process decision feedback</w:t>
      </w:r>
      <w:r>
        <w:t xml:space="preserve"> </w:t>
      </w:r>
      <w:r>
        <w:t xml:space="preserve">at the neural level. We recorded EEG from 39 participants (19 Evening, 20 Morning)</w:t>
      </w:r>
      <w:r>
        <w:t xml:space="preserve"> </w:t>
      </w:r>
      <w:r>
        <w:t xml:space="preserve">during a risky decision-making task with gain and loss feedback. Chronotype was</w:t>
      </w:r>
      <w:r>
        <w:t xml:space="preserve"> </w:t>
      </w:r>
      <w:r>
        <w:t xml:space="preserve">examined using feedback-locked event-related potentials, behavioural sequence</w:t>
      </w:r>
      <w:r>
        <w:t xml:space="preserve"> </w:t>
      </w:r>
      <w:r>
        <w:t xml:space="preserve">models, and multimodal analyses with participant-generalizing validation. The</w:t>
      </w:r>
      <w:r>
        <w:t xml:space="preserve"> </w:t>
      </w:r>
      <w:r>
        <w:t xml:space="preserve">clearest neural difference was in the posterior P300. The parietal loss-minus-gain</w:t>
      </w:r>
      <w:r>
        <w:t xml:space="preserve"> </w:t>
      </w:r>
      <w:r>
        <w:t xml:space="preserve">contrast separated Morning and Evening groups with large effects (Pz Cohen’s d =</w:t>
      </w:r>
      <w:r>
        <w:t xml:space="preserve"> </w:t>
      </w:r>
      <w:r>
        <w:t xml:space="preserve">-1.04, FDR p = 0.034; POz d = -0.92, FDR p = 0.045), remained stable across</w:t>
      </w:r>
      <w:r>
        <w:t xml:space="preserve"> </w:t>
      </w:r>
      <w:r>
        <w:t xml:space="preserve">participant-exclusion analyses (d approximately -1.0, p &lt; 0.011 throughout), and</w:t>
      </w:r>
      <w:r>
        <w:t xml:space="preserve"> </w:t>
      </w:r>
      <w:r>
        <w:t xml:space="preserve">showed the same direction of association with continuous MEQ score. Behaviour carried</w:t>
      </w:r>
      <w:r>
        <w:t xml:space="preserve"> </w:t>
      </w:r>
      <w:r>
        <w:t xml:space="preserve">convergent information: out-of-fold scores from a causal GRU model of risky-choice</w:t>
      </w:r>
      <w:r>
        <w:t xml:space="preserve"> </w:t>
      </w:r>
      <w:r>
        <w:t xml:space="preserve">dynamics distinguished Morning and Evening participants without EEG (ROC AUC 0.713,</w:t>
      </w:r>
      <w:r>
        <w:t xml:space="preserve"> </w:t>
      </w:r>
      <w:r>
        <w:t xml:space="preserve">permutation p = 0.027). Out-of-fold scores that combined the behavioural embedding</w:t>
      </w:r>
      <w:r>
        <w:t xml:space="preserve"> </w:t>
      </w:r>
      <w:r>
        <w:t xml:space="preserve">with the validated ERP contrasts separated the groups more strongly (AUC 0.797, p =</w:t>
      </w:r>
      <w:r>
        <w:t xml:space="preserve"> </w:t>
      </w:r>
      <w:r>
        <w:t xml:space="preserve">0.004; bootstrap 95% CI [0.64, 0.92]) and tracked the continuous MEQ score (r =</w:t>
      </w:r>
      <w:r>
        <w:t xml:space="preserve"> </w:t>
      </w:r>
      <w:r>
        <w:t xml:space="preserve">0.34, p = 0.027), indicating that behavioural dynamics and feedback ERPs carry</w:t>
      </w:r>
      <w:r>
        <w:t xml:space="preserve"> </w:t>
      </w:r>
      <w:r>
        <w:t xml:space="preserve">partly independent, rather than diagnostic, information about chronotype. That the</w:t>
      </w:r>
      <w:r>
        <w:t xml:space="preserve"> </w:t>
      </w:r>
      <w:r>
        <w:t xml:space="preserve">same measures related to continuous MEQ score is consistent with a graded,</w:t>
      </w:r>
      <w:r>
        <w:t xml:space="preserve"> </w:t>
      </w:r>
      <w:r>
        <w:t xml:space="preserve">dimensional trait rather than a strict dichotomy. An asymmetric</w:t>
      </w:r>
      <w:r>
        <w:t xml:space="preserve"> </w:t>
      </w:r>
      <w:r>
        <w:t xml:space="preserve">reinforcement-learning analysis suggested possible differences in outcome-specific</w:t>
      </w:r>
      <w:r>
        <w:t xml:space="preserve"> </w:t>
      </w:r>
      <w:r>
        <w:t xml:space="preserve">learning and choice consistency, but these estimates were weak and did not survive</w:t>
      </w:r>
      <w:r>
        <w:t xml:space="preserve"> </w:t>
      </w:r>
      <w:r>
        <w:t xml:space="preserve">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 [AUTHOR INPUT: confirm</w:t>
      </w:r>
      <w:r>
        <w:t xml:space="preserve"> </w:t>
      </w:r>
      <w:r>
        <w:t xml:space="preserve">task name and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 [AUTHOR INPUT: the team may</w:t>
      </w:r>
      <w:r>
        <w:t xml:space="preserve"> </w:t>
      </w:r>
      <w:r>
        <w:t xml:space="preserve">add or substitute preferred chronotype-reward empirical citations here.]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a single cohort performing a</w:t>
      </w:r>
      <w:r>
        <w:t xml:space="preserve"> </w:t>
      </w:r>
      <w:r>
        <w:t xml:space="preserve">feedback-based risky-choice task. We tested whether Morning and Evening chronotypes</w:t>
      </w:r>
      <w:r>
        <w:t xml:space="preserve"> </w:t>
      </w:r>
      <w:r>
        <w:t xml:space="preserve">differed in the posterior P300 response to loss versus gain feedback. We then asked</w:t>
      </w:r>
      <w:r>
        <w:t xml:space="preserve"> </w:t>
      </w:r>
      <w:r>
        <w:t xml:space="preserve">whether chronotype could be decoded from the dynamics of risky choice using a causal</w:t>
      </w:r>
      <w:r>
        <w:t xml:space="preserve"> </w:t>
      </w:r>
      <w:r>
        <w:t xml:space="preserve">recurrent model, and whether combining behavioural dynamics with validated ERP</w:t>
      </w:r>
      <w:r>
        <w:t xml:space="preserve"> </w:t>
      </w:r>
      <w:r>
        <w:t xml:space="preserve">features improved prediction beyond either source alone. Additional analyses tested</w:t>
      </w:r>
      <w:r>
        <w:t xml:space="preserve"> </w:t>
      </w:r>
      <w:r>
        <w:t xml:space="preserve">whether an interpretable reinforcement-learning model could explain the behavioural</w:t>
      </w:r>
      <w:r>
        <w:t xml:space="preserve"> </w:t>
      </w:r>
      <w:r>
        <w:t xml:space="preserve">difference, whether EEGNet could recover chronotype from single-trial EEG, and</w:t>
      </w:r>
      <w:r>
        <w:t xml:space="preserve"> </w:t>
      </w:r>
      <w:r>
        <w:t xml:space="preserve">whether trial-to-trial P300 variation predicted subsequent risky choice differently</w:t>
      </w:r>
      <w:r>
        <w:t xml:space="preserve"> </w:t>
      </w:r>
      <w:r>
        <w:t xml:space="preserve">by chronotype.</w:t>
      </w:r>
    </w:p>
    <w:p>
      <w:r>
        <w:pict>
          <v:rect style="width:0;height:1.5pt" o:hralign="center" o:hrstd="t" o:hr="t"/>
        </w:pic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  <w:r>
        <w:t xml:space="preserve"> </w:t>
      </w:r>
      <w:r>
        <w:t xml:space="preserve">[AUTHOR INPUT: recruitment, age/sex distribution, inclusion/exclusion criteria,</w:t>
      </w:r>
      <w:r>
        <w:t xml:space="preserve"> </w:t>
      </w:r>
      <w:r>
        <w:t xml:space="preserve">ethics/IRB approval and consent statement.]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On each trial two boxes were shown, each displaying an absolute magnitude; the sign</w:t>
      </w:r>
      <w:r>
        <w:t xml:space="preserve"> </w:t>
      </w:r>
      <w:r>
        <w:t xml:space="preserve">(gain or loss) of each box was hidden at the moment of choice and revealed only as</w:t>
      </w:r>
      <w:r>
        <w:t xml:space="preserve"> </w:t>
      </w:r>
      <w:r>
        <w:t xml:space="preserve">feedback. On free trials the two boxes differed in magnitude, so choosing the</w:t>
      </w:r>
      <w:r>
        <w:t xml:space="preserve"> </w:t>
      </w:r>
      <w:r>
        <w:t xml:space="preserve">higher-magnitude box constituted the risky choice (a larger potential gain but also</w:t>
      </w:r>
      <w:r>
        <w:t xml:space="preserve"> </w:t>
      </w:r>
      <w:r>
        <w:t xml:space="preserve">a larger potential loss), whereas choosing the lower-magnitude box was the safe</w:t>
      </w:r>
      <w:r>
        <w:t xml:space="preserve"> </w:t>
      </w:r>
      <w:r>
        <w:t xml:space="preserve">choice. Feedback was then coded by the valence of the chosen box (gain if its</w:t>
      </w:r>
      <w:r>
        <w:t xml:space="preserve"> </w:t>
      </w:r>
      <w:r>
        <w:t xml:space="preserve">revealed sign was positive, loss if negative) and by correctness (whether the box</w:t>
      </w:r>
      <w:r>
        <w:t xml:space="preserve"> </w:t>
      </w:r>
      <w:r>
        <w:t xml:space="preserve">with the higher revealed signed value had been chosen), producing four feedback</w:t>
      </w:r>
      <w:r>
        <w:t xml:space="preserve"> </w:t>
      </w:r>
      <w:r>
        <w:t xml:space="preserve">conditions: Gain-Correct, Gain-Error, Loss-Correct, and Loss-Error. Valence</w:t>
      </w:r>
      <w:r>
        <w:t xml:space="preserve"> </w:t>
      </w:r>
      <w:r>
        <w:t xml:space="preserve">(gain vs loss) therefore indexes the affective outcome of the choice, and</w:t>
      </w:r>
      <w:r>
        <w:t xml:space="preserve"> </w:t>
      </w:r>
      <w:r>
        <w:t xml:space="preserve">correctness indexes whether that choice was, in hindsight, the better of the two</w:t>
      </w:r>
      <w:r>
        <w:t xml:space="preserve"> </w:t>
      </w:r>
      <w:r>
        <w:t xml:space="preserve">options. [AUTHOR INPUT: number of trials/blocks, magnitudes used, stimulus and</w:t>
      </w:r>
      <w:r>
        <w:t xml:space="preserve"> </w:t>
      </w:r>
      <w:r>
        <w:t xml:space="preserve">feedback timing, response mapping, and the free-versus-forced trial split.]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 [AUTHOR INPUT: EEG system, electrode montage, reference, sampling rate,</w:t>
      </w:r>
      <w:r>
        <w:t xml:space="preserve"> </w:t>
      </w:r>
      <w:r>
        <w:t xml:space="preserve">filtering, artifact rejection, ERP windowing.]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</w:t>
      </w:r>
      <w:r>
        <w:t xml:space="preserve"> </w:t>
      </w:r>
      <w:r>
        <w:t xml:space="preserve">[AUTHOR INPUT: confirm the binary cutoff/median-split rule.]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Start w:id="22" w:name="analysis-plan-and-inference-hierarchy"/>
    <w:p>
      <w:pPr>
        <w:pStyle w:val="Heading3"/>
      </w:pPr>
      <w:r>
        <w:t xml:space="preserve">2.12 Analysis plan and inference hierarchy</w:t>
      </w:r>
    </w:p>
    <w:p>
      <w:pPr>
        <w:pStyle w:val="FirstParagraph"/>
      </w:pPr>
      <w:r>
        <w:t xml:space="preserve">To keep interpretation disciplined given the sample size, analyses are organized</w:t>
      </w:r>
      <w:r>
        <w:t xml:space="preserve"> </w:t>
      </w:r>
      <w:r>
        <w:t xml:space="preserve">into a fixed hierarchy.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analysis is the theory-driven group</w:t>
      </w:r>
      <w:r>
        <w:t xml:space="preserve"> </w:t>
      </w:r>
      <w:r>
        <w:t xml:space="preserve">contrast in the posterior P300 loss-minus-gain response (Pz and POz), FDR-corrected</w:t>
      </w:r>
      <w:r>
        <w:t xml:space="preserve"> </w:t>
      </w:r>
      <w:r>
        <w:t xml:space="preserve">across the theory-driven feature family.</w:t>
      </w:r>
      <w:r>
        <w:t xml:space="preserve"> </w:t>
      </w:r>
      <w:r>
        <w:rPr>
          <w:b/>
          <w:bCs/>
        </w:rPr>
        <w:t xml:space="preserve">Confirmatory robustness</w:t>
      </w:r>
      <w:r>
        <w:t xml:space="preserve"> </w:t>
      </w:r>
      <w:r>
        <w:t xml:space="preserve">analyses test</w:t>
      </w:r>
      <w:r>
        <w:t xml:space="preserve"> </w:t>
      </w:r>
      <w:r>
        <w:t xml:space="preserve">the stability of that effect: participant-exclusion sensitivity analyses, the</w:t>
      </w:r>
      <w:r>
        <w:t xml:space="preserve"> </w:t>
      </w:r>
      <w:r>
        <w:t xml:space="preserve">window specification curve, and the direction of the continuous-MEQ association.</w:t>
      </w:r>
      <w:r>
        <w:t xml:space="preserve"> </w:t>
      </w:r>
      <w:r>
        <w:rPr>
          <w:b/>
          <w:bCs/>
        </w:rPr>
        <w:t xml:space="preserve">Secondary, convergent</w:t>
      </w:r>
      <w:r>
        <w:t xml:space="preserve"> </w:t>
      </w:r>
      <w:r>
        <w:t xml:space="preserve">analyses ask whether behaviour carries related chronotype</w:t>
      </w:r>
      <w:r>
        <w:t xml:space="preserve"> </w:t>
      </w:r>
      <w:r>
        <w:t xml:space="preserve">information under participant-generalizing validation: the compact 12-feature</w:t>
      </w:r>
      <w:r>
        <w:t xml:space="preserve"> </w:t>
      </w:r>
      <w:r>
        <w:t xml:space="preserve">classifier, the GRU behavioural embedding, and its combination with the validated</w:t>
      </w:r>
      <w:r>
        <w:t xml:space="preserve"> </w:t>
      </w:r>
      <w:r>
        <w:t xml:space="preserve">ERP contrasts.</w:t>
      </w:r>
      <w:r>
        <w:t xml:space="preserve"> </w:t>
      </w:r>
      <w:r>
        <w:rPr>
          <w:b/>
          <w:bCs/>
        </w:rPr>
        <w:t xml:space="preserve">Exploratory</w:t>
      </w:r>
      <w:r>
        <w:t xml:space="preserve"> </w:t>
      </w:r>
      <w:r>
        <w:t xml:space="preserve">analyses, interpreted cautiously and not used to</w:t>
      </w:r>
      <w:r>
        <w:t xml:space="preserve"> </w:t>
      </w:r>
      <w:r>
        <w:t xml:space="preserve">support the main claims, comprise the higher-dimensional models, the</w:t>
      </w:r>
      <w:r>
        <w:t xml:space="preserve"> </w:t>
      </w:r>
      <w:r>
        <w:t xml:space="preserve">reinforcement-learning parameters, the learned EEGNet embeddings, and the</w:t>
      </w:r>
      <w:r>
        <w:t xml:space="preserve"> </w:t>
      </w:r>
      <w:r>
        <w:t xml:space="preserve">single-trial P300-to-choice coupling. Predictive results are reported as evidence</w:t>
      </w:r>
      <w:r>
        <w:t xml:space="preserve"> </w:t>
      </w:r>
      <w:r>
        <w:t xml:space="preserve">that behavioural and neural measures carry convergent chronotype information, not as</w:t>
      </w:r>
      <w:r>
        <w:t xml:space="preserve"> </w:t>
      </w:r>
      <w:r>
        <w:t xml:space="preserve">a deployable classifier.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results"/>
    <w:p>
      <w:pPr>
        <w:pStyle w:val="Heading2"/>
      </w:pPr>
      <w:r>
        <w:t xml:space="preserve">3. Results</w:t>
      </w:r>
    </w:p>
    <w:bookmarkStart w:id="24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4"/>
    <w:bookmarkStart w:id="25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participants tended to choose the risky option more often than Morning</w:t>
      </w:r>
      <w:r>
        <w:t xml:space="preserve"> </w:t>
      </w:r>
      <w:r>
        <w:t xml:space="preserve">participants. The largest uncorrected effects were for loss-error risky rate (d =</w:t>
      </w:r>
      <w:r>
        <w:t xml:space="preserve"> </w:t>
      </w:r>
      <w:r>
        <w:t xml:space="preserve">0.81), free risky rate (d = 0.80), and gain-correct risky rate (d = 0.77), with all</w:t>
      </w:r>
      <w:r>
        <w:t xml:space="preserve"> </w:t>
      </w:r>
      <w:r>
        <w:t xml:space="preserve">Welch p-values below 0.025. These effects did not survive FDR correction, and their</w:t>
      </w:r>
      <w:r>
        <w:t xml:space="preserve"> </w:t>
      </w:r>
      <w:r>
        <w:t xml:space="preserve">confidence intervals remained compatible with small effects. The behavioural group</w:t>
      </w:r>
      <w:r>
        <w:t xml:space="preserve"> </w:t>
      </w:r>
      <w:r>
        <w:t xml:space="preserve">differences are therefore supportive rather than primary.</w:t>
      </w:r>
    </w:p>
    <w:p>
      <w:pPr>
        <w:pStyle w:val="BodyText"/>
      </w:pPr>
      <w:r>
        <w:t xml:space="preserve">Frontocentral FRN contrasts did not show reliable group differences. For example,</w:t>
      </w:r>
      <w:r>
        <w:t xml:space="preserve"> </w:t>
      </w:r>
      <w:r>
        <w:t xml:space="preserve">the Fz FRN error-minus-correct contrast had d = -0.60 and FDR p = 0.14. Bayes</w:t>
      </w:r>
      <w:r>
        <w:t xml:space="preserve"> </w:t>
      </w:r>
      <w:r>
        <w:t xml:space="preserve">factors were most consistent with a null group difference at FCz (BF01 = 2.46) and</w:t>
      </w:r>
      <w:r>
        <w:t xml:space="preserve"> </w:t>
      </w:r>
      <w:r>
        <w:t xml:space="preserve">Cz (BF01 = 3.17), while the Fz result remained inconclusive (BF01 = 0.82).</w:t>
      </w:r>
      <w:r>
        <w:t xml:space="preserve"> </w:t>
      </w:r>
      <w:r>
        <w:t xml:space="preserve">Equivalence tests with bounds of ±0.5 SD did not establish formal equivalence (for</w:t>
      </w:r>
      <w:r>
        <w:t xml:space="preserve"> </w:t>
      </w:r>
      <w:r>
        <w:t xml:space="preserve">example, Fz TOST p = 0.43; Supplementary Tables S7 and S8). Thus, the FRN results do not support a chronotype</w:t>
      </w:r>
      <w:r>
        <w:t xml:space="preserve"> </w:t>
      </w:r>
      <w:r>
        <w:t xml:space="preserve">effect, but the sample is not large enough to rule out medium-sized FRN differences.</w:t>
      </w:r>
    </w:p>
    <w:bookmarkEnd w:id="25"/>
    <w:bookmarkStart w:id="26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FirstParagraph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26"/>
    <w:bookmarkStart w:id="27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p>
      <w:pPr>
        <w:pStyle w:val="BodyText"/>
      </w:pPr>
      <w:r>
        <w:t xml:space="preserve">Because sex and age were imbalanced across groups (Evening 68% male and about two</w:t>
      </w:r>
      <w:r>
        <w:t xml:space="preserve"> </w:t>
      </w:r>
      <w:r>
        <w:t xml:space="preserve">years older than Morning), we re-tested the posterior-P300 contrast with sex and</w:t>
      </w:r>
      <w:r>
        <w:t xml:space="preserve"> </w:t>
      </w:r>
      <w:r>
        <w:t xml:space="preserve">age as covariates. The Pz effect remained significant (adjusted Morning-vs-Evening</w:t>
      </w:r>
      <w:r>
        <w:t xml:space="preserve"> </w:t>
      </w:r>
      <w:r>
        <w:t xml:space="preserve">b = 0.88, p = 0.041, partial d approximately 0.72), with neither sex (p = 0.24) nor</w:t>
      </w:r>
      <w:r>
        <w:t xml:space="preserve"> </w:t>
      </w:r>
      <w:r>
        <w:t xml:space="preserve">age (p = 0.12) contributing. The POz effect attenuated to non-significance (adjusted</w:t>
      </w:r>
      <w:r>
        <w:t xml:space="preserve"> </w:t>
      </w:r>
      <w:r>
        <w:t xml:space="preserve">p = 0.12), and age was a significant covariate there (p = 0.010). The primary Pz</w:t>
      </w:r>
      <w:r>
        <w:t xml:space="preserve"> </w:t>
      </w:r>
      <w:r>
        <w:t xml:space="preserve">effect is therefore not attributable to the sex/age imbalance, whereas the POz</w:t>
      </w:r>
      <w:r>
        <w:t xml:space="preserve"> </w:t>
      </w:r>
      <w:r>
        <w:t xml:space="preserve">effect is partly related to age and should be interpreted more cautiously.</w:t>
      </w:r>
    </w:p>
    <w:bookmarkEnd w:id="27"/>
    <w:bookmarkStart w:id="28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FirstParagraph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28"/>
    <w:bookmarkStart w:id="29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As a preliminary check that trial-level choice is predictable at all under</w:t>
      </w:r>
      <w:r>
        <w:t xml:space="preserve"> </w:t>
      </w:r>
      <w:r>
        <w:t xml:space="preserve">participant-generalizing validation, leakage-safe models reached balanced accuracy</w:t>
      </w:r>
      <w:r>
        <w:t xml:space="preserve"> </w:t>
      </w:r>
      <w:r>
        <w:t xml:space="preserve">of approximately 0.587 (ROC AUC approximately 0.62) on 10,669 free-choice trials —</w:t>
      </w:r>
      <w:r>
        <w:t xml:space="preserve"> </w:t>
      </w:r>
      <w:r>
        <w:t xml:space="preserve">modestly above the majority-class (0.50) and previous-choice-persistence (0.554)</w:t>
      </w:r>
      <w:r>
        <w:t xml:space="preserve"> </w:t>
      </w:r>
      <w:r>
        <w:t xml:space="preserve">baselines and approaching the participant-mean oracle ceiling (0.604) without using</w:t>
      </w:r>
      <w:r>
        <w:t xml:space="preserve"> </w:t>
      </w:r>
      <w:r>
        <w:t xml:space="preserve">held-out-participant data. Most of the signal came from previous-trial and rolling</w:t>
      </w:r>
      <w:r>
        <w:t xml:space="preserve"> </w:t>
      </w:r>
      <w:r>
        <w:t xml:space="preserve">choice history, and previous-trial EEG added no clear value in this representation</w:t>
      </w:r>
      <w:r>
        <w:t xml:space="preserve"> </w:t>
      </w:r>
      <w:r>
        <w:t xml:space="preserve">(Supplementary Table S4). This motivates the sequence model in the next section,</w:t>
      </w:r>
      <w:r>
        <w:t xml:space="preserve"> </w:t>
      </w:r>
      <w:r>
        <w:t xml:space="preserve">which learns such temporal structure directly rather than from hand-engineered</w:t>
      </w:r>
      <w:r>
        <w:t xml:space="preserve"> </w:t>
      </w:r>
      <w:r>
        <w:t xml:space="preserve">history features.</w:t>
      </w:r>
    </w:p>
    <w:bookmarkEnd w:id="29"/>
    <w:bookmarkStart w:id="30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FirstParagraph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30"/>
    <w:bookmarkStart w:id="31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31"/>
    <w:bookmarkStart w:id="32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32"/>
    <w:bookmarkStart w:id="33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33"/>
    <w:bookmarkStart w:id="34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34"/>
    <w:bookmarkStart w:id="35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FirstParagraph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discussion"/>
    <w:p>
      <w:pPr>
        <w:pStyle w:val="Heading2"/>
      </w:pPr>
      <w:r>
        <w:t xml:space="preserve">4. Discussion</w:t>
      </w:r>
    </w:p>
    <w:bookmarkStart w:id="37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related to both the neural and</w:t>
      </w:r>
      <w:r>
        <w:t xml:space="preserve"> </w:t>
      </w:r>
      <w:r>
        <w:t xml:space="preserve">behavioural evaluation of decision feedback. Four findings anchor the account.</w:t>
      </w:r>
      <w:r>
        <w:t xml:space="preserve"> </w:t>
      </w:r>
      <w:r>
        <w:t xml:space="preserve">First, Morning and Evening chronotypes differed in the feedback-locked posterior</w:t>
      </w:r>
      <w:r>
        <w:t xml:space="preserve"> </w:t>
      </w:r>
      <w:r>
        <w:t xml:space="preserve">P300 to outcome valence. Second, chronotype could be predicted from risky-choice</w:t>
      </w:r>
      <w:r>
        <w:t xml:space="preserve"> </w:t>
      </w:r>
      <w:r>
        <w:t xml:space="preserve">dynamics alone. Third, combining behavioural dynamics with validated ERP contrasts</w:t>
      </w:r>
      <w:r>
        <w:t xml:space="preserve"> </w:t>
      </w:r>
      <w:r>
        <w:t xml:space="preserve">predicted chronotype better than either modality alone and also predicted continuous</w:t>
      </w:r>
      <w:r>
        <w:t xml:space="preserve"> </w:t>
      </w:r>
      <w:r>
        <w:t xml:space="preserve">MEQ score. Fourth, two planned negative tests, end-to-end EEG decoding and</w:t>
      </w:r>
      <w:r>
        <w:t xml:space="preserve"> </w:t>
      </w:r>
      <w:r>
        <w:t xml:space="preserve">within-subject single-trial coupling, placed the effect at the between-participant</w:t>
      </w:r>
      <w:r>
        <w:t xml:space="preserve"> </w:t>
      </w:r>
      <w:r>
        <w:t xml:space="preserve">trait level rather than at the level of moment-to-moment neural control of choice.</w:t>
      </w:r>
      <w:r>
        <w:t xml:space="preserve"> </w:t>
      </w:r>
      <w:r>
        <w:t xml:space="preserve">All predictive analyses used participant-generalizing cross-validation and</w:t>
      </w:r>
      <w:r>
        <w:t xml:space="preserve"> </w:t>
      </w:r>
      <w:r>
        <w:t xml:space="preserve">permutation testing. The main evidentiary value is the agreement across distinct</w:t>
      </w:r>
      <w:r>
        <w:t xml:space="preserve"> </w:t>
      </w:r>
      <w:r>
        <w:t xml:space="preserve">analyses, not the accuracy of any single model.</w:t>
      </w:r>
    </w:p>
    <w:bookmarkEnd w:id="37"/>
    <w:bookmarkStart w:id="38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 with the continuous MEQ analysis. Because posterior</w:t>
      </w:r>
      <w:r>
        <w:t xml:space="preserve"> </w:t>
      </w:r>
      <w:r>
        <w:t xml:space="preserve">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A smaller posterior-P300 response to losses</w:t>
      </w:r>
      <w:r>
        <w:t xml:space="preserve"> </w:t>
      </w:r>
      <w:r>
        <w:t xml:space="preserve">than gains in Evening participants is consistent with a profile in which losses</w:t>
      </w:r>
      <w:r>
        <w:t xml:space="preserve"> </w:t>
      </w:r>
      <w:r>
        <w:t xml:space="preserve">carry less relative weight during feedback evaluation (cf. loss aversion; Kahneman &amp;</w:t>
      </w:r>
      <w:r>
        <w:t xml:space="preserve"> </w:t>
      </w:r>
      <w:r>
        <w:t xml:space="preserve">Tversky, 1979). [AUTHOR INPUT: the team may sharpen this direction-of-effect link</w:t>
      </w:r>
      <w:r>
        <w:t xml:space="preserve"> </w:t>
      </w:r>
      <w:r>
        <w:t xml:space="preserve">to the specific prior findings it wishes to foreground.] The dissociation between the P300 and the FRN is theoretically informative rather</w:t>
      </w:r>
      <w:r>
        <w:t xml:space="preserve"> </w:t>
      </w:r>
      <w:r>
        <w:t xml:space="preserve">than merely a pattern of one significant and one null test. The FRN, and its</w:t>
      </w:r>
      <w:r>
        <w:t xml:space="preserve"> </w:t>
      </w:r>
      <w:r>
        <w:t xml:space="preserve">positive-going counterpart the reward positivity, indexes a fast, relatively</w:t>
      </w:r>
      <w:r>
        <w:t xml:space="preserve"> </w:t>
      </w:r>
      <w:r>
        <w:t xml:space="preserve">automatic valence and reward-prediction-error evaluation of outcomes (Holroyd &amp;</w:t>
      </w:r>
      <w:r>
        <w:t xml:space="preserve"> </w:t>
      </w:r>
      <w:r>
        <w:t xml:space="preserve">Coles, 2002; Proudfit, 2015; Sambrook &amp; Goslin, 2015), whereas the posterior P300</w:t>
      </w:r>
      <w:r>
        <w:t xml:space="preserve"> </w:t>
      </w:r>
      <w:r>
        <w:t xml:space="preserve">indexes a later, more elaborative weighting of outcome salience and significance</w:t>
      </w:r>
      <w:r>
        <w:t xml:space="preserve"> </w:t>
      </w:r>
      <w:r>
        <w:t xml:space="preserve">(Polich, 2007; Yeung &amp; Sanfey, 2004). That chronotype was expressed in the P300 but</w:t>
      </w:r>
      <w:r>
        <w:t xml:space="preserve"> </w:t>
      </w:r>
      <w:r>
        <w:t xml:space="preserve">not the FRN suggests the difference lies in how much motivational significance is</w:t>
      </w:r>
      <w:r>
        <w:t xml:space="preserve"> </w:t>
      </w:r>
      <w:r>
        <w:t xml:space="preserve">assigned to gains relative to losses during this later appraisal stage, rather than</w:t>
      </w:r>
      <w:r>
        <w:t xml:space="preserve"> </w:t>
      </w:r>
      <w:r>
        <w:t xml:space="preserve">in the initial registration of outcome valence — a more specific account than a</w:t>
      </w:r>
      <w:r>
        <w:t xml:space="preserve"> </w:t>
      </w:r>
      <w:r>
        <w:t xml:space="preserve">general claim that chronotype affects feedback processing.</w:t>
      </w:r>
    </w:p>
    <w:bookmarkEnd w:id="38"/>
    <w:bookmarkStart w:id="39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39"/>
    <w:bookmarkStart w:id="40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 [AUTHOR INPUT: align this tentative interpretation with the</w:t>
      </w:r>
      <w:r>
        <w:t xml:space="preserve"> </w:t>
      </w:r>
      <w:r>
        <w:t xml:space="preserve">constructs/references in the team’s prior chronotype work.]</w:t>
      </w:r>
    </w:p>
    <w:bookmarkEnd w:id="40"/>
    <w:bookmarkStart w:id="41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41"/>
    <w:bookmarkStart w:id="42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bookmarkEnd w:id="42"/>
    <w:bookmarkStart w:id="43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study provides preliminary evidence that chronotype is related to</w:t>
      </w:r>
      <w:r>
        <w:t xml:space="preserve"> </w:t>
      </w:r>
      <w:r>
        <w:t xml:space="preserve">the neural evaluation of decision feedback, with the clearest effect in the</w:t>
      </w:r>
      <w:r>
        <w:t xml:space="preserve"> </w:t>
      </w:r>
      <w:r>
        <w:t xml:space="preserve">posterior P300. Behavioural choice dynamics carried additional chronotype</w:t>
      </w:r>
      <w:r>
        <w:t xml:space="preserve"> </w:t>
      </w:r>
      <w:r>
        <w:t xml:space="preserve">information, and combining behavioural and ERP features gave the strongest</w:t>
      </w:r>
      <w:r>
        <w:t xml:space="preserve"> </w:t>
      </w:r>
      <w:r>
        <w:t xml:space="preserve">prediction of both categorical chronotype and continuous MEQ score. The findings</w:t>
      </w:r>
      <w:r>
        <w:t xml:space="preserve"> </w:t>
      </w:r>
      <w:r>
        <w:t xml:space="preserve">are internally validated and require independent replication, but they show how</w:t>
      </w:r>
      <w:r>
        <w:t xml:space="preserve"> </w:t>
      </w:r>
      <w:r>
        <w:t xml:space="preserve">carefully constrained ERP features and behavioural sequence models can be combined</w:t>
      </w:r>
      <w:r>
        <w:t xml:space="preserve"> </w:t>
      </w:r>
      <w:r>
        <w:t xml:space="preserve">to study stable individual differences in modest samples.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Sex and age were imbalanced across chronotype groups (Evening 68% male and about</w:t>
      </w:r>
      <w:r>
        <w:t xml:space="preserve"> </w:t>
      </w:r>
      <w:r>
        <w:t xml:space="preserve">two years older than Morning). The primary Pz P300 effect survived adjustment for</w:t>
      </w:r>
      <w:r>
        <w:t xml:space="preserve"> </w:t>
      </w:r>
      <w:r>
        <w:t xml:space="preserve">both, but the POz effect attenuated to non-significance and was partly related to</w:t>
      </w:r>
      <w:r>
        <w:t xml:space="preserve"> </w:t>
      </w:r>
      <w:r>
        <w:t xml:space="preserve">age; the sample is too small to fully disentangle chronotype from these covariates.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5"/>
    <w:bookmarkStart w:id="46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because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APA-7 list, DOI-verified (source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references.bib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docs/references_apa7.md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regenerated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docs/paper.docx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scripts/build_paper.py</w:t>
      </w:r>
      <w:r>
        <w:rPr>
          <w:i/>
          <w:iCs/>
        </w:rPr>
        <w:t xml:space="preserve">). One remaining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[AUTHOR INPUT]</w:t>
      </w:r>
      <w:r>
        <w:rPr>
          <w:i/>
          <w:iCs/>
        </w:rPr>
        <w:t xml:space="preserve"> </w:t>
      </w:r>
      <w:r>
        <w:rPr>
          <w:i/>
          <w:iCs/>
        </w:rPr>
        <w:t xml:space="preserve">marker in the text invites team-preferred chronotype-reward</w:t>
      </w:r>
      <w:r>
        <w:rPr>
          <w:i/>
          <w:iCs/>
        </w:rPr>
        <w:t xml:space="preserve"> </w:t>
      </w:r>
      <w:r>
        <w:rPr>
          <w:i/>
          <w:iCs/>
        </w:rPr>
        <w:t xml:space="preserve">citations; Byrne &amp; Murray (2017) was dropped as unverifiable.</w:t>
      </w:r>
    </w:p>
    <w:p>
      <w:pPr>
        <w:pStyle w:val="BodyText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47"/>
    <w:bookmarkStart w:id="48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Confirm whether any details from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sections 5-8 still need</w:t>
      </w:r>
      <w:r>
        <w:t xml:space="preserve"> </w:t>
      </w:r>
      <w:r>
        <w:t xml:space="preserve">to be folded into Methods 2.7-2.11.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§3.10). The MLE mechanism did not survive pooling, and</w:t>
      </w:r>
      <w:r>
        <w:t xml:space="preserve"> </w:t>
      </w:r>
      <w:r>
        <w:t xml:space="preserve">RL is now framed as exploratory.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8"/>
    <w:bookmarkEnd w:id="49"/>
    <w:bookmarkStart w:id="65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51" name="Picture"/>
            <a:graphic>
              <a:graphicData uri="http://schemas.openxmlformats.org/drawingml/2006/picture">
                <pic:pic>
                  <pic:nvPicPr>
                    <pic:cNvPr descr="docs/figures/fig_main_1_p300_spe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4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7" name="Picture"/>
            <a:graphic>
              <a:graphicData uri="http://schemas.openxmlformats.org/drawingml/2006/picture">
                <pic:pic>
                  <pic:nvPicPr>
                    <pic:cNvPr descr="docs/figures/fig_main_3_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60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3" name="Picture"/>
            <a:graphic>
              <a:graphicData uri="http://schemas.openxmlformats.org/drawingml/2006/picture">
                <pic:pic>
                  <pic:nvPicPr>
                    <pic:cNvPr descr="docs/figures/fig_main_5_roc_pipelin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2026-07-08T23:48:23Z</dcterms:created>
  <dcterms:modified xsi:type="dcterms:W3CDTF">2026-07-08T23:48:23Z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