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9.png" ContentType="image/png"/>
  <Override PartName="/word/media/rId47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Chronotype Differences in Feedback-Related P300 and Risky-Choice Dynamics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Chronotype has been associated with reward sensitivity and risky decision-making,</w:t>
      </w:r>
      <w:r>
        <w:t xml:space="preserve"> </w:t>
      </w:r>
      <w:r>
        <w:t xml:space="preserve">but little is known about how morning and evening types process decision feedback</w:t>
      </w:r>
      <w:r>
        <w:t xml:space="preserve"> </w:t>
      </w:r>
      <w:r>
        <w:t xml:space="preserve">at the neural level. We recorded EEG from 39 participants (19 Evening, 20 Morning)</w:t>
      </w:r>
      <w:r>
        <w:t xml:space="preserve"> </w:t>
      </w:r>
      <w:r>
        <w:t xml:space="preserve">during a risky decision-making task with gain and loss feedback. Chronotype was</w:t>
      </w:r>
      <w:r>
        <w:t xml:space="preserve"> </w:t>
      </w:r>
      <w:r>
        <w:t xml:space="preserve">examined using feedback-locked event-related potentials, behavioural sequence</w:t>
      </w:r>
      <w:r>
        <w:t xml:space="preserve"> </w:t>
      </w:r>
      <w:r>
        <w:t xml:space="preserve">models, and multimodal analyses with participant-generalizing validation. The</w:t>
      </w:r>
      <w:r>
        <w:t xml:space="preserve"> </w:t>
      </w:r>
      <w:r>
        <w:t xml:space="preserve">clearest neural difference was in the posterior P300. The parietal loss-minus-gain</w:t>
      </w:r>
      <w:r>
        <w:t xml:space="preserve"> </w:t>
      </w:r>
      <w:r>
        <w:t xml:space="preserve">contrast separated Morning and Evening groups with large effects (Pz Cohen’s d =</w:t>
      </w:r>
      <w:r>
        <w:t xml:space="preserve"> </w:t>
      </w:r>
      <w:r>
        <w:t xml:space="preserve">-1.04, FDR p = 0.034; POz d = -0.92, FDR p = 0.045), remained stable across</w:t>
      </w:r>
      <w:r>
        <w:t xml:space="preserve"> </w:t>
      </w:r>
      <w:r>
        <w:t xml:space="preserve">participant-exclusion analyses (d approximately -1.0, p &lt; 0.011 throughout), and</w:t>
      </w:r>
      <w:r>
        <w:t xml:space="preserve"> </w:t>
      </w:r>
      <w:r>
        <w:t xml:space="preserve">showed the same direction of association with continuous MEQ score. Behaviour carried</w:t>
      </w:r>
      <w:r>
        <w:t xml:space="preserve"> </w:t>
      </w:r>
      <w:r>
        <w:t xml:space="preserve">convergent information: out-of-fold scores from a causal GRU model of risky-choice</w:t>
      </w:r>
      <w:r>
        <w:t xml:space="preserve"> </w:t>
      </w:r>
      <w:r>
        <w:t xml:space="preserve">dynamics distinguished Morning and Evening participants without EEG (ROC AUC 0.713,</w:t>
      </w:r>
      <w:r>
        <w:t xml:space="preserve"> </w:t>
      </w:r>
      <w:r>
        <w:t xml:space="preserve">permutation p = 0.027). Out-of-fold scores that combined the behavioural embedding</w:t>
      </w:r>
      <w:r>
        <w:t xml:space="preserve"> </w:t>
      </w:r>
      <w:r>
        <w:t xml:space="preserve">with the validated ERP contrasts separated the groups more strongly (AUC 0.797, p =</w:t>
      </w:r>
      <w:r>
        <w:t xml:space="preserve"> </w:t>
      </w:r>
      <w:r>
        <w:t xml:space="preserve">0.004; bootstrap 95% CI [0.64, 0.92]) and tracked the continuous MEQ score (r =</w:t>
      </w:r>
      <w:r>
        <w:t xml:space="preserve"> </w:t>
      </w:r>
      <w:r>
        <w:t xml:space="preserve">0.34, p = 0.027), indicating that behavioural dynamics and feedback ERPs carry</w:t>
      </w:r>
      <w:r>
        <w:t xml:space="preserve"> </w:t>
      </w:r>
      <w:r>
        <w:t xml:space="preserve">partly independent, rather than diagnostic, information about chronotype. That the</w:t>
      </w:r>
      <w:r>
        <w:t xml:space="preserve"> </w:t>
      </w:r>
      <w:r>
        <w:t xml:space="preserve">same measures related to continuous MEQ score is consistent with a graded,</w:t>
      </w:r>
      <w:r>
        <w:t xml:space="preserve"> </w:t>
      </w:r>
      <w:r>
        <w:t xml:space="preserve">dimensional trait rather than a strict dichotomy. An asymmetric</w:t>
      </w:r>
      <w:r>
        <w:t xml:space="preserve"> </w:t>
      </w:r>
      <w:r>
        <w:t xml:space="preserve">reinforcement-learning analysis suggested possible differences in outcome-specific</w:t>
      </w:r>
      <w:r>
        <w:t xml:space="preserve"> </w:t>
      </w:r>
      <w:r>
        <w:t xml:space="preserve">learning and choice consistency, but these estimates were weak and did not survive</w:t>
      </w:r>
      <w:r>
        <w:t xml:space="preserve"> </w:t>
      </w:r>
      <w:r>
        <w:t xml:space="preserve">hierarchical partial pooling. Two boundary analyses constrained the</w:t>
      </w:r>
      <w:r>
        <w:t xml:space="preserve"> </w:t>
      </w:r>
      <w:r>
        <w:t xml:space="preserve">interpretation. EEGNet decoded feedback valence across participants (AUC 0.64) but</w:t>
      </w:r>
      <w:r>
        <w:t xml:space="preserve"> </w:t>
      </w:r>
      <w:r>
        <w:t xml:space="preserve">did not decode chronotype from learned EEG features, and single-trial P300 amplitude</w:t>
      </w:r>
      <w:r>
        <w:t xml:space="preserve"> </w:t>
      </w:r>
      <w:r>
        <w:t xml:space="preserve">did not predict the next risky choice differently by chronotype (d = -0.36, p =</w:t>
      </w:r>
      <w:r>
        <w:t xml:space="preserve"> </w:t>
      </w:r>
      <w:r>
        <w:t xml:space="preserve">0.22). These findings provide preliminary evidence that chronotype is reflected in</w:t>
      </w:r>
      <w:r>
        <w:t xml:space="preserve"> </w:t>
      </w:r>
      <w:r>
        <w:t xml:space="preserve">the neural evaluation of feedback, most clearly in the posterior P300, and that this</w:t>
      </w:r>
      <w:r>
        <w:t xml:space="preserve"> </w:t>
      </w:r>
      <w:r>
        <w:t xml:space="preserve">neural signature complements behavioural choice dynamics.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chronotype, P300, feedback processing, reinforcement learning,</w:t>
      </w:r>
      <w:r>
        <w:t xml:space="preserve"> </w:t>
      </w:r>
      <w:r>
        <w:t xml:space="preserve">risky decision-making, EEG, multimodal fusion, individual differences.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Chronotype captures stable individual differences in preferred timing of sleep,</w:t>
      </w:r>
      <w:r>
        <w:t xml:space="preserve"> </w:t>
      </w:r>
      <w:r>
        <w:t xml:space="preserve">activity, and alertness. It is commonly measured with the Morningness-Eveningness</w:t>
      </w:r>
      <w:r>
        <w:t xml:space="preserve"> </w:t>
      </w:r>
      <w:r>
        <w:t xml:space="preserve">Questionnaire and related instruments such as the Munich ChronoType Questionnaire</w:t>
      </w:r>
      <w:r>
        <w:t xml:space="preserve"> </w:t>
      </w:r>
      <w:r>
        <w:t xml:space="preserve">(Horne &amp; Ostberg, 1976; Roenneberg et al., 2003). Chronotype is not simply a</w:t>
      </w:r>
      <w:r>
        <w:t xml:space="preserve"> </w:t>
      </w:r>
      <w:r>
        <w:t xml:space="preserve">preference for going to bed early or late. It is linked to circadian physiology and</w:t>
      </w:r>
      <w:r>
        <w:t xml:space="preserve"> </w:t>
      </w:r>
      <w:r>
        <w:t xml:space="preserve">to differences in affect, cognition, and self-regulation (Adan et al., 2012).</w:t>
      </w:r>
      <w:r>
        <w:t xml:space="preserve"> </w:t>
      </w:r>
      <w:r>
        <w:t xml:space="preserve">Decision-making is one domain in which these differences may matter. Evening types</w:t>
      </w:r>
      <w:r>
        <w:t xml:space="preserve"> </w:t>
      </w:r>
      <w:r>
        <w:t xml:space="preserve">have been reported to show greater sensation seeking and reward sensitivity (Muro</w:t>
      </w:r>
      <w:r>
        <w:t xml:space="preserve"> </w:t>
      </w:r>
      <w:r>
        <w:t xml:space="preserve">et al., 2012), higher impulsivity (Adan et al., 2010; McGowan &amp; Coogan, 2018),</w:t>
      </w:r>
      <w:r>
        <w:t xml:space="preserve"> </w:t>
      </w:r>
      <w:r>
        <w:t xml:space="preserve">stronger approach-related tendencies (Randler et al., 2014), and higher risk-taking</w:t>
      </w:r>
      <w:r>
        <w:t xml:space="preserve"> </w:t>
      </w:r>
      <w:r>
        <w:t xml:space="preserve">(Killgore, 2007). Neuroimaging work has also linked eveningness to altered</w:t>
      </w:r>
      <w:r>
        <w:t xml:space="preserve"> </w:t>
      </w:r>
      <w:r>
        <w:t xml:space="preserve">reward-related brain responses (Hasler et al., 2013; Hasler &amp; Clark, 2013). What is</w:t>
      </w:r>
      <w:r>
        <w:t xml:space="preserve"> </w:t>
      </w:r>
      <w:r>
        <w:t xml:space="preserve">less clear is whether these behavioural and trait-level differences are visible in</w:t>
      </w:r>
      <w:r>
        <w:t xml:space="preserve"> </w:t>
      </w:r>
      <w:r>
        <w:t xml:space="preserve">the electrophysiology of feedback processing itself.</w:t>
      </w:r>
    </w:p>
    <w:p>
      <w:pPr>
        <w:pStyle w:val="BodyText"/>
      </w:pPr>
      <w:r>
        <w:t xml:space="preserve">Feedback during value-based decisions evokes several event-related potentials that</w:t>
      </w:r>
      <w:r>
        <w:t xml:space="preserve"> </w:t>
      </w:r>
      <w:r>
        <w:t xml:space="preserve">index different stages of outcome evaluation. The feedback-related negativity</w:t>
      </w:r>
      <w:r>
        <w:t xml:space="preserve"> </w:t>
      </w:r>
      <w:r>
        <w:t xml:space="preserve">(FRN), a frontocentral component peaking about 250-300 ms after feedback, is</w:t>
      </w:r>
      <w:r>
        <w:t xml:space="preserve"> </w:t>
      </w:r>
      <w:r>
        <w:t xml:space="preserve">sensitive to outcome valence and is often interpreted in relation to prediction</w:t>
      </w:r>
      <w:r>
        <w:t xml:space="preserve"> </w:t>
      </w:r>
      <w:r>
        <w:t xml:space="preserve">error signalling (Gehring &amp; Willoughby, 2002; Hajcak et al., 2007; Holroyd &amp; Coles,</w:t>
      </w:r>
      <w:r>
        <w:t xml:space="preserve"> </w:t>
      </w:r>
      <w:r>
        <w:t xml:space="preserve">2002; Miltner et al., 1997; Sambrook &amp; Goslin, 2015). Closely related work also</w:t>
      </w:r>
      <w:r>
        <w:t xml:space="preserve"> </w:t>
      </w:r>
      <w:r>
        <w:t xml:space="preserve">describes the reward positivity as the positive-going counterpart of this response</w:t>
      </w:r>
      <w:r>
        <w:t xml:space="preserve"> </w:t>
      </w:r>
      <w:r>
        <w:t xml:space="preserve">(Proudfit, 2015). The feedback P300 is later and more posterior. It varies with the</w:t>
      </w:r>
      <w:r>
        <w:t xml:space="preserve"> </w:t>
      </w:r>
      <w:r>
        <w:t xml:space="preserve">salience, significance, and attentional processing of outcomes (Polich, 2007; San</w:t>
      </w:r>
      <w:r>
        <w:t xml:space="preserve"> </w:t>
      </w:r>
      <w:r>
        <w:t xml:space="preserve">Martín, 2012; Wu &amp; Zhou, 2009; Yeung &amp; Sanfey, 2004). Together, these components</w:t>
      </w:r>
      <w:r>
        <w:t xml:space="preserve"> </w:t>
      </w:r>
      <w:r>
        <w:t xml:space="preserve">separate early feedback-valence processing from later salience-weighting (Walsh &amp;</w:t>
      </w:r>
      <w:r>
        <w:t xml:space="preserve"> </w:t>
      </w:r>
      <w:r>
        <w:t xml:space="preserve">Anderson, 2012). If chronotype is related to how gains and losses are evaluated,</w:t>
      </w:r>
      <w:r>
        <w:t xml:space="preserve"> </w:t>
      </w:r>
      <w:r>
        <w:t xml:space="preserve">the strongest evidence should appear in feedback-locked responses to outcome</w:t>
      </w:r>
      <w:r>
        <w:t xml:space="preserve"> </w:t>
      </w:r>
      <w:r>
        <w:t xml:space="preserve">valence, especially in the posterior P300.</w:t>
      </w:r>
    </w:p>
    <w:p>
      <w:pPr>
        <w:pStyle w:val="BodyText"/>
      </w:pPr>
      <w:r>
        <w:t xml:space="preserve">Testing this question is difficult in the sample sizes typical of ERP research.</w:t>
      </w:r>
      <w:r>
        <w:t xml:space="preserve"> </w:t>
      </w:r>
      <w:r>
        <w:t xml:space="preserve">Classical group comparisons can identify interpretable neural effects, but</w:t>
      </w:r>
      <w:r>
        <w:t xml:space="preserve"> </w:t>
      </w:r>
      <w:r>
        <w:t xml:space="preserve">multivariate models can overfit or leak information across train and test sets if</w:t>
      </w:r>
      <w:r>
        <w:t xml:space="preserve"> </w:t>
      </w:r>
      <w:r>
        <w:t xml:space="preserve">they are not evaluated carefully (Kriegeskorte et al., 2009; Varoquaux, 2018). A</w:t>
      </w:r>
      <w:r>
        <w:t xml:space="preserve"> </w:t>
      </w:r>
      <w:r>
        <w:t xml:space="preserve">useful account therefore needs two complementary parts. First, it should test a</w:t>
      </w:r>
      <w:r>
        <w:t xml:space="preserve"> </w:t>
      </w:r>
      <w:r>
        <w:t xml:space="preserve">clear ERP hypothesis with appropriate correction and robustness checks. Second, it</w:t>
      </w:r>
      <w:r>
        <w:t xml:space="preserve"> </w:t>
      </w:r>
      <w:r>
        <w:t xml:space="preserve">should ask whether behaviour carries related information about chronotype under</w:t>
      </w:r>
      <w:r>
        <w:t xml:space="preserve"> </w:t>
      </w:r>
      <w:r>
        <w:t xml:space="preserve">participant-generalizing validation. If the neural and behavioural measures add to</w:t>
      </w:r>
      <w:r>
        <w:t xml:space="preserve"> </w:t>
      </w:r>
      <w:r>
        <w:t xml:space="preserve">one another, they would suggest convergent but non-redundant expressions of the same</w:t>
      </w:r>
      <w:r>
        <w:t xml:space="preserve"> </w:t>
      </w:r>
      <w:r>
        <w:t xml:space="preserve">trait.</w:t>
      </w:r>
    </w:p>
    <w:p>
      <w:pPr>
        <w:pStyle w:val="BodyText"/>
      </w:pPr>
      <w:r>
        <w:t xml:space="preserve">The present study examined these questions in a single cohort performing a</w:t>
      </w:r>
      <w:r>
        <w:t xml:space="preserve"> </w:t>
      </w:r>
      <w:r>
        <w:t xml:space="preserve">feedback-based risky-choice task. We tested whether Morning and Evening chronotypes</w:t>
      </w:r>
      <w:r>
        <w:t xml:space="preserve"> </w:t>
      </w:r>
      <w:r>
        <w:t xml:space="preserve">differed in the posterior P300 response to loss versus gain feedback. We then asked</w:t>
      </w:r>
      <w:r>
        <w:t xml:space="preserve"> </w:t>
      </w:r>
      <w:r>
        <w:t xml:space="preserve">whether chronotype could be decoded from the dynamics of risky choice using a causal</w:t>
      </w:r>
      <w:r>
        <w:t xml:space="preserve"> </w:t>
      </w:r>
      <w:r>
        <w:t xml:space="preserve">recurrent model, and whether combining behavioural dynamics with validated ERP</w:t>
      </w:r>
      <w:r>
        <w:t xml:space="preserve"> </w:t>
      </w:r>
      <w:r>
        <w:t xml:space="preserve">features improved prediction beyond either source alone. Additional analyses tested</w:t>
      </w:r>
      <w:r>
        <w:t xml:space="preserve"> </w:t>
      </w:r>
      <w:r>
        <w:t xml:space="preserve">whether an interpretable reinforcement-learning model could explain the behavioural</w:t>
      </w:r>
      <w:r>
        <w:t xml:space="preserve"> </w:t>
      </w:r>
      <w:r>
        <w:t xml:space="preserve">difference, whether EEGNet could recover chronotype from single-trial EEG, and</w:t>
      </w:r>
      <w:r>
        <w:t xml:space="preserve"> </w:t>
      </w:r>
      <w:r>
        <w:t xml:space="preserve">whether trial-to-trial P300 variation predicted subsequent risky choice differently</w:t>
      </w:r>
      <w:r>
        <w:t xml:space="preserve"> </w:t>
      </w:r>
      <w:r>
        <w:t xml:space="preserve">by chronotype.</w:t>
      </w:r>
    </w:p>
    <w:bookmarkEnd w:id="10"/>
    <w:bookmarkStart w:id="23" w:name="methods"/>
    <w:p>
      <w:pPr>
        <w:pStyle w:val="Heading2"/>
      </w:pPr>
      <w:r>
        <w:t xml:space="preserve">2. Methods</w:t>
      </w:r>
    </w:p>
    <w:bookmarkStart w:id="11" w:name="participants"/>
    <w:p>
      <w:pPr>
        <w:pStyle w:val="Heading3"/>
      </w:pPr>
      <w:r>
        <w:t xml:space="preserve">2.1 Participants</w:t>
      </w:r>
    </w:p>
    <w:p>
      <w:pPr>
        <w:pStyle w:val="FirstParagraph"/>
      </w:pPr>
      <w:r>
        <w:t xml:space="preserve">Thirty-nine participants were analysed (19 Evening, 20 Morning chronotype).</w:t>
      </w:r>
    </w:p>
    <w:bookmarkEnd w:id="11"/>
    <w:bookmarkStart w:id="12" w:name="sample-and-statistical-power"/>
    <w:p>
      <w:pPr>
        <w:pStyle w:val="Heading3"/>
      </w:pPr>
      <w:r>
        <w:t xml:space="preserve">2.2 Sample and statistical power</w:t>
      </w:r>
    </w:p>
    <w:p>
      <w:pPr>
        <w:pStyle w:val="FirstParagraph"/>
      </w:pPr>
      <w:r>
        <w:t xml:space="preserve">With 19 Evening and 20 Morning participants, a two-group comparison has 80% power</w:t>
      </w:r>
      <w:r>
        <w:t xml:space="preserve"> </w:t>
      </w:r>
      <w:r>
        <w:t xml:space="preserve">at alpha = 0.05 only for large effects, approximately Cohen’s d = 0.90 by normal</w:t>
      </w:r>
      <w:r>
        <w:t xml:space="preserve"> </w:t>
      </w:r>
      <w:r>
        <w:t xml:space="preserve">approximation. Power is therefore adequate for the observed posterior P300 effect</w:t>
      </w:r>
      <w:r>
        <w:t xml:space="preserve"> </w:t>
      </w:r>
      <w:r>
        <w:t xml:space="preserve">(d approximately 1.0), but low for medium effects (about 0.35 for d = 0.5). Null or</w:t>
      </w:r>
      <w:r>
        <w:t xml:space="preserve"> </w:t>
      </w:r>
      <w:r>
        <w:t xml:space="preserve">weak results for medium-sized contrasts should be interpreted as inconclusive.</w:t>
      </w:r>
    </w:p>
    <w:bookmarkEnd w:id="12"/>
    <w:bookmarkStart w:id="13" w:name="task-and-eeg-acquisition"/>
    <w:p>
      <w:pPr>
        <w:pStyle w:val="Heading3"/>
      </w:pPr>
      <w:r>
        <w:t xml:space="preserve">2.3 Task and EEG acquisition</w:t>
      </w:r>
    </w:p>
    <w:p>
      <w:pPr>
        <w:pStyle w:val="FirstParagraph"/>
      </w:pPr>
      <w:r>
        <w:t xml:space="preserve">Participants completed a risky decision-making task with trial-by-trial feedback.</w:t>
      </w:r>
      <w:r>
        <w:t xml:space="preserve"> </w:t>
      </w:r>
      <w:r>
        <w:t xml:space="preserve">On each trial two boxes were shown, each displaying an absolute magnitude; the sign</w:t>
      </w:r>
      <w:r>
        <w:t xml:space="preserve"> </w:t>
      </w:r>
      <w:r>
        <w:t xml:space="preserve">(gain or loss) of each box was hidden at the moment of choice and revealed only as</w:t>
      </w:r>
      <w:r>
        <w:t xml:space="preserve"> </w:t>
      </w:r>
      <w:r>
        <w:t xml:space="preserve">feedback. On free trials the two boxes differed in magnitude, so choosing the</w:t>
      </w:r>
      <w:r>
        <w:t xml:space="preserve"> </w:t>
      </w:r>
      <w:r>
        <w:t xml:space="preserve">higher-magnitude box constituted the risky choice (a larger potential gain but also</w:t>
      </w:r>
      <w:r>
        <w:t xml:space="preserve"> </w:t>
      </w:r>
      <w:r>
        <w:t xml:space="preserve">a larger potential loss), whereas choosing the lower-magnitude box was the safe</w:t>
      </w:r>
      <w:r>
        <w:t xml:space="preserve"> </w:t>
      </w:r>
      <w:r>
        <w:t xml:space="preserve">choice. Feedback was then coded by the valence of the chosen box (gain if its</w:t>
      </w:r>
      <w:r>
        <w:t xml:space="preserve"> </w:t>
      </w:r>
      <w:r>
        <w:t xml:space="preserve">revealed sign was positive, loss if negative) and by correctness (whether the box</w:t>
      </w:r>
      <w:r>
        <w:t xml:space="preserve"> </w:t>
      </w:r>
      <w:r>
        <w:t xml:space="preserve">with the higher revealed signed value had been chosen), producing four feedback</w:t>
      </w:r>
      <w:r>
        <w:t xml:space="preserve"> </w:t>
      </w:r>
      <w:r>
        <w:t xml:space="preserve">conditions: Gain-Correct, Gain-Error, Loss-Correct, and Loss-Error. Valence</w:t>
      </w:r>
      <w:r>
        <w:t xml:space="preserve"> </w:t>
      </w:r>
      <w:r>
        <w:t xml:space="preserve">(gain vs loss) therefore indexes the affective outcome of the choice, and</w:t>
      </w:r>
      <w:r>
        <w:t xml:space="preserve"> </w:t>
      </w:r>
      <w:r>
        <w:t xml:space="preserve">correctness indexes whether that choice was, in hindsight, the better of the two</w:t>
      </w:r>
      <w:r>
        <w:t xml:space="preserve"> </w:t>
      </w:r>
      <w:r>
        <w:t xml:space="preserve">options. EEG was recorded during the task, and feedback-locked</w:t>
      </w:r>
      <w:r>
        <w:t xml:space="preserve"> </w:t>
      </w:r>
      <w:r>
        <w:t xml:space="preserve">single-trial amplitudes were exported by channel and time window. EEG acquisition,</w:t>
      </w:r>
      <w:r>
        <w:t xml:space="preserve"> </w:t>
      </w:r>
      <w:r>
        <w:t xml:space="preserve">preprocessing, and ERP measurement follow the reporting recommendations of Keil et</w:t>
      </w:r>
      <w:r>
        <w:t xml:space="preserve"> </w:t>
      </w:r>
      <w:r>
        <w:t xml:space="preserve">al. (2014).</w:t>
      </w:r>
    </w:p>
    <w:bookmarkEnd w:id="13"/>
    <w:bookmarkStart w:id="14" w:name="chronotype-labels-and-data-linkage"/>
    <w:p>
      <w:pPr>
        <w:pStyle w:val="Heading3"/>
      </w:pPr>
      <w:r>
        <w:t xml:space="preserve">2.4 Chronotype labels and data linkage</w:t>
      </w:r>
    </w:p>
    <w:p>
      <w:pPr>
        <w:pStyle w:val="FirstParagraph"/>
      </w:pPr>
      <w:r>
        <w:t xml:space="preserve">Primary chronotype labels were Morning and Evening categories from study metadata.</w:t>
      </w:r>
      <w:r>
        <w:t xml:space="preserve"> </w:t>
      </w:r>
      <w:r>
        <w:t xml:space="preserve">The metadata workbooks did not contain the same explicit participant identifier as</w:t>
      </w:r>
      <w:r>
        <w:t xml:space="preserve"> </w:t>
      </w:r>
      <w:r>
        <w:t xml:space="preserve">the behavioural files, so metadata rows were linked to behavioural UserIDs by an</w:t>
      </w:r>
      <w:r>
        <w:t xml:space="preserve"> </w:t>
      </w:r>
      <w:r>
        <w:t xml:space="preserve">optimal one-to-one assignment based on standardized previous-feedback behavioural</w:t>
      </w:r>
      <w:r>
        <w:t xml:space="preserve"> </w:t>
      </w:r>
      <w:r>
        <w:t xml:space="preserve">aggregates. The assignment was unambiguous: the smallest assignment margin was</w:t>
      </w:r>
      <w:r>
        <w:t xml:space="preserve"> </w:t>
      </w:r>
      <w:r>
        <w:t xml:space="preserve">0.157, much larger than typical match distances (approximately 0.013).</w:t>
      </w:r>
    </w:p>
    <w:p>
      <w:pPr>
        <w:pStyle w:val="BodyText"/>
      </w:pPr>
      <w:r>
        <w:t xml:space="preserve">Two independent metadata sources agreed on the chronotype label for every</w:t>
      </w:r>
      <w:r>
        <w:t xml:space="preserve"> </w:t>
      </w:r>
      <w:r>
        <w:t xml:space="preserve">participant. The chronotype column in the raw behavioural trials disagreed for two</w:t>
      </w:r>
      <w:r>
        <w:t xml:space="preserve"> </w:t>
      </w:r>
      <w:r>
        <w:t xml:space="preserve">participants (1027 and 1036), but both cases were resolved by the continuous MEQ</w:t>
      </w:r>
      <w:r>
        <w:t xml:space="preserve"> </w:t>
      </w:r>
      <w:r>
        <w:t xml:space="preserve">score. MEQ scores were strongly separated by the binary labels in the expected</w:t>
      </w:r>
      <w:r>
        <w:t xml:space="preserve"> </w:t>
      </w:r>
      <w:r>
        <w:t xml:space="preserve">Horne-Ostberg direction (Evening mean 37.3; Morning mean 57.7; Horne &amp; Ostberg,</w:t>
      </w:r>
      <w:r>
        <w:t xml:space="preserve"> </w:t>
      </w:r>
      <w:r>
        <w:t xml:space="preserve">1976; Roenneberg et al., 2007; Wittmann et al., 2006). All 26 participants outside</w:t>
      </w:r>
      <w:r>
        <w:t xml:space="preserve"> </w:t>
      </w:r>
      <w:r>
        <w:t xml:space="preserve">the intermediate MEQ band (42-58) were consistent with their binary label. The two</w:t>
      </w:r>
      <w:r>
        <w:t xml:space="preserve"> </w:t>
      </w:r>
      <w:r>
        <w:t xml:space="preserve">raw-behaviour conflict cases had decisive MEQ scores supporting the primary label</w:t>
      </w:r>
      <w:r>
        <w:t xml:space="preserve"> </w:t>
      </w:r>
      <w:r>
        <w:t xml:space="preserve">(1027 MEQ = 61, Morning; 1036 MEQ = 27, Evening). Twelve participants fell in the</w:t>
      </w:r>
      <w:r>
        <w:t xml:space="preserve"> </w:t>
      </w:r>
      <w:r>
        <w:t xml:space="preserve">intermediate range, where a binary classification is less sharp.</w:t>
      </w:r>
    </w:p>
    <w:bookmarkEnd w:id="14"/>
    <w:bookmarkStart w:id="15" w:name="feature-engineering"/>
    <w:p>
      <w:pPr>
        <w:pStyle w:val="Heading3"/>
      </w:pPr>
      <w:r>
        <w:t xml:space="preserve">2.5 Feature engineering</w:t>
      </w:r>
    </w:p>
    <w:p>
      <w:pPr>
        <w:pStyle w:val="FirstParagraph"/>
      </w:pPr>
      <w:r>
        <w:t xml:space="preserve">Behavioural trials were aligned to the EEG single-trial exports by participant and</w:t>
      </w:r>
      <w:r>
        <w:t xml:space="preserve"> </w:t>
      </w:r>
      <w:r>
        <w:t xml:space="preserve">trial index. Participant-level analyses used one row per participant. The compact</w:t>
      </w:r>
      <w:r>
        <w:t xml:space="preserve"> </w:t>
      </w:r>
      <w:r>
        <w:t xml:space="preserve">feature set contained 12 theory-driven predictors: behavioural adaptation measures</w:t>
      </w:r>
      <w:r>
        <w:t xml:space="preserve"> </w:t>
      </w:r>
      <w:r>
        <w:t xml:space="preserve">(post-error slowing, RT slope, late-minus-early change in risky choice, and</w:t>
      </w:r>
      <w:r>
        <w:t xml:space="preserve"> </w:t>
      </w:r>
      <w:r>
        <w:t xml:space="preserve">condition-specific risky-choice rates) and feedback-locked ERP contrasts</w:t>
      </w:r>
      <w:r>
        <w:t xml:space="preserve"> </w:t>
      </w:r>
      <w:r>
        <w:t xml:space="preserve">(frontocentral FRN error-vs-correct and loss-vs-gain contrasts, plus</w:t>
      </w:r>
      <w:r>
        <w:t xml:space="preserve"> </w:t>
      </w:r>
      <w:r>
        <w:t xml:space="preserve">parietal/posterior P300 loss-vs-gain and error-vs-correct contrasts). Behavioural</w:t>
      </w:r>
      <w:r>
        <w:t xml:space="preserve"> </w:t>
      </w:r>
      <w:r>
        <w:t xml:space="preserve">adaptation features used information from previous feedback. ERP contrasts used the</w:t>
      </w:r>
      <w:r>
        <w:t xml:space="preserve"> </w:t>
      </w:r>
      <w:r>
        <w:t xml:space="preserve">current trial’s feedback condition.</w:t>
      </w:r>
    </w:p>
    <w:p>
      <w:pPr>
        <w:pStyle w:val="BodyText"/>
      </w:pPr>
      <w:r>
        <w:t xml:space="preserve">For the secondary trial-level risky-choice analysis, predictors were limited to</w:t>
      </w:r>
      <w:r>
        <w:t xml:space="preserve"> </w:t>
      </w:r>
      <w:r>
        <w:t xml:space="preserve">pre-choice values, previous-trial information, and rolling choice history. Same-</w:t>
      </w:r>
      <w:r>
        <w:t xml:space="preserve"> </w:t>
      </w:r>
      <w:r>
        <w:t xml:space="preserve">trial outcome, correctness, score, feedback, and feedback-locked EEG were excluded</w:t>
      </w:r>
      <w:r>
        <w:t xml:space="preserve"> </w:t>
      </w:r>
      <w:r>
        <w:t xml:space="preserve">from these models.</w:t>
      </w:r>
    </w:p>
    <w:bookmarkEnd w:id="15"/>
    <w:bookmarkStart w:id="16" w:name="statistical-analysis"/>
    <w:p>
      <w:pPr>
        <w:pStyle w:val="Heading3"/>
      </w:pPr>
      <w:r>
        <w:t xml:space="preserve">2.6 Statistical analysis</w:t>
      </w:r>
    </w:p>
    <w:p>
      <w:pPr>
        <w:pStyle w:val="FirstParagraph"/>
      </w:pPr>
      <w:r>
        <w:t xml:space="preserve">For each theory-driven feature, Morning and Evening groups were compared with</w:t>
      </w:r>
      <w:r>
        <w:t xml:space="preserve"> </w:t>
      </w:r>
      <w:r>
        <w:t xml:space="preserve">Welch’s t-test and the Mann-Whitney U test. Effect sizes are reported as Cohen’s d</w:t>
      </w:r>
      <w:r>
        <w:t xml:space="preserve"> </w:t>
      </w:r>
      <w:r>
        <w:t xml:space="preserve">with percentile-bootstrap 95% confidence intervals (10,000 resamples), and also as</w:t>
      </w:r>
      <w:r>
        <w:t xml:space="preserve"> </w:t>
      </w:r>
      <w:r>
        <w:t xml:space="preserve">Hedges g. P-values were corrected across the theory-driven feature family using the</w:t>
      </w:r>
      <w:r>
        <w:t xml:space="preserve"> </w:t>
      </w:r>
      <w:r>
        <w:t xml:space="preserve">Benjamini-Hochberg false discovery rate procedure (Benjamini &amp; Hochberg, 1995). For</w:t>
      </w:r>
      <w:r>
        <w:t xml:space="preserve"> </w:t>
      </w:r>
      <w:r>
        <w:t xml:space="preserve">planned null or near-null findings, we also report JZS Bayes factors (Rouder et al.,</w:t>
      </w:r>
      <w:r>
        <w:t xml:space="preserve"> </w:t>
      </w:r>
      <w:r>
        <w:t xml:space="preserve">2009) and two one-sided equivalence tests (Lakens, 2017).</w:t>
      </w:r>
    </w:p>
    <w:p>
      <w:pPr>
        <w:pStyle w:val="BodyText"/>
      </w:pPr>
      <w:r>
        <w:t xml:space="preserve">Participant-level chronotype classification used the 12-feature compact set. All</w:t>
      </w:r>
      <w:r>
        <w:t xml:space="preserve"> </w:t>
      </w:r>
      <w:r>
        <w:t xml:space="preserve">preprocessing was performed inside the cross-validation folds, including imputation,</w:t>
      </w:r>
      <w:r>
        <w:t xml:space="preserve"> </w:t>
      </w:r>
      <w:r>
        <w:t xml:space="preserve">standardization, and categorical encoding, to avoid preprocessing leakage</w:t>
      </w:r>
      <w:r>
        <w:t xml:space="preserve"> </w:t>
      </w:r>
      <w:r>
        <w:t xml:space="preserve">(Kriegeskorte et al., 2009; Varoquaux, 2018). Five classifiers were compared on the</w:t>
      </w:r>
      <w:r>
        <w:t xml:space="preserve"> </w:t>
      </w:r>
      <w:r>
        <w:t xml:space="preserve">same folds: L2- and L1-regularized logistic regression, random forest, RBF-kernel</w:t>
      </w:r>
      <w:r>
        <w:t xml:space="preserve"> </w:t>
      </w:r>
      <w:r>
        <w:t xml:space="preserve">support vector machine, and histogram gradient boosting. The primary model was</w:t>
      </w:r>
      <w:r>
        <w:t xml:space="preserve"> </w:t>
      </w:r>
      <w:r>
        <w:t xml:space="preserve">pre-specified as L2 logistic regression. Generalization was estimated with repeated</w:t>
      </w:r>
      <w:r>
        <w:t xml:space="preserve"> </w:t>
      </w:r>
      <w:r>
        <w:t xml:space="preserve">nested cross-validation. The outer loop was a repeated stratified 5-fold split with</w:t>
      </w:r>
      <w:r>
        <w:t xml:space="preserve"> </w:t>
      </w:r>
      <w:r>
        <w:t xml:space="preserve">10 repeats; the inner loop was a stratified 3-fold grid search. Balanced accuracy</w:t>
      </w:r>
      <w:r>
        <w:t xml:space="preserve"> </w:t>
      </w:r>
      <w:r>
        <w:t xml:space="preserve">was the primary metric, and class imbalance was handled by class weighting. The</w:t>
      </w:r>
      <w:r>
        <w:t xml:space="preserve"> </w:t>
      </w:r>
      <w:r>
        <w:t xml:space="preserve">primary model was also tested against a label-permutation null in which the full</w:t>
      </w:r>
      <w:r>
        <w:t xml:space="preserve"> </w:t>
      </w:r>
      <w:r>
        <w:t xml:space="preserve">nested pipeline was re-fit for each of 200 permutations (Combrisson &amp; Jerbi, 2015;</w:t>
      </w:r>
      <w:r>
        <w:t xml:space="preserve"> </w:t>
      </w:r>
      <w:r>
        <w:t xml:space="preserve">Poldrack et al., 2020). Model interpretation used standardized coefficients from a</w:t>
      </w:r>
      <w:r>
        <w:t xml:space="preserve"> </w:t>
      </w:r>
      <w:r>
        <w:t xml:space="preserve">full-sample refit and held-out permutation importance.</w:t>
      </w:r>
    </w:p>
    <w:p>
      <w:pPr>
        <w:pStyle w:val="BodyText"/>
      </w:pPr>
      <w:r>
        <w:t xml:space="preserve">To avoid selecting a favourable feature set after the fact, five pre-specified</w:t>
      </w:r>
      <w:r>
        <w:t xml:space="preserve"> </w:t>
      </w:r>
      <w:r>
        <w:t xml:space="preserve">literature feature packs were permutation-tested as a family with FDR correction.</w:t>
      </w:r>
      <w:r>
        <w:t xml:space="preserve"> </w:t>
      </w:r>
      <w:r>
        <w:t xml:space="preserve">Higher-dimensional models with 47-171 features were retained as exploratory because</w:t>
      </w:r>
      <w:r>
        <w:t xml:space="preserve"> </w:t>
      </w:r>
      <w:r>
        <w:t xml:space="preserve">the feature-to-sample ratio was high. Trial-level risky choice was evaluated with</w:t>
      </w:r>
      <w:r>
        <w:t xml:space="preserve"> </w:t>
      </w:r>
      <w:r>
        <w:t xml:space="preserve">participant-grouped cross-validation and compared with majority-class,</w:t>
      </w:r>
      <w:r>
        <w:t xml:space="preserve"> </w:t>
      </w:r>
      <w:r>
        <w:t xml:space="preserve">previous-choice-persistence, and participant-mean-oracle baselines. Sensitivity</w:t>
      </w:r>
      <w:r>
        <w:t xml:space="preserve"> </w:t>
      </w:r>
      <w:r>
        <w:t xml:space="preserve">analyses repeated the primary and secondary chronotype analyses after excluding</w:t>
      </w:r>
      <w:r>
        <w:t xml:space="preserve"> </w:t>
      </w:r>
      <w:r>
        <w:t xml:space="preserve">participant 1013, the two label-conflict participants (1027 and 1036), and all three</w:t>
      </w:r>
      <w:r>
        <w:t xml:space="preserve"> </w:t>
      </w:r>
      <w:r>
        <w:t xml:space="preserve">flagged participants.</w:t>
      </w:r>
    </w:p>
    <w:bookmarkEnd w:id="16"/>
    <w:bookmarkStart w:id="17" w:name="X7b94aa242a055d9aad13955f3cd1d1dcfd2ec65"/>
    <w:p>
      <w:pPr>
        <w:pStyle w:val="Heading3"/>
      </w:pPr>
      <w:r>
        <w:t xml:space="preserve">2.7 Recurrent sequence model of choice dynamics (GRU)</w:t>
      </w:r>
    </w:p>
    <w:p>
      <w:pPr>
        <w:pStyle w:val="FirstParagraph"/>
      </w:pPr>
      <w:r>
        <w:t xml:space="preserve">Choice dynamics were modelled with a causal single-layer gated recurrent unit (GRU;</w:t>
      </w:r>
      <w:r>
        <w:t xml:space="preserve"> </w:t>
      </w:r>
      <w:r>
        <w:t xml:space="preserve">Cho et al., 2014). The model predicted trial-level risky choice from the current</w:t>
      </w:r>
      <w:r>
        <w:t xml:space="preserve"> </w:t>
      </w:r>
      <w:r>
        <w:t xml:space="preserve">pre-choice context and the previous trial’s outcome. Rolling-history variables were</w:t>
      </w:r>
      <w:r>
        <w:t xml:space="preserve"> </w:t>
      </w:r>
      <w:r>
        <w:t xml:space="preserve">not supplied, so temporal structure had to be learned from the sequence. The model</w:t>
      </w:r>
      <w:r>
        <w:t xml:space="preserve"> </w:t>
      </w:r>
      <w:r>
        <w:t xml:space="preserve">used 20 input features, a hidden size of 64, binary cross-entropy loss over valid</w:t>
      </w:r>
      <w:r>
        <w:t xml:space="preserve"> </w:t>
      </w:r>
      <w:r>
        <w:t xml:space="preserve">time steps, Adam optimization (lr = 3×10⁻³), 40 epochs, and seed 0. Evaluation used</w:t>
      </w:r>
      <w:r>
        <w:t xml:space="preserve"> </w:t>
      </w:r>
      <w:r>
        <w:t xml:space="preserve">5-fold participant-grouped cross-validation with feature standardization estimated</w:t>
      </w:r>
      <w:r>
        <w:t xml:space="preserve"> </w:t>
      </w:r>
      <w:r>
        <w:t xml:space="preserve">from training participants only. For each held-out participant, the trial-wise</w:t>
      </w:r>
      <w:r>
        <w:t xml:space="preserve"> </w:t>
      </w:r>
      <w:r>
        <w:t xml:space="preserve">hidden states were averaged to produce a 64-dimensional behavioural embedding for</w:t>
      </w:r>
      <w:r>
        <w:t xml:space="preserve"> </w:t>
      </w:r>
      <w:r>
        <w:t xml:space="preserve">chronotype prediction.</w:t>
      </w:r>
    </w:p>
    <w:bookmarkEnd w:id="17"/>
    <w:bookmarkStart w:id="18" w:name="asymmetric-reinforcement-learning-model"/>
    <w:p>
      <w:pPr>
        <w:pStyle w:val="Heading3"/>
      </w:pPr>
      <w:r>
        <w:t xml:space="preserve">2.8 Asymmetric reinforcement-learning model</w:t>
      </w:r>
    </w:p>
    <w:p>
      <w:pPr>
        <w:pStyle w:val="FirstParagraph"/>
      </w:pPr>
      <w:r>
        <w:t xml:space="preserve">To obtain interpretable parameters, we fit an asymmetric reward-learning model to</w:t>
      </w:r>
      <w:r>
        <w:t xml:space="preserve"> </w:t>
      </w:r>
      <w:r>
        <w:t xml:space="preserve">each participant’s free choices. Because the sign of each box was hidden and random,</w:t>
      </w:r>
      <w:r>
        <w:t xml:space="preserve"> </w:t>
      </w:r>
      <w:r>
        <w:t xml:space="preserve">the model represented outcome-driven changes in risk preference rather than</w:t>
      </w:r>
      <w:r>
        <w:t xml:space="preserve"> </w:t>
      </w:r>
      <w:r>
        <w:t xml:space="preserve">learning about stable stimulus values. The model included safe and risky action</w:t>
      </w:r>
      <w:r>
        <w:t xml:space="preserve"> </w:t>
      </w:r>
      <w:r>
        <w:t xml:space="preserve">values, a logistic choice rule, separate learning rates for gains and losses, an</w:t>
      </w:r>
      <w:r>
        <w:t xml:space="preserve"> </w:t>
      </w:r>
      <w:r>
        <w:t xml:space="preserve">inverse-temperature parameter, and a choice bias. The outcome was the signed chosen</w:t>
      </w:r>
      <w:r>
        <w:t xml:space="preserve"> </w:t>
      </w:r>
      <w:r>
        <w:t xml:space="preserve">value scaled to [-1, 1]. This specification follows standard reinforcement-learning</w:t>
      </w:r>
      <w:r>
        <w:t xml:space="preserve"> </w:t>
      </w:r>
      <w:r>
        <w:t xml:space="preserve">logic (Sutton &amp; Barto, 2018) and allows valence-asymmetric learning (Frank et al.,</w:t>
      </w:r>
      <w:r>
        <w:t xml:space="preserve"> </w:t>
      </w:r>
      <w:r>
        <w:t xml:space="preserve">2007; Gershman, 2015; Lefebvre et al., 2017). Participant-level parameters were fit</w:t>
      </w:r>
      <w:r>
        <w:t xml:space="preserve"> </w:t>
      </w:r>
      <w:r>
        <w:t xml:space="preserve">by maximum likelihood with L-BFGS-B and eight restarts (Daw, 2011). As a robustness</w:t>
      </w:r>
      <w:r>
        <w:t xml:space="preserve"> </w:t>
      </w:r>
      <w:r>
        <w:t xml:space="preserve">check, the same model was refit with Bayesian hierarchical partial pooling and a</w:t>
      </w:r>
      <w:r>
        <w:t xml:space="preserve"> </w:t>
      </w:r>
      <w:r>
        <w:t xml:space="preserve">chronotype group offset on each parameter (Ahn et al., 2017).</w:t>
      </w:r>
    </w:p>
    <w:bookmarkEnd w:id="18"/>
    <w:bookmarkStart w:id="19" w:name="eeg-deep-learning-eegnet"/>
    <w:p>
      <w:pPr>
        <w:pStyle w:val="Heading3"/>
      </w:pPr>
      <w:r>
        <w:t xml:space="preserve">2.9 EEG deep learning (EEGNet)</w:t>
      </w:r>
    </w:p>
    <w:p>
      <w:pPr>
        <w:pStyle w:val="FirstParagraph"/>
      </w:pPr>
      <w:r>
        <w:t xml:space="preserve">EEGNet (Lawhern et al., 2018) was used as a compact convolutional model for</w:t>
      </w:r>
      <w:r>
        <w:t xml:space="preserve"> </w:t>
      </w:r>
      <w:r>
        <w:t xml:space="preserve">single-trial EEG decoding (Roy et al., 2019; Schirrmeister et al., 2017). The model</w:t>
      </w:r>
      <w:r>
        <w:t xml:space="preserve"> </w:t>
      </w:r>
      <w:r>
        <w:t xml:space="preserve">was applied to cleaned feedback-locked epochs with 64 channels and 251 time points.</w:t>
      </w:r>
      <w:r>
        <w:t xml:space="preserve"> </w:t>
      </w:r>
      <w:r>
        <w:t xml:space="preserve">It was trained across participants to decode feedback valence (loss vs gain), which</w:t>
      </w:r>
      <w:r>
        <w:t xml:space="preserve"> </w:t>
      </w:r>
      <w:r>
        <w:t xml:space="preserve">served as a chronotype-independent positive control. Cross-validation was grouped by</w:t>
      </w:r>
      <w:r>
        <w:t xml:space="preserve"> </w:t>
      </w:r>
      <w:r>
        <w:t xml:space="preserve">participant. Per-channel z-scoring used training-fold statistics only. Penultimate</w:t>
      </w:r>
      <w:r>
        <w:t xml:space="preserve"> </w:t>
      </w:r>
      <w:r>
        <w:t xml:space="preserve">layer features were then aggregated within participant, using both the mean feature</w:t>
      </w:r>
      <w:r>
        <w:t xml:space="preserve"> </w:t>
      </w:r>
      <w:r>
        <w:t xml:space="preserve">vector and a loss-minus-gain contrast, to form learned EEG embeddings for chronotype</w:t>
      </w:r>
      <w:r>
        <w:t xml:space="preserve"> </w:t>
      </w:r>
      <w:r>
        <w:t xml:space="preserve">prediction.</w:t>
      </w:r>
    </w:p>
    <w:bookmarkEnd w:id="19"/>
    <w:bookmarkStart w:id="20" w:name="X2d4bdfa2171048e0007ac2a6b49fed1c37feadc"/>
    <w:p>
      <w:pPr>
        <w:pStyle w:val="Heading3"/>
      </w:pPr>
      <w:r>
        <w:t xml:space="preserve">2.10 Chronotype-decoding evaluator, fusion, and continuous-MEQ prediction</w:t>
      </w:r>
    </w:p>
    <w:p>
      <w:pPr>
        <w:pStyle w:val="FirstParagraph"/>
      </w:pPr>
      <w:r>
        <w:t xml:space="preserve">Behavioural, EEG, reinforcement-learning, and fused embeddings were evaluated with</w:t>
      </w:r>
      <w:r>
        <w:t xml:space="preserve"> </w:t>
      </w:r>
      <w:r>
        <w:t xml:space="preserve">the same chronotype-decoding procedure. The classifier used standardization, PCA,</w:t>
      </w:r>
      <w:r>
        <w:t xml:space="preserve"> </w:t>
      </w:r>
      <w:r>
        <w:t xml:space="preserve">and L2 logistic regression within nested cross-validation. The outer loop was</w:t>
      </w:r>
      <w:r>
        <w:t xml:space="preserve"> </w:t>
      </w:r>
      <w:r>
        <w:t xml:space="preserve">leave-one-participant-out; the inner loop selected PCA dimensionality and logistic</w:t>
      </w:r>
      <w:r>
        <w:t xml:space="preserve"> </w:t>
      </w:r>
      <w:r>
        <w:t xml:space="preserve">regularization. This produced one out-of-fold chronotype score per participant. For</w:t>
      </w:r>
      <w:r>
        <w:t xml:space="preserve"> </w:t>
      </w:r>
      <w:r>
        <w:t xml:space="preserve">inference, the full nested procedure was repeated for 1000 label permutations.</w:t>
      </w:r>
      <w:r>
        <w:t xml:space="preserve"> </w:t>
      </w:r>
      <w:r>
        <w:t xml:space="preserve">Out-of-fold scores were also correlated with continuous MEQ score.</w:t>
      </w:r>
    </w:p>
    <w:p>
      <w:pPr>
        <w:pStyle w:val="BodyText"/>
      </w:pPr>
      <w:r>
        <w:t xml:space="preserve">The main fusion analysis concatenated the GRU behavioural embedding with the six</w:t>
      </w:r>
      <w:r>
        <w:t xml:space="preserve"> </w:t>
      </w:r>
      <w:r>
        <w:t xml:space="preserve">validated ERP contrast features. Behaviour-only and ERP-only models were evaluated</w:t>
      </w:r>
      <w:r>
        <w:t xml:space="preserve"> </w:t>
      </w:r>
      <w:r>
        <w:t xml:space="preserve">with the same procedure. Continuous MEQ was also predicted directly with nested</w:t>
      </w:r>
      <w:r>
        <w:t xml:space="preserve"> </w:t>
      </w:r>
      <w:r>
        <w:t xml:space="preserve">leave-one-out Ridge regression, using predicted-versus-observed Pearson r and a</w:t>
      </w:r>
      <w:r>
        <w:t xml:space="preserve"> </w:t>
      </w:r>
      <w:r>
        <w:t xml:space="preserve">1000-permutation test. Robustness of the fused model was assessed with a</w:t>
      </w:r>
      <w:r>
        <w:t xml:space="preserve"> </w:t>
      </w:r>
      <w:r>
        <w:t xml:space="preserve">participant-level bootstrap confidence interval, pre-defined participant exclusions,</w:t>
      </w:r>
      <w:r>
        <w:t xml:space="preserve"> </w:t>
      </w:r>
      <w:r>
        <w:t xml:space="preserve">and leave-one-subject-out influence analysis.</w:t>
      </w:r>
    </w:p>
    <w:bookmarkEnd w:id="20"/>
    <w:bookmarkStart w:id="21" w:name="single-trial-p300-next-choice-coupling"/>
    <w:p>
      <w:pPr>
        <w:pStyle w:val="Heading3"/>
      </w:pPr>
      <w:r>
        <w:t xml:space="preserve">2.11 Single-trial P300 → next-choice coupling</w:t>
      </w:r>
    </w:p>
    <w:p>
      <w:pPr>
        <w:pStyle w:val="FirstParagraph"/>
      </w:pPr>
      <w:r>
        <w:t xml:space="preserve">The single-trial coupling analysis tested whether feedback P300 on one trial was</w:t>
      </w:r>
      <w:r>
        <w:t xml:space="preserve"> </w:t>
      </w:r>
      <w:r>
        <w:t xml:space="preserve">related to the next risky choice, and whether this relationship differed by</w:t>
      </w:r>
      <w:r>
        <w:t xml:space="preserve"> </w:t>
      </w:r>
      <w:r>
        <w:t xml:space="preserve">chronotype. Each trial was paired with the following trial. The P300 at trial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therefore occurred after the current choice but before the next choice. For each</w:t>
      </w:r>
      <w:r>
        <w:t xml:space="preserve"> </w:t>
      </w:r>
      <w:r>
        <w:t xml:space="preserve">participant, we estimated a logistic slope predicting next-trial risky choice from</w:t>
      </w:r>
      <w:r>
        <w:t xml:space="preserve"> </w:t>
      </w:r>
      <w:r>
        <w:t xml:space="preserve">within-participant z-scored trial-</w:t>
      </w:r>
      <w:r>
        <w:rPr>
          <w:i/>
          <w:iCs/>
        </w:rPr>
        <w:t xml:space="preserve">t</w:t>
      </w:r>
      <w:r>
        <w:t xml:space="preserve"> </w:t>
      </w:r>
      <w:r>
        <w:t xml:space="preserve">P300. We tested both an overall P300 slope and</w:t>
      </w:r>
      <w:r>
        <w:t xml:space="preserve"> </w:t>
      </w:r>
      <w:r>
        <w:t xml:space="preserve">a valence-resolved P300 by loss interaction. Participant slopes were compared</w:t>
      </w:r>
      <w:r>
        <w:t xml:space="preserve"> </w:t>
      </w:r>
      <w:r>
        <w:t xml:space="preserve">between chronotypes with Mann-Whitney tests and bootstrap effect sizes. A binomial</w:t>
      </w:r>
      <w:r>
        <w:t xml:space="preserve"> </w:t>
      </w:r>
      <w:r>
        <w:t xml:space="preserve">mixed model with a P300 by chronotype interaction and random P300 slopes provided a</w:t>
      </w:r>
      <w:r>
        <w:t xml:space="preserve"> </w:t>
      </w:r>
      <w:r>
        <w:t xml:space="preserve">confirmatory analysis.</w:t>
      </w:r>
    </w:p>
    <w:p>
      <w:pPr>
        <w:pStyle w:val="BodyText"/>
      </w:pPr>
      <w:r>
        <w:t xml:space="preserve">All computational analyses used fixed seed 0. Reproducibility scripts are listed in</w:t>
      </w:r>
      <w:r>
        <w:t xml:space="preserve"> </w:t>
      </w:r>
      <w:r>
        <w:t xml:space="preserve">the repository and in the supplementary materials.</w:t>
      </w:r>
    </w:p>
    <w:bookmarkEnd w:id="21"/>
    <w:bookmarkStart w:id="22" w:name="analysis-plan-and-inference-hierarchy"/>
    <w:p>
      <w:pPr>
        <w:pStyle w:val="Heading3"/>
      </w:pPr>
      <w:r>
        <w:t xml:space="preserve">2.12 Analysis plan and inference hierarchy</w:t>
      </w:r>
    </w:p>
    <w:p>
      <w:pPr>
        <w:pStyle w:val="FirstParagraph"/>
      </w:pPr>
      <w:r>
        <w:t xml:space="preserve">To keep interpretation disciplined given the sample size, analyses are organized</w:t>
      </w:r>
      <w:r>
        <w:t xml:space="preserve"> </w:t>
      </w:r>
      <w:r>
        <w:t xml:space="preserve">into a fixed hierarchy. 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analysis is the theory-driven group</w:t>
      </w:r>
      <w:r>
        <w:t xml:space="preserve"> </w:t>
      </w:r>
      <w:r>
        <w:t xml:space="preserve">contrast in the posterior P300 loss-minus-gain response (Pz and POz), FDR-corrected</w:t>
      </w:r>
      <w:r>
        <w:t xml:space="preserve"> </w:t>
      </w:r>
      <w:r>
        <w:t xml:space="preserve">across the theory-driven feature family.</w:t>
      </w:r>
      <w:r>
        <w:t xml:space="preserve"> </w:t>
      </w:r>
      <w:r>
        <w:rPr>
          <w:b/>
          <w:bCs/>
        </w:rPr>
        <w:t xml:space="preserve">Confirmatory robustness</w:t>
      </w:r>
      <w:r>
        <w:t xml:space="preserve"> </w:t>
      </w:r>
      <w:r>
        <w:t xml:space="preserve">analyses test</w:t>
      </w:r>
      <w:r>
        <w:t xml:space="preserve"> </w:t>
      </w:r>
      <w:r>
        <w:t xml:space="preserve">the stability of that effect: participant-exclusion sensitivity analyses, the</w:t>
      </w:r>
      <w:r>
        <w:t xml:space="preserve"> </w:t>
      </w:r>
      <w:r>
        <w:t xml:space="preserve">window specification curve, and the direction of the continuous-MEQ association.</w:t>
      </w:r>
      <w:r>
        <w:t xml:space="preserve"> </w:t>
      </w:r>
      <w:r>
        <w:rPr>
          <w:b/>
          <w:bCs/>
        </w:rPr>
        <w:t xml:space="preserve">Secondary, convergent</w:t>
      </w:r>
      <w:r>
        <w:t xml:space="preserve"> </w:t>
      </w:r>
      <w:r>
        <w:t xml:space="preserve">analyses ask whether behaviour carries related chronotype</w:t>
      </w:r>
      <w:r>
        <w:t xml:space="preserve"> </w:t>
      </w:r>
      <w:r>
        <w:t xml:space="preserve">information under participant-generalizing validation: the compact 12-feature</w:t>
      </w:r>
      <w:r>
        <w:t xml:space="preserve"> </w:t>
      </w:r>
      <w:r>
        <w:t xml:space="preserve">classifier, the GRU behavioural embedding, and its combination with the validated</w:t>
      </w:r>
      <w:r>
        <w:t xml:space="preserve"> </w:t>
      </w:r>
      <w:r>
        <w:t xml:space="preserve">ERP contrasts.</w:t>
      </w:r>
      <w:r>
        <w:t xml:space="preserve"> </w:t>
      </w:r>
      <w:r>
        <w:rPr>
          <w:b/>
          <w:bCs/>
        </w:rPr>
        <w:t xml:space="preserve">Exploratory</w:t>
      </w:r>
      <w:r>
        <w:t xml:space="preserve"> </w:t>
      </w:r>
      <w:r>
        <w:t xml:space="preserve">analyses, interpreted cautiously and not used to</w:t>
      </w:r>
      <w:r>
        <w:t xml:space="preserve"> </w:t>
      </w:r>
      <w:r>
        <w:t xml:space="preserve">support the main claims, comprise the higher-dimensional models, the</w:t>
      </w:r>
      <w:r>
        <w:t xml:space="preserve"> </w:t>
      </w:r>
      <w:r>
        <w:t xml:space="preserve">reinforcement-learning parameters, the learned EEGNet embeddings, and the</w:t>
      </w:r>
      <w:r>
        <w:t xml:space="preserve"> </w:t>
      </w:r>
      <w:r>
        <w:t xml:space="preserve">single-trial P300-to-choice coupling. Predictive results are reported as evidence</w:t>
      </w:r>
      <w:r>
        <w:t xml:space="preserve"> </w:t>
      </w:r>
      <w:r>
        <w:t xml:space="preserve">that behavioural and neural measures carry convergent chronotype information, not as</w:t>
      </w:r>
      <w:r>
        <w:t xml:space="preserve"> </w:t>
      </w:r>
      <w:r>
        <w:t xml:space="preserve">a deployable classifier.</w:t>
      </w:r>
    </w:p>
    <w:bookmarkEnd w:id="22"/>
    <w:bookmarkEnd w:id="23"/>
    <w:bookmarkStart w:id="51" w:name="results"/>
    <w:p>
      <w:pPr>
        <w:pStyle w:val="Heading2"/>
      </w:pPr>
      <w:r>
        <w:t xml:space="preserve">3. Results</w:t>
      </w:r>
    </w:p>
    <w:bookmarkStart w:id="27" w:name="Xfef925df610cb4639bffe437383329ebc4b421c"/>
    <w:p>
      <w:pPr>
        <w:pStyle w:val="Heading3"/>
      </w:pPr>
      <w:r>
        <w:t xml:space="preserve">3.1 Primary: posterior P300 distinguishes chronotypes (Figure 1)</w:t>
      </w:r>
    </w:p>
    <w:p>
      <w:pPr>
        <w:pStyle w:val="CaptionedFigure"/>
      </w:pPr>
      <w:r>
        <w:drawing>
          <wp:inline>
            <wp:extent cx="5334000" cy="1742076"/>
            <wp:effectExtent b="0" l="0" r="0" t="0"/>
            <wp:docPr descr="Figure 1. Feedback-locked posterior P300 (loss minus gain) by chronotype at Pz and POz, with the window specification curve confirming robustness." title="" id="25" name="Picture"/>
            <a:graphic>
              <a:graphicData uri="http://schemas.openxmlformats.org/drawingml/2006/picture">
                <pic:pic>
                  <pic:nvPicPr>
                    <pic:cNvPr descr="docs/figures/fig_main_1_p300_spec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2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Feedback-locked posterior P300 (loss minus gain) by chronotype at Pz and POz, with the window specification curve confirming robustness.</w:t>
      </w:r>
    </w:p>
    <w:p>
      <w:pPr>
        <w:pStyle w:val="BodyText"/>
      </w:pPr>
      <w:r>
        <w:t xml:space="preserve">The main ERP result was a group difference in the posterior P300 response to</w:t>
      </w:r>
      <w:r>
        <w:t xml:space="preserve"> </w:t>
      </w:r>
      <w:r>
        <w:t xml:space="preserve">feedback valence. At Pz, Evening participants showed a negative loss-minus-gain</w:t>
      </w:r>
      <w:r>
        <w:t xml:space="preserve"> </w:t>
      </w:r>
      <w:r>
        <w:t xml:space="preserve">contrast, whereas Morning participants showed a positive contrast (Evening mean =</w:t>
      </w:r>
      <w:r>
        <w:t xml:space="preserve"> </w:t>
      </w:r>
      <w:r>
        <w:t xml:space="preserve">-0.96, Morning mean = 0.31; Cohen’s d = -1.04, 95% CI [-1.63, -0.59]; Welch p =</w:t>
      </w:r>
      <w:r>
        <w:t xml:space="preserve"> </w:t>
      </w:r>
      <w:r>
        <w:t xml:space="preserve">0.0028; Mann-Whitney p = 0.005). The same pattern appeared at POz (d = -0.92, 95%</w:t>
      </w:r>
      <w:r>
        <w:t xml:space="preserve"> </w:t>
      </w:r>
      <w:r>
        <w:t xml:space="preserve">CI [-1.55, -0.39]; Welch p = 0.0076; Mann-Whitney p = 0.002). These were the only</w:t>
      </w:r>
      <w:r>
        <w:t xml:space="preserve"> </w:t>
      </w:r>
      <w:r>
        <w:t xml:space="preserve">features that survived Benjamini-Hochberg correction across the theory-driven</w:t>
      </w:r>
      <w:r>
        <w:t xml:space="preserve"> </w:t>
      </w:r>
      <w:r>
        <w:t xml:space="preserve">feature family (FDR p = 0.034 and 0.045).</w:t>
      </w:r>
    </w:p>
    <w:bookmarkEnd w:id="27"/>
    <w:bookmarkStart w:id="28" w:name="supporting-behavioural-risk-taking"/>
    <w:p>
      <w:pPr>
        <w:pStyle w:val="Heading3"/>
      </w:pPr>
      <w:r>
        <w:t xml:space="preserve">3.2 Supporting: behavioural risk-taking</w:t>
      </w:r>
    </w:p>
    <w:p>
      <w:pPr>
        <w:pStyle w:val="FirstParagraph"/>
      </w:pPr>
      <w:r>
        <w:t xml:space="preserve">Evening participants tended to choose the risky option more often than Morning</w:t>
      </w:r>
      <w:r>
        <w:t xml:space="preserve"> </w:t>
      </w:r>
      <w:r>
        <w:t xml:space="preserve">participants. The largest uncorrected effects were for loss-error risky rate (d =</w:t>
      </w:r>
      <w:r>
        <w:t xml:space="preserve"> </w:t>
      </w:r>
      <w:r>
        <w:t xml:space="preserve">0.81), free risky rate (d = 0.80), and gain-correct risky rate (d = 0.77), with all</w:t>
      </w:r>
      <w:r>
        <w:t xml:space="preserve"> </w:t>
      </w:r>
      <w:r>
        <w:t xml:space="preserve">Welch p-values below 0.025. These effects did not survive FDR correction, and their</w:t>
      </w:r>
      <w:r>
        <w:t xml:space="preserve"> </w:t>
      </w:r>
      <w:r>
        <w:t xml:space="preserve">confidence intervals remained compatible with small effects. The behavioural group</w:t>
      </w:r>
      <w:r>
        <w:t xml:space="preserve"> </w:t>
      </w:r>
      <w:r>
        <w:t xml:space="preserve">differences are therefore supportive rather than primary.</w:t>
      </w:r>
    </w:p>
    <w:p>
      <w:pPr>
        <w:pStyle w:val="BodyText"/>
      </w:pPr>
      <w:r>
        <w:t xml:space="preserve">Frontocentral FRN contrasts did not show reliable group differences. For example,</w:t>
      </w:r>
      <w:r>
        <w:t xml:space="preserve"> </w:t>
      </w:r>
      <w:r>
        <w:t xml:space="preserve">the Fz FRN error-minus-correct contrast had d = -0.60 and FDR p = 0.14. Bayes</w:t>
      </w:r>
      <w:r>
        <w:t xml:space="preserve"> </w:t>
      </w:r>
      <w:r>
        <w:t xml:space="preserve">factors were most consistent with a null group difference at FCz (BF01 = 2.46) and</w:t>
      </w:r>
      <w:r>
        <w:t xml:space="preserve"> </w:t>
      </w:r>
      <w:r>
        <w:t xml:space="preserve">Cz (BF01 = 3.17), while the Fz result remained inconclusive (BF01 = 0.82).</w:t>
      </w:r>
      <w:r>
        <w:t xml:space="preserve"> </w:t>
      </w:r>
      <w:r>
        <w:t xml:space="preserve">Equivalence tests with bounds of ±0.5 SD did not establish formal equivalence (for</w:t>
      </w:r>
      <w:r>
        <w:t xml:space="preserve"> </w:t>
      </w:r>
      <w:r>
        <w:t xml:space="preserve">example, Fz TOST p = 0.43; Supplementary Tables S7 and S8). Thus, the FRN results do not support a chronotype</w:t>
      </w:r>
      <w:r>
        <w:t xml:space="preserve"> </w:t>
      </w:r>
      <w:r>
        <w:t xml:space="preserve">effect, but the sample is not large enough to rule out medium-sized FRN differences.</w:t>
      </w:r>
    </w:p>
    <w:bookmarkEnd w:id="28"/>
    <w:bookmarkStart w:id="32" w:name="continuous-meq-association-figure-2"/>
    <w:p>
      <w:pPr>
        <w:pStyle w:val="Heading3"/>
      </w:pPr>
      <w:r>
        <w:t xml:space="preserve">3.3 Continuous MEQ association (Figure 2)</w:t>
      </w:r>
    </w:p>
    <w:p>
      <w:pPr>
        <w:pStyle w:val="CaptionedFigure"/>
      </w:pPr>
      <w:r>
        <w:drawing>
          <wp:inline>
            <wp:extent cx="5334000" cy="1694329"/>
            <wp:effectExtent b="0" l="0" r="0" t="0"/>
            <wp:docPr descr="Figure 2. Posterior P300 loss-minus-gain amplitude versus the continuous MEQ score." title="" id="30" name="Picture"/>
            <a:graphic>
              <a:graphicData uri="http://schemas.openxmlformats.org/drawingml/2006/picture">
                <pic:pic>
                  <pic:nvPicPr>
                    <pic:cNvPr descr="docs/figures/fig_main_2_continuous_meq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Posterior P300 loss-minus-gain amplitude versus the continuous MEQ score.</w:t>
      </w:r>
    </w:p>
    <w:p>
      <w:pPr>
        <w:pStyle w:val="BodyText"/>
      </w:pPr>
      <w:r>
        <w:t xml:space="preserve">The P300 effect was also examined against continuous MEQ score (n = 38). Both</w:t>
      </w:r>
      <w:r>
        <w:t xml:space="preserve"> </w:t>
      </w:r>
      <w:r>
        <w:t xml:space="preserve">posterior electrodes showed positive associations in the expected direction. At Pz,</w:t>
      </w:r>
      <w:r>
        <w:t xml:space="preserve"> </w:t>
      </w:r>
      <w:r>
        <w:t xml:space="preserve">Pearson r was 0.29 (95% CI [0.06, 0.49]) and Spearman rho was 0.32. At POz, Pearson</w:t>
      </w:r>
      <w:r>
        <w:t xml:space="preserve"> </w:t>
      </w:r>
      <w:r>
        <w:t xml:space="preserve">r was 0.24 (95% CI [-0.01, 0.46]) and Spearman rho was 0.30. These associations</w:t>
      </w:r>
      <w:r>
        <w:t xml:space="preserve"> </w:t>
      </w:r>
      <w:r>
        <w:t xml:space="preserve">were modest, as expected for a sample with limited power for correlations</w:t>
      </w:r>
      <w:r>
        <w:t xml:space="preserve"> </w:t>
      </w:r>
      <w:r>
        <w:t xml:space="preserve">(minimum detectable r approximately 0.44 at 80% power) and 12 participants in the</w:t>
      </w:r>
      <w:r>
        <w:t xml:space="preserve"> </w:t>
      </w:r>
      <w:r>
        <w:t xml:space="preserve">MEQ intermediate band. The continuous and categorical analyses point in the same</w:t>
      </w:r>
      <w:r>
        <w:t xml:space="preserve"> </w:t>
      </w:r>
      <w:r>
        <w:t xml:space="preserve">direction, but the group contrast is estimated more precisely in this dataset.</w:t>
      </w:r>
    </w:p>
    <w:bookmarkEnd w:id="32"/>
    <w:bookmarkStart w:id="33" w:name="X5304d63afe92233b6765eefdbfa4bafb03865c4"/>
    <w:p>
      <w:pPr>
        <w:pStyle w:val="Heading3"/>
      </w:pPr>
      <w:r>
        <w:t xml:space="preserve">3.4 Robustness across exclusions and analysis windows (Figure 1)</w:t>
      </w:r>
    </w:p>
    <w:p>
      <w:pPr>
        <w:pStyle w:val="FirstParagraph"/>
      </w:pPr>
      <w:r>
        <w:t xml:space="preserve">The posterior P300 group difference was stable across participant exclusions. In</w:t>
      </w:r>
      <w:r>
        <w:t xml:space="preserve"> </w:t>
      </w:r>
      <w:r>
        <w:t xml:space="preserve">the full sample and in all three exclusion scenarios, the Pz loss-minus-gain effect</w:t>
      </w:r>
      <w:r>
        <w:t xml:space="preserve"> </w:t>
      </w:r>
      <w:r>
        <w:t xml:space="preserve">remained close to d = -1.0 (range -1.00 to -1.07), with Welch p &lt; 0.011 and a 95%</w:t>
      </w:r>
      <w:r>
        <w:t xml:space="preserve"> </w:t>
      </w:r>
      <w:r>
        <w:t xml:space="preserve">confidence interval excluding zero in every case. POz showed the same pattern</w:t>
      </w:r>
      <w:r>
        <w:t xml:space="preserve"> </w:t>
      </w:r>
      <w:r>
        <w:t xml:space="preserve">(Supplementary Table S3). By contrast, the participant-level classifier was more</w:t>
      </w:r>
      <w:r>
        <w:t xml:space="preserve"> </w:t>
      </w:r>
      <w:r>
        <w:t xml:space="preserve">sample-sensitive: in the exclusion-sensitivity analysis its permutation p rose from</w:t>
      </w:r>
      <w:r>
        <w:t xml:space="preserve"> </w:t>
      </w:r>
      <w:r>
        <w:t xml:space="preserve">0.034 in the full sample to 0.38 when the two label-conflict participants were</w:t>
      </w:r>
      <w:r>
        <w:t xml:space="preserve"> </w:t>
      </w:r>
      <w:r>
        <w:t xml:space="preserve">removed (this is the exclusion-tracking permutation test, distinct from the primary</w:t>
      </w:r>
      <w:r>
        <w:t xml:space="preserve"> </w:t>
      </w:r>
      <w:r>
        <w:t xml:space="preserve">nested-CV permutation test of the classifier reported in Section 3.5, p = 0.020).</w:t>
      </w:r>
      <w:r>
        <w:t xml:space="preserve"> </w:t>
      </w:r>
      <w:r>
        <w:t xml:space="preserve">The univariate P300 contrast is therefore the more stable result.</w:t>
      </w:r>
    </w:p>
    <w:p>
      <w:pPr>
        <w:pStyle w:val="BodyText"/>
      </w:pPr>
      <w:r>
        <w:t xml:space="preserve">The P300 result was not dependent on one narrow analysis window. A 72-cell</w:t>
      </w:r>
      <w:r>
        <w:t xml:space="preserve"> </w:t>
      </w:r>
      <w:r>
        <w:t xml:space="preserve">specification curve (Supplementary Table S1 and Figure S1) varied channel (Pz or</w:t>
      </w:r>
      <w:r>
        <w:t xml:space="preserve"> </w:t>
      </w:r>
      <w:r>
        <w:t xml:space="preserve">POz), window centre (400-600 ms), window</w:t>
      </w:r>
      <w:r>
        <w:t xml:space="preserve"> </w:t>
      </w:r>
      <w:r>
        <w:t xml:space="preserve">width (50 or 100 ms), and summary measure (mean or peak). The loss-minus-gain group</w:t>
      </w:r>
      <w:r>
        <w:t xml:space="preserve"> </w:t>
      </w:r>
      <w:r>
        <w:t xml:space="preserve">difference had the expected sign in 64 of 72 cells. Nineteen cells had both a large</w:t>
      </w:r>
      <w:r>
        <w:t xml:space="preserve"> </w:t>
      </w:r>
      <w:r>
        <w:t xml:space="preserve">effect (d &lt; -0.8) and p &lt; 0.05. The strongest cells clustered around the</w:t>
      </w:r>
      <w:r>
        <w:t xml:space="preserve"> </w:t>
      </w:r>
      <w:r>
        <w:t xml:space="preserve">pre-specified 450-550 ms P300 window. The independently recomputed anchor cells were</w:t>
      </w:r>
      <w:r>
        <w:t xml:space="preserve"> </w:t>
      </w:r>
      <w:r>
        <w:t xml:space="preserve">slightly smaller than the validated-feature estimates (Pz d = -0.84, POz d =</w:t>
      </w:r>
      <w:r>
        <w:t xml:space="preserve"> </w:t>
      </w:r>
      <w:r>
        <w:t xml:space="preserve">-0.66), but they supported the same conclusion.</w:t>
      </w:r>
    </w:p>
    <w:p>
      <w:pPr>
        <w:pStyle w:val="BodyText"/>
      </w:pPr>
      <w:r>
        <w:t xml:space="preserve">Because sex and age were imbalanced across groups (Evening 68% male and about two</w:t>
      </w:r>
      <w:r>
        <w:t xml:space="preserve"> </w:t>
      </w:r>
      <w:r>
        <w:t xml:space="preserve">years older than Morning), we re-tested the posterior-P300 contrast with sex and</w:t>
      </w:r>
      <w:r>
        <w:t xml:space="preserve"> </w:t>
      </w:r>
      <w:r>
        <w:t xml:space="preserve">age as covariates. The Pz effect remained significant (adjusted Morning-vs-Evening</w:t>
      </w:r>
      <w:r>
        <w:t xml:space="preserve"> </w:t>
      </w:r>
      <w:r>
        <w:t xml:space="preserve">b = 0.88, p = 0.041, partial d approximately 0.72), with neither sex (p = 0.24) nor</w:t>
      </w:r>
      <w:r>
        <w:t xml:space="preserve"> </w:t>
      </w:r>
      <w:r>
        <w:t xml:space="preserve">age (p = 0.12) contributing. The POz effect attenuated to non-significance (adjusted</w:t>
      </w:r>
      <w:r>
        <w:t xml:space="preserve"> </w:t>
      </w:r>
      <w:r>
        <w:t xml:space="preserve">p = 0.12), and age was a significant covariate there (p = 0.010). The primary Pz</w:t>
      </w:r>
      <w:r>
        <w:t xml:space="preserve"> </w:t>
      </w:r>
      <w:r>
        <w:t xml:space="preserve">effect is therefore not attributable to the sex/age imbalance, whereas the POz</w:t>
      </w:r>
      <w:r>
        <w:t xml:space="preserve"> </w:t>
      </w:r>
      <w:r>
        <w:t xml:space="preserve">effect is partly related to age and should be interpreted more cautiously.</w:t>
      </w:r>
    </w:p>
    <w:bookmarkEnd w:id="33"/>
    <w:bookmarkStart w:id="37" w:name="Xc9b9684bca4f2e1cdf854043292c51f5acdf207"/>
    <w:p>
      <w:pPr>
        <w:pStyle w:val="Heading3"/>
      </w:pPr>
      <w:r>
        <w:t xml:space="preserve">3.5 Participant-level chronotype classification (Figure 5)</w:t>
      </w:r>
    </w:p>
    <w:p>
      <w:pPr>
        <w:pStyle w:val="CaptionedFigure"/>
      </w:pPr>
      <w:r>
        <w:drawing>
          <wp:inline>
            <wp:extent cx="5334000" cy="1694459"/>
            <wp:effectExtent b="0" l="0" r="0" t="0"/>
            <wp:docPr descr="Figure 5. Participant-generalizing evaluation pipeline and out-of-fold classifier ROC." title="" id="35" name="Picture"/>
            <a:graphic>
              <a:graphicData uri="http://schemas.openxmlformats.org/drawingml/2006/picture">
                <pic:pic>
                  <pic:nvPicPr>
                    <pic:cNvPr descr="docs/figures/fig_main_5_roc_pipelin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Participant-generalizing evaluation pipeline and out-of-fold classifier ROC.</w:t>
      </w:r>
    </w:p>
    <w:p>
      <w:pPr>
        <w:pStyle w:val="BodyText"/>
      </w:pPr>
      <w:r>
        <w:t xml:space="preserve">The theory-driven 12-feature set also predicted chronotype in nested</w:t>
      </w:r>
      <w:r>
        <w:t xml:space="preserve"> </w:t>
      </w:r>
      <w:r>
        <w:t xml:space="preserve">cross-validation. Among the five classifiers, the pre-specified L2 logistic</w:t>
      </w:r>
      <w:r>
        <w:t xml:space="preserve"> </w:t>
      </w:r>
      <w:r>
        <w:t xml:space="preserve">regression performed best on balanced accuracy (0.717 +/- 0.14), with accuracy =</w:t>
      </w:r>
      <w:r>
        <w:t xml:space="preserve"> </w:t>
      </w:r>
      <w:r>
        <w:t xml:space="preserve">0.715, ROC AUC = 0.750, and, averaged across outer folds, Morning sensitivity =</w:t>
      </w:r>
      <w:r>
        <w:t xml:space="preserve"> </w:t>
      </w:r>
      <w:r>
        <w:t xml:space="preserve">0.695 and specificity = 0.738. The random</w:t>
      </w:r>
      <w:r>
        <w:t xml:space="preserve"> </w:t>
      </w:r>
      <w:r>
        <w:t xml:space="preserve">forest had the highest AUC (0.772), but the primary model was retained as planned.</w:t>
      </w:r>
      <w:r>
        <w:t xml:space="preserve"> </w:t>
      </w:r>
      <w:r>
        <w:t xml:space="preserve">Its selected regularization was strong (C = 0.01), consistent with the small sample.</w:t>
      </w:r>
    </w:p>
    <w:p>
      <w:pPr>
        <w:pStyle w:val="BodyText"/>
      </w:pPr>
      <w:r>
        <w:t xml:space="preserve">The primary model correctly labelled 28 of 39 participants when out-of-fold</w:t>
      </w:r>
      <w:r>
        <w:t xml:space="preserve"> </w:t>
      </w:r>
      <w:r>
        <w:t xml:space="preserve">predictions were pooled (pooled accuracy = 0.718; Morning sensitivity = 0.75;</w:t>
      </w:r>
      <w:r>
        <w:t xml:space="preserve"> </w:t>
      </w:r>
      <w:r>
        <w:t xml:space="preserve">specificity = 0.68; pooled ROC AUC = 0.79; confusion matrix in Supplementary</w:t>
      </w:r>
      <w:r>
        <w:t xml:space="preserve"> </w:t>
      </w:r>
      <w:r>
        <w:t xml:space="preserve">Table S5). The pooled sensitivity/specificity differ slightly from the fold-averaged</w:t>
      </w:r>
      <w:r>
        <w:t xml:space="preserve"> </w:t>
      </w:r>
      <w:r>
        <w:t xml:space="preserve">values above because they are computed on the pooled out-of-fold predictions. A label-permutation test that re-fit the full nested</w:t>
      </w:r>
      <w:r>
        <w:t xml:space="preserve"> </w:t>
      </w:r>
      <w:r>
        <w:t xml:space="preserve">pipeline on each permutation indicated above-chance performance (observed balanced</w:t>
      </w:r>
      <w:r>
        <w:t xml:space="preserve"> </w:t>
      </w:r>
      <w:r>
        <w:t xml:space="preserve">accuracy = 0.717, null mean = 0.509, p = 0.020).</w:t>
      </w:r>
    </w:p>
    <w:p>
      <w:pPr>
        <w:pStyle w:val="BodyText"/>
      </w:pPr>
      <w:r>
        <w:t xml:space="preserve">The model’s strongest standardized coefficient was Pz P300 loss-minus-gain (+0.34,</w:t>
      </w:r>
      <w:r>
        <w:t xml:space="preserve"> </w:t>
      </w:r>
      <w:r>
        <w:t xml:space="preserve">predicting Morning), followed by loss-error risky rate (-0.31), gain-correct risky</w:t>
      </w:r>
      <w:r>
        <w:t xml:space="preserve"> </w:t>
      </w:r>
      <w:r>
        <w:t xml:space="preserve">rate (-0.24), and POz P300 loss-minus-gain (+0.24). Held-out permutation importance</w:t>
      </w:r>
      <w:r>
        <w:t xml:space="preserve"> </w:t>
      </w:r>
      <w:r>
        <w:t xml:space="preserve">showed the same ordering (Supplementary Table S6). Thus, the classifier relied most</w:t>
      </w:r>
      <w:r>
        <w:t xml:space="preserve"> </w:t>
      </w:r>
      <w:r>
        <w:t xml:space="preserve">strongly on the same posterior P300 contrast identified in the univariate analysis.</w:t>
      </w:r>
    </w:p>
    <w:p>
      <w:pPr>
        <w:pStyle w:val="BodyText"/>
      </w:pPr>
      <w:r>
        <w:t xml:space="preserve">The predictive result should be interpreted cautiously. No pre-specified feature</w:t>
      </w:r>
      <w:r>
        <w:t xml:space="preserve"> </w:t>
      </w:r>
      <w:r>
        <w:t xml:space="preserve">pack survived FDR correction across the feature-pack family (best raw permutation p</w:t>
      </w:r>
      <w:r>
        <w:t xml:space="preserve"> </w:t>
      </w:r>
      <w:r>
        <w:t xml:space="preserve">= 0.051, FDR p = 0.175). The classifier was also sensitive to the label-conflict</w:t>
      </w:r>
      <w:r>
        <w:t xml:space="preserve"> </w:t>
      </w:r>
      <w:r>
        <w:t xml:space="preserve">participants, unlike the P300 group contrast. Higher-dimensional models performed</w:t>
      </w:r>
      <w:r>
        <w:t xml:space="preserve"> </w:t>
      </w:r>
      <w:r>
        <w:t xml:space="preserve">better numerically but are reported only as exploratory because the sample was small</w:t>
      </w:r>
      <w:r>
        <w:t xml:space="preserve"> </w:t>
      </w:r>
      <w:r>
        <w:t xml:space="preserve">relative to the number of predictors. The classifier is therefore an interpretable</w:t>
      </w:r>
      <w:r>
        <w:t xml:space="preserve"> </w:t>
      </w:r>
      <w:r>
        <w:t xml:space="preserve">multivariate check on the neural result, not a diagnostic model.</w:t>
      </w:r>
    </w:p>
    <w:bookmarkEnd w:id="37"/>
    <w:bookmarkStart w:id="38" w:name="X0dbe79f9de0f7eb5935e02a27b59b7f2f08ec28"/>
    <w:p>
      <w:pPr>
        <w:pStyle w:val="Heading3"/>
      </w:pPr>
      <w:r>
        <w:t xml:space="preserve">3.6 Secondary trial-level risky-choice prediction</w:t>
      </w:r>
    </w:p>
    <w:p>
      <w:pPr>
        <w:pStyle w:val="FirstParagraph"/>
      </w:pPr>
      <w:r>
        <w:t xml:space="preserve">As a preliminary check that trial-level choice is predictable at all under</w:t>
      </w:r>
      <w:r>
        <w:t xml:space="preserve"> </w:t>
      </w:r>
      <w:r>
        <w:t xml:space="preserve">participant-generalizing validation, leakage-safe models reached balanced accuracy</w:t>
      </w:r>
      <w:r>
        <w:t xml:space="preserve"> </w:t>
      </w:r>
      <w:r>
        <w:t xml:space="preserve">of approximately 0.587 (ROC AUC approximately 0.62) on 10,669 free-choice trials —</w:t>
      </w:r>
      <w:r>
        <w:t xml:space="preserve"> </w:t>
      </w:r>
      <w:r>
        <w:t xml:space="preserve">modestly above the majority-class (0.50) and previous-choice-persistence (0.554)</w:t>
      </w:r>
      <w:r>
        <w:t xml:space="preserve"> </w:t>
      </w:r>
      <w:r>
        <w:t xml:space="preserve">baselines and approaching the participant-mean oracle ceiling (0.604) without using</w:t>
      </w:r>
      <w:r>
        <w:t xml:space="preserve"> </w:t>
      </w:r>
      <w:r>
        <w:t xml:space="preserve">held-out-participant data. Most of the signal came from previous-trial and rolling</w:t>
      </w:r>
      <w:r>
        <w:t xml:space="preserve"> </w:t>
      </w:r>
      <w:r>
        <w:t xml:space="preserve">choice history, and previous-trial EEG added no clear value in this representation</w:t>
      </w:r>
      <w:r>
        <w:t xml:space="preserve"> </w:t>
      </w:r>
      <w:r>
        <w:t xml:space="preserve">(Supplementary Table S4). This motivates the sequence model in the next section,</w:t>
      </w:r>
      <w:r>
        <w:t xml:space="preserve"> </w:t>
      </w:r>
      <w:r>
        <w:t xml:space="preserve">which learns such temporal structure directly rather than from hand-engineered</w:t>
      </w:r>
      <w:r>
        <w:t xml:space="preserve"> </w:t>
      </w:r>
      <w:r>
        <w:t xml:space="preserve">history features.</w:t>
      </w:r>
    </w:p>
    <w:bookmarkEnd w:id="38"/>
    <w:bookmarkStart w:id="42" w:name="X5b838071b3217f31bc8b26ec7df405a75aea042"/>
    <w:p>
      <w:pPr>
        <w:pStyle w:val="Heading3"/>
      </w:pPr>
      <w:r>
        <w:t xml:space="preserve">3.7 Chronotype information in risky-choice dynamics (Figure 3)</w:t>
      </w:r>
    </w:p>
    <w:p>
      <w:pPr>
        <w:pStyle w:val="CaptionedFigure"/>
      </w:pPr>
      <w:r>
        <w:drawing>
          <wp:inline>
            <wp:extent cx="5334000" cy="1541539"/>
            <wp:effectExtent b="0" l="0" r="0" t="0"/>
            <wp:docPr descr="Figure 3. Chronotype separation from behavioural choice dynamics (GRU), from validated ERP contrasts, and from their combination, with out-of-fold scores related to the continuous MEQ score." title="" id="40" name="Picture"/>
            <a:graphic>
              <a:graphicData uri="http://schemas.openxmlformats.org/drawingml/2006/picture">
                <pic:pic>
                  <pic:nvPicPr>
                    <pic:cNvPr descr="docs/figures/fig_main_3_fus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1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Chronotype separation from behavioural choice dynamics (GRU), from validated ERP contrasts, and from their combination, with out-of-fold scores related to the continuous MEQ score.</w:t>
      </w:r>
    </w:p>
    <w:p>
      <w:pPr>
        <w:pStyle w:val="BodyText"/>
      </w:pPr>
      <w:r>
        <w:t xml:space="preserve">The GRU model predicted trial-level risky choice from pre-choice context and the</w:t>
      </w:r>
      <w:r>
        <w:t xml:space="preserve"> </w:t>
      </w:r>
      <w:r>
        <w:t xml:space="preserve">previous outcome with balanced accuracy = 0.603 and AUC = 0.647. The participant</w:t>
      </w:r>
      <w:r>
        <w:t xml:space="preserve"> </w:t>
      </w:r>
      <w:r>
        <w:t xml:space="preserve">embeddings derived from this model then predicted Morning versus Evening chronotype</w:t>
      </w:r>
      <w:r>
        <w:t xml:space="preserve"> </w:t>
      </w:r>
      <w:r>
        <w:t xml:space="preserve">under nested leave-one-participant-out cross-validation (ROC AUC = 0.713; balanced</w:t>
      </w:r>
      <w:r>
        <w:t xml:space="preserve"> </w:t>
      </w:r>
      <w:r>
        <w:t xml:space="preserve">accuracy = 0.691; label-permutation p = 0.027; null AUC mean = 0.457). The same</w:t>
      </w:r>
      <w:r>
        <w:t xml:space="preserve"> </w:t>
      </w:r>
      <w:r>
        <w:t xml:space="preserve">out-of-fold scores were related to continuous MEQ score (r = -0.31). These results</w:t>
      </w:r>
      <w:r>
        <w:t xml:space="preserve"> </w:t>
      </w:r>
      <w:r>
        <w:t xml:space="preserve">show that chronotype is expressed in behavioural choice dynamics even without EEG</w:t>
      </w:r>
      <w:r>
        <w:t xml:space="preserve"> </w:t>
      </w:r>
      <w:r>
        <w:t xml:space="preserve">features.</w:t>
      </w:r>
    </w:p>
    <w:bookmarkEnd w:id="42"/>
    <w:bookmarkStart w:id="43" w:name="X6ddf6279428a9c0180374ef402066a36f67cc19"/>
    <w:p>
      <w:pPr>
        <w:pStyle w:val="Heading3"/>
      </w:pPr>
      <w:r>
        <w:t xml:space="preserve">3.8 Combining behaviour and ERP features improves chronotype prediction (Figure 3)</w:t>
      </w:r>
    </w:p>
    <w:p>
      <w:pPr>
        <w:pStyle w:val="FirstParagraph"/>
      </w:pPr>
      <w:r>
        <w:t xml:space="preserve">The six validated ERP contrast features predicted chronotype at AUC = 0.668 (p =</w:t>
      </w:r>
      <w:r>
        <w:t xml:space="preserve"> </w:t>
      </w:r>
      <w:r>
        <w:t xml:space="preserve">0.032). When these ERP features were combined with the GRU behavioural embedding,</w:t>
      </w:r>
      <w:r>
        <w:t xml:space="preserve"> </w:t>
      </w:r>
      <w:r>
        <w:t xml:space="preserve">prediction improved to AUC = 0.797 (balanced accuracy = 0.742, permutation p =</w:t>
      </w:r>
      <w:r>
        <w:t xml:space="preserve"> </w:t>
      </w:r>
      <w:r>
        <w:t xml:space="preserve">0.004). This exceeded the behavioural and ERP-only models. The fused out-of-fold</w:t>
      </w:r>
      <w:r>
        <w:t xml:space="preserve"> </w:t>
      </w:r>
      <w:r>
        <w:t xml:space="preserve">score also showed the strongest relation to continuous MEQ score (r = -0.42, p =</w:t>
      </w:r>
      <w:r>
        <w:t xml:space="preserve"> </w:t>
      </w:r>
      <w:r>
        <w:t xml:space="preserve">0.009).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 features</w:t>
            </w:r>
          </w:p>
        </w:tc>
        <w:tc>
          <w:tcPr/>
          <w:p>
            <w:pPr>
              <w:pStyle w:val="Compact"/>
            </w:pPr>
            <w:r>
              <w:t xml:space="preserve">ROC AUC</w:t>
            </w:r>
          </w:p>
        </w:tc>
        <w:tc>
          <w:tcPr/>
          <w:p>
            <w:pPr>
              <w:pStyle w:val="Compact"/>
            </w:pPr>
            <w:r>
              <w:t xml:space="preserve">Balanced acc</w:t>
            </w:r>
          </w:p>
        </w:tc>
        <w:tc>
          <w:tcPr/>
          <w:p>
            <w:pPr>
              <w:pStyle w:val="Compact"/>
            </w:pPr>
            <w:r>
              <w:t xml:space="preserve">Perm p</w:t>
            </w:r>
          </w:p>
        </w:tc>
        <w:tc>
          <w:tcPr/>
          <w:p>
            <w:pPr>
              <w:pStyle w:val="Compact"/>
            </w:pPr>
            <w:r>
              <w:t xml:space="preserve">MEQ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Behavioural (GRU embedding)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0.713</w:t>
            </w:r>
          </w:p>
        </w:tc>
        <w:tc>
          <w:tcPr/>
          <w:p>
            <w:pPr>
              <w:pStyle w:val="Compact"/>
            </w:pPr>
            <w:r>
              <w:t xml:space="preserve">0.691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-0.31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Neural (validated ERP P300/FRN)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Fused (behaviour + ERP)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-0.42</w:t>
            </w:r>
          </w:p>
        </w:tc>
      </w:tr>
    </w:tbl>
    <w:p>
      <w:pPr>
        <w:pStyle w:val="BodyText"/>
      </w:pPr>
      <w:r>
        <w:t xml:space="preserve">The improvement from fusion suggests that behavioural dynamics and validated ERP</w:t>
      </w:r>
      <w:r>
        <w:t xml:space="preserve"> </w:t>
      </w:r>
      <w:r>
        <w:t xml:space="preserve">features contain partly independent chronotype information. In contrast, combining</w:t>
      </w:r>
      <w:r>
        <w:t xml:space="preserve"> </w:t>
      </w:r>
      <w:r>
        <w:t xml:space="preserve">the GRU embedding with the learned EEGNet embedding reduced performance (AUC =</w:t>
      </w:r>
      <w:r>
        <w:t xml:space="preserve"> </w:t>
      </w:r>
      <w:r>
        <w:t xml:space="preserve">0.65), supporting the use of low-dimensional ERP features for this sample. The fused</w:t>
      </w:r>
      <w:r>
        <w:t xml:space="preserve"> </w:t>
      </w:r>
      <w:r>
        <w:t xml:space="preserve">model remained above chance across the pre-defined exclusion analyses (AUC range =</w:t>
      </w:r>
      <w:r>
        <w:t xml:space="preserve"> </w:t>
      </w:r>
      <w:r>
        <w:t xml:space="preserve">0.70-0.80). Its bootstrap 95% CI was [0.639, 0.924], and leave-one-subject-out</w:t>
      </w:r>
      <w:r>
        <w:t xml:space="preserve"> </w:t>
      </w:r>
      <w:r>
        <w:t xml:space="preserve">analysis gave an AUC range of 0.653-0.853. The most influential participant was</w:t>
      </w:r>
      <w:r>
        <w:t xml:space="preserve"> </w:t>
      </w:r>
      <w:r>
        <w:t xml:space="preserve">1001.</w:t>
      </w:r>
    </w:p>
    <w:bookmarkEnd w:id="43"/>
    <w:bookmarkStart w:id="44" w:name="continuous-meq-prediction-figure-3"/>
    <w:p>
      <w:pPr>
        <w:pStyle w:val="Heading3"/>
      </w:pPr>
      <w:r>
        <w:t xml:space="preserve">3.9 Continuous MEQ prediction (Figure 3)</w:t>
      </w:r>
    </w:p>
    <w:p>
      <w:pPr>
        <w:pStyle w:val="FirstParagraph"/>
      </w:pPr>
      <w:r>
        <w:t xml:space="preserve">Nested leave-one-out Ridge regression was used to predict continuous MEQ score</w:t>
      </w:r>
      <w:r>
        <w:t xml:space="preserve"> </w:t>
      </w:r>
      <w:r>
        <w:t xml:space="preserve">(n = 38). Behavioural embeddings predicted MEQ (r = 0.310, p = 0.039). ERP features</w:t>
      </w:r>
      <w:r>
        <w:t xml:space="preserve"> </w:t>
      </w:r>
      <w:r>
        <w:t xml:space="preserve">alone were weaker (r = 0.145). The fused feature set performed best (r = 0.344,</w:t>
      </w:r>
      <w:r>
        <w:t xml:space="preserve"> </w:t>
      </w:r>
      <w:r>
        <w:t xml:space="preserve">p = 0.027), matching the pattern observed for binary chronotype prediction.</w:t>
      </w:r>
    </w:p>
    <w:bookmarkEnd w:id="44"/>
    <w:bookmarkStart w:id="45" w:name="X68798037d6dd073e26b01ce9d0430c1d4774e3c"/>
    <w:p>
      <w:pPr>
        <w:pStyle w:val="Heading3"/>
      </w:pPr>
      <w:r>
        <w:t xml:space="preserve">3.10 Reinforcement-learning parameters were weakly identified</w:t>
      </w:r>
    </w:p>
    <w:p>
      <w:pPr>
        <w:pStyle w:val="FirstParagraph"/>
      </w:pPr>
      <w:r>
        <w:t xml:space="preserve">The per-participant maximum-likelihood reinforcement-learning fits suggested a</w:t>
      </w:r>
      <w:r>
        <w:t xml:space="preserve"> </w:t>
      </w:r>
      <w:r>
        <w:t xml:space="preserve">possible mechanism, but the evidence was not stable. Point estimates indicated</w:t>
      </w:r>
      <w:r>
        <w:t xml:space="preserve"> </w:t>
      </w:r>
      <w:r>
        <w:t xml:space="preserve">stronger gain learning in Evening participants (α_gain Evening = 0.23, Morning =</w:t>
      </w:r>
      <w:r>
        <w:t xml:space="preserve"> </w:t>
      </w:r>
      <w:r>
        <w:t xml:space="preserve">0.05; group p = 0.040) and lower choice consistency (β; MEQ r = 0.36, p = 0.027).</w:t>
      </w:r>
      <w:r>
        <w:t xml:space="preserve"> </w:t>
      </w:r>
      <w:r>
        <w:t xml:space="preserve">There was also a trend toward relatively greater loss learning in Morning</w:t>
      </w:r>
      <w:r>
        <w:t xml:space="preserve"> </w:t>
      </w:r>
      <w:r>
        <w:t xml:space="preserve">participants (learning-asymmetry p = 0.072). As a feature set, however, the RL</w:t>
      </w:r>
      <w:r>
        <w:t xml:space="preserve"> </w:t>
      </w:r>
      <w:r>
        <w:t xml:space="preserve">parameters classified chronotype only weakly (AUC = 0.532).</w:t>
      </w:r>
    </w:p>
    <w:p>
      <w:pPr>
        <w:pStyle w:val="BodyText"/>
      </w:pPr>
      <w:r>
        <w:t xml:space="preserve">The apparent MLE contrasts did not persist under Bayesian hierarchical partial</w:t>
      </w:r>
      <w:r>
        <w:t xml:space="preserve"> </w:t>
      </w:r>
      <w:r>
        <w:t xml:space="preserve">pooling. The sampler diagnostics were acceptable (max R-hat = 1.02; no</w:t>
      </w:r>
      <w:r>
        <w:t xml:space="preserve"> </w:t>
      </w:r>
      <w:r>
        <w:t xml:space="preserve">divergences), but the α_gain group contrast collapsed to approximately zero</w:t>
      </w:r>
      <w:r>
        <w:t xml:space="preserve"> </w:t>
      </w:r>
      <w:r>
        <w:t xml:space="preserve">(Evening minus Morning approximately 0.00, 94% HDI [-0.010, 0.011], P(contrast &gt; 0)</w:t>
      </w:r>
      <w:r>
        <w:t xml:space="preserve"> </w:t>
      </w:r>
      <w:r>
        <w:t xml:space="preserve">= 0.46). The β contrast reversed sign and remained uncertain (+0.38, HDI [-0.53,</w:t>
      </w:r>
      <w:r>
        <w:t xml:space="preserve"> </w:t>
      </w:r>
      <w:r>
        <w:t xml:space="preserve">1.28]). The only remaining tendency was weaker loss learning in Evening</w:t>
      </w:r>
      <w:r>
        <w:t xml:space="preserve"> </w:t>
      </w:r>
      <w:r>
        <w:t xml:space="preserve">participants (α_loss contrast = -0.012, HDI [-0.032, 0.002]; learning-asymmetry</w:t>
      </w:r>
      <w:r>
        <w:t xml:space="preserve"> </w:t>
      </w:r>
      <w:r>
        <w:t xml:space="preserve">P(contrast &gt; 0) = 0.06). MLE and hierarchical subject-level estimates were weakly</w:t>
      </w:r>
      <w:r>
        <w:t xml:space="preserve"> </w:t>
      </w:r>
      <w:r>
        <w:t xml:space="preserve">correlated (α_loss r = 0.02, β r = 0.13, α_gain r = 0.45; Supplementary Table S2).</w:t>
      </w:r>
      <w:r>
        <w:t xml:space="preserve"> </w:t>
      </w:r>
      <w:r>
        <w:t xml:space="preserve">Given the limited number of free trials and the hidden, random signs of the boxes,</w:t>
      </w:r>
      <w:r>
        <w:t xml:space="preserve"> </w:t>
      </w:r>
      <w:r>
        <w:t xml:space="preserve">these parameters were not identified well enough to support a mechanistic conclusion.</w:t>
      </w:r>
    </w:p>
    <w:bookmarkEnd w:id="45"/>
    <w:bookmarkStart w:id="46" w:name="X7d8226edcc851734607d77ef5e8ba75e88fc016"/>
    <w:p>
      <w:pPr>
        <w:pStyle w:val="Heading3"/>
      </w:pPr>
      <w:r>
        <w:t xml:space="preserve">3.11 EEGNet decoded feedback valence but not chronotype</w:t>
      </w:r>
    </w:p>
    <w:p>
      <w:pPr>
        <w:pStyle w:val="FirstParagraph"/>
      </w:pPr>
      <w:r>
        <w:t xml:space="preserve">EEGNet provided a useful positive control. When trained across participants, it</w:t>
      </w:r>
      <w:r>
        <w:t xml:space="preserve"> </w:t>
      </w:r>
      <w:r>
        <w:t xml:space="preserve">decoded single-trial feedback valence (loss vs gain) at AUC = 0.641 on held-out</w:t>
      </w:r>
      <w:r>
        <w:t xml:space="preserve"> </w:t>
      </w:r>
      <w:r>
        <w:t xml:space="preserve">participants. Thus, the cleaned epochs contained decodable single-trial feedback</w:t>
      </w:r>
      <w:r>
        <w:t xml:space="preserve"> </w:t>
      </w:r>
      <w:r>
        <w:t xml:space="preserve">information. The same learned representations did not predict chronotype. The</w:t>
      </w:r>
      <w:r>
        <w:t xml:space="preserve"> </w:t>
      </w:r>
      <w:r>
        <w:t xml:space="preserve">mean-pooled EEG embedding had AUC = 0.426 (p = 0.61), and the loss-minus-gain</w:t>
      </w:r>
      <w:r>
        <w:t xml:space="preserve"> </w:t>
      </w:r>
      <w:r>
        <w:t xml:space="preserve">contrast embedding had AUC = 0.389 (p = 0.71). A density-ratio Bayes factor based on</w:t>
      </w:r>
      <w:r>
        <w:t xml:space="preserve"> </w:t>
      </w:r>
      <w:r>
        <w:t xml:space="preserve">the permutation null was weakly informative (BF01 approximately 1.2), partly because</w:t>
      </w:r>
      <w:r>
        <w:t xml:space="preserve"> </w:t>
      </w:r>
      <w:r>
        <w:t xml:space="preserve">the observed AUCs were slightly below chance (Supplementary Table S7). The permutation tests are therefore</w:t>
      </w:r>
      <w:r>
        <w:t xml:space="preserve"> </w:t>
      </w:r>
      <w:r>
        <w:t xml:space="preserve">the clearest summary: learned EEG embeddings did not recover chronotype in this</w:t>
      </w:r>
      <w:r>
        <w:t xml:space="preserve"> </w:t>
      </w:r>
      <w:r>
        <w:t xml:space="preserve">sample. The positive-control valence AUC of 0.64 comes from the canonical EEGNet run</w:t>
      </w:r>
      <w:r>
        <w:t xml:space="preserve"> </w:t>
      </w:r>
      <w:r>
        <w:t xml:space="preserve">with 30 training epochs and 5-fold participant-grouped cross-validation; a separate</w:t>
      </w:r>
      <w:r>
        <w:t xml:space="preserve"> </w:t>
      </w:r>
      <w:r>
        <w:t xml:space="preserve">2-epoch/2-fold sanity run gave AUC = 0.59 and is not used here.</w:t>
      </w:r>
    </w:p>
    <w:bookmarkEnd w:id="46"/>
    <w:bookmarkStart w:id="50" w:name="X4675b84cc4d6bf7f9757b3173dee4840261ab8f"/>
    <w:p>
      <w:pPr>
        <w:pStyle w:val="Heading3"/>
      </w:pPr>
      <w:r>
        <w:t xml:space="preserve">3.12 Single-trial P300 did not predict next-choice shifts by chronotype (Figure 4)</w:t>
      </w:r>
    </w:p>
    <w:p>
      <w:pPr>
        <w:pStyle w:val="CaptionedFigure"/>
      </w:pPr>
      <w:r>
        <w:drawing>
          <wp:inline>
            <wp:extent cx="5334000" cy="1485607"/>
            <wp:effectExtent b="0" l="0" r="0" t="0"/>
            <wp:docPr descr="Figure 4. Single-trial feedback P300 to next-trial risky-choice coupling by chronotype (overall and valence-resolved)." title="" id="48" name="Picture"/>
            <a:graphic>
              <a:graphicData uri="http://schemas.openxmlformats.org/drawingml/2006/picture">
                <pic:pic>
                  <pic:nvPicPr>
                    <pic:cNvPr descr="docs/figures/fig_main_4_single_trial_coupling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Single-trial feedback P300 to next-trial risky-choice coupling by chronotype (overall and valence-resolved).</w:t>
      </w:r>
    </w:p>
    <w:p>
      <w:pPr>
        <w:pStyle w:val="BodyText"/>
      </w:pPr>
      <w:r>
        <w:t xml:space="preserve">The final analysis tested whether feedback P300 on trial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predicted risky choice</w:t>
      </w:r>
      <w:r>
        <w:t xml:space="preserve"> </w:t>
      </w:r>
      <w:r>
        <w:t xml:space="preserve">on trial</w:t>
      </w:r>
      <w:r>
        <w:t xml:space="preserve"> </w:t>
      </w:r>
      <w:r>
        <w:rPr>
          <w:i/>
          <w:iCs/>
        </w:rPr>
        <w:t xml:space="preserve">t</w:t>
      </w:r>
      <w:r>
        <w:t xml:space="preserve">+1 differently by chronotype. Across 10,630 consecutive trial pairs,</w:t>
      </w:r>
      <w:r>
        <w:t xml:space="preserve"> </w:t>
      </w:r>
      <w:r>
        <w:t xml:space="preserve">the per-participant coupling slope did not differ reliably between groups. The</w:t>
      </w:r>
      <w:r>
        <w:t xml:space="preserve"> </w:t>
      </w:r>
      <w:r>
        <w:t xml:space="preserve">overall slope was slightly negative in Evening participants and slightly positive in</w:t>
      </w:r>
      <w:r>
        <w:t xml:space="preserve"> </w:t>
      </w:r>
      <w:r>
        <w:t xml:space="preserve">Morning participants (Evening = -0.033, Morning = 0.025; d = -0.36, 95% CI [-1.12,</w:t>
      </w:r>
      <w:r>
        <w:t xml:space="preserve"> </w:t>
      </w:r>
      <w:r>
        <w:t xml:space="preserve">0.25]; Mann-Whitney p = 0.22). The valence-resolved P300 by loss interaction also</w:t>
      </w:r>
      <w:r>
        <w:t xml:space="preserve"> </w:t>
      </w:r>
      <w:r>
        <w:t xml:space="preserve">did not differ by chronotype (d = -0.08, p = 0.62). A confirmatory binomial mixed</w:t>
      </w:r>
      <w:r>
        <w:t xml:space="preserve"> </w:t>
      </w:r>
      <w:r>
        <w:t xml:space="preserve">model gave p = 0.12 for the P300 by chronotype interaction. The chronotype effect</w:t>
      </w:r>
      <w:r>
        <w:t xml:space="preserve"> </w:t>
      </w:r>
      <w:r>
        <w:t xml:space="preserve">therefore appears to be a between-participant difference in feedback evaluation and</w:t>
      </w:r>
      <w:r>
        <w:t xml:space="preserve"> </w:t>
      </w:r>
      <w:r>
        <w:t xml:space="preserve">choice dynamics, rather than a strong within-participant trial-to-trial coupling</w:t>
      </w:r>
      <w:r>
        <w:t xml:space="preserve"> </w:t>
      </w:r>
      <w:r>
        <w:t xml:space="preserve">from P300 to the next choice.</w:t>
      </w:r>
    </w:p>
    <w:bookmarkEnd w:id="50"/>
    <w:bookmarkEnd w:id="51"/>
    <w:bookmarkStart w:id="59" w:name="discussion"/>
    <w:p>
      <w:pPr>
        <w:pStyle w:val="Heading2"/>
      </w:pPr>
      <w:r>
        <w:t xml:space="preserve">4. Discussion</w:t>
      </w:r>
    </w:p>
    <w:bookmarkStart w:id="52" w:name="overview"/>
    <w:p>
      <w:pPr>
        <w:pStyle w:val="Heading3"/>
      </w:pPr>
      <w:r>
        <w:t xml:space="preserve">4.1 Overview</w:t>
      </w:r>
    </w:p>
    <w:p>
      <w:pPr>
        <w:pStyle w:val="FirstParagraph"/>
      </w:pPr>
      <w:r>
        <w:t xml:space="preserve">In a single cohort of 39 participants, chronotype was related to both the neural and</w:t>
      </w:r>
      <w:r>
        <w:t xml:space="preserve"> </w:t>
      </w:r>
      <w:r>
        <w:t xml:space="preserve">behavioural evaluation of decision feedback. Four findings anchor the account.</w:t>
      </w:r>
      <w:r>
        <w:t xml:space="preserve"> </w:t>
      </w:r>
      <w:r>
        <w:t xml:space="preserve">First, Morning and Evening chronotypes differed in the feedback-locked posterior</w:t>
      </w:r>
      <w:r>
        <w:t xml:space="preserve"> </w:t>
      </w:r>
      <w:r>
        <w:t xml:space="preserve">P300 to outcome valence. Second, chronotype could be predicted from risky-choice</w:t>
      </w:r>
      <w:r>
        <w:t xml:space="preserve"> </w:t>
      </w:r>
      <w:r>
        <w:t xml:space="preserve">dynamics alone. Third, combining behavioural dynamics with validated ERP contrasts</w:t>
      </w:r>
      <w:r>
        <w:t xml:space="preserve"> </w:t>
      </w:r>
      <w:r>
        <w:t xml:space="preserve">predicted chronotype better than either modality alone and also predicted continuous</w:t>
      </w:r>
      <w:r>
        <w:t xml:space="preserve"> </w:t>
      </w:r>
      <w:r>
        <w:t xml:space="preserve">MEQ score. Fourth, two planned negative tests, end-to-end EEG decoding and</w:t>
      </w:r>
      <w:r>
        <w:t xml:space="preserve"> </w:t>
      </w:r>
      <w:r>
        <w:t xml:space="preserve">within-subject single-trial coupling, placed the effect at the between-participant</w:t>
      </w:r>
      <w:r>
        <w:t xml:space="preserve"> </w:t>
      </w:r>
      <w:r>
        <w:t xml:space="preserve">trait level rather than at the level of moment-to-moment neural control of choice.</w:t>
      </w:r>
      <w:r>
        <w:t xml:space="preserve"> </w:t>
      </w:r>
      <w:r>
        <w:t xml:space="preserve">All predictive analyses used participant-generalizing cross-validation and</w:t>
      </w:r>
      <w:r>
        <w:t xml:space="preserve"> </w:t>
      </w:r>
      <w:r>
        <w:t xml:space="preserve">permutation testing. The main evidentiary value is the agreement across distinct</w:t>
      </w:r>
      <w:r>
        <w:t xml:space="preserve"> </w:t>
      </w:r>
      <w:r>
        <w:t xml:space="preserve">analyses, not the accuracy of any single model.</w:t>
      </w:r>
    </w:p>
    <w:bookmarkEnd w:id="52"/>
    <w:bookmarkStart w:id="53" w:name="Xed7cfcf318f46fb61bc10809c3fa2f8274eb28a"/>
    <w:p>
      <w:pPr>
        <w:pStyle w:val="Heading3"/>
      </w:pPr>
      <w:r>
        <w:t xml:space="preserve">4.2 The posterior P300 and the neural evaluation of feedback</w:t>
      </w:r>
    </w:p>
    <w:p>
      <w:pPr>
        <w:pStyle w:val="FirstParagraph"/>
      </w:pPr>
      <w:r>
        <w:t xml:space="preserve">The pre-specified neural hypothesis was supported. Evening participants showed a</w:t>
      </w:r>
      <w:r>
        <w:t xml:space="preserve"> </w:t>
      </w:r>
      <w:r>
        <w:t xml:space="preserve">more negative loss-minus-gain P300 contrast at posterior sites, with a large effect</w:t>
      </w:r>
      <w:r>
        <w:t xml:space="preserve"> </w:t>
      </w:r>
      <w:r>
        <w:t xml:space="preserve">(d approximately 1.0) that survived FDR correction. The effect was stable across</w:t>
      </w:r>
      <w:r>
        <w:t xml:space="preserve"> </w:t>
      </w:r>
      <w:r>
        <w:t xml:space="preserve">participant-exclusion analyses and across the 72-cell specification curve, and it</w:t>
      </w:r>
      <w:r>
        <w:t xml:space="preserve"> </w:t>
      </w:r>
      <w:r>
        <w:t xml:space="preserve">was directionally consistent with the continuous MEQ analysis. Because posterior</w:t>
      </w:r>
      <w:r>
        <w:t xml:space="preserve"> </w:t>
      </w:r>
      <w:r>
        <w:t xml:space="preserve">P300 amplitude is linked to motivational salience and subjective outcome</w:t>
      </w:r>
      <w:r>
        <w:t xml:space="preserve"> </w:t>
      </w:r>
      <w:r>
        <w:t xml:space="preserve">significance (Polich, 2007; Yeung &amp; Sanfey, 2004), this pattern suggests that</w:t>
      </w:r>
      <w:r>
        <w:t xml:space="preserve"> </w:t>
      </w:r>
      <w:r>
        <w:t xml:space="preserve">chronotype is related to how losses and gains are weighted during feedback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The direction of the effect fits prior work showing greater risk-taking,</w:t>
      </w:r>
      <w:r>
        <w:t xml:space="preserve"> </w:t>
      </w:r>
      <w:r>
        <w:t xml:space="preserve">reward-sensitivity, and impulsivity in Evening types (Adan et al., 2010; Killgore,</w:t>
      </w:r>
      <w:r>
        <w:t xml:space="preserve"> </w:t>
      </w:r>
      <w:r>
        <w:t xml:space="preserve">2007; Muro et al., 2012), as well as chronotype-related differences in reward brain</w:t>
      </w:r>
      <w:r>
        <w:t xml:space="preserve"> </w:t>
      </w:r>
      <w:r>
        <w:t xml:space="preserve">function (Hasler et al., 2013; Hasler &amp; Clark, 2013) and circadian modulation of</w:t>
      </w:r>
      <w:r>
        <w:t xml:space="preserve"> </w:t>
      </w:r>
      <w:r>
        <w:t xml:space="preserve">reward motivation (Murray et al., 2009). A smaller posterior-P300 response to losses</w:t>
      </w:r>
      <w:r>
        <w:t xml:space="preserve"> </w:t>
      </w:r>
      <w:r>
        <w:t xml:space="preserve">than gains in Evening participants is consistent with a profile in which losses</w:t>
      </w:r>
      <w:r>
        <w:t xml:space="preserve"> </w:t>
      </w:r>
      <w:r>
        <w:t xml:space="preserve">carry less relative weight during feedback evaluation (cf. loss aversion; Kahneman &amp;</w:t>
      </w:r>
      <w:r>
        <w:t xml:space="preserve"> </w:t>
      </w:r>
      <w:r>
        <w:t xml:space="preserve">Tversky, 1979). The dissociation between the P300 and the FRN is theoretically informative rather</w:t>
      </w:r>
      <w:r>
        <w:t xml:space="preserve"> </w:t>
      </w:r>
      <w:r>
        <w:t xml:space="preserve">than merely a pattern of one significant and one null test. The FRN, and its</w:t>
      </w:r>
      <w:r>
        <w:t xml:space="preserve"> </w:t>
      </w:r>
      <w:r>
        <w:t xml:space="preserve">positive-going counterpart the reward positivity, indexes a fast, relatively</w:t>
      </w:r>
      <w:r>
        <w:t xml:space="preserve"> </w:t>
      </w:r>
      <w:r>
        <w:t xml:space="preserve">automatic valence and reward-prediction-error evaluation of outcomes (Holroyd &amp;</w:t>
      </w:r>
      <w:r>
        <w:t xml:space="preserve"> </w:t>
      </w:r>
      <w:r>
        <w:t xml:space="preserve">Coles, 2002; Proudfit, 2015; Sambrook &amp; Goslin, 2015), whereas the posterior P300</w:t>
      </w:r>
      <w:r>
        <w:t xml:space="preserve"> </w:t>
      </w:r>
      <w:r>
        <w:t xml:space="preserve">indexes a later, more elaborative weighting of outcome salience and significance</w:t>
      </w:r>
      <w:r>
        <w:t xml:space="preserve"> </w:t>
      </w:r>
      <w:r>
        <w:t xml:space="preserve">(Polich, 2007; Yeung &amp; Sanfey, 2004). That chronotype was expressed in the P300 but</w:t>
      </w:r>
      <w:r>
        <w:t xml:space="preserve"> </w:t>
      </w:r>
      <w:r>
        <w:t xml:space="preserve">not the FRN suggests the difference lies in how much motivational significance is</w:t>
      </w:r>
      <w:r>
        <w:t xml:space="preserve"> </w:t>
      </w:r>
      <w:r>
        <w:t xml:space="preserve">assigned to gains relative to losses during this later appraisal stage, rather than</w:t>
      </w:r>
      <w:r>
        <w:t xml:space="preserve"> </w:t>
      </w:r>
      <w:r>
        <w:t xml:space="preserve">in the initial registration of outcome valence — a more specific account than a</w:t>
      </w:r>
      <w:r>
        <w:t xml:space="preserve"> </w:t>
      </w:r>
      <w:r>
        <w:t xml:space="preserve">general claim that chronotype affects feedback processing.</w:t>
      </w:r>
    </w:p>
    <w:bookmarkEnd w:id="53"/>
    <w:bookmarkStart w:id="54" w:name="Xe2f10c49e54ba6247a8c853fd811f02d23b817b"/>
    <w:p>
      <w:pPr>
        <w:pStyle w:val="Heading3"/>
      </w:pPr>
      <w:r>
        <w:t xml:space="preserve">4.3 Combining behavioural and neural evidence</w:t>
      </w:r>
    </w:p>
    <w:p>
      <w:pPr>
        <w:pStyle w:val="FirstParagraph"/>
      </w:pPr>
      <w:r>
        <w:t xml:space="preserve">The strongest support for the interpretation comes from combining behavioural and</w:t>
      </w:r>
      <w:r>
        <w:t xml:space="preserve"> </w:t>
      </w:r>
      <w:r>
        <w:t xml:space="preserve">neural evidence. Chronotype was predicted from risky-choice dynamics alone (GRU AUC</w:t>
      </w:r>
      <w:r>
        <w:t xml:space="preserve"> </w:t>
      </w:r>
      <w:r>
        <w:t xml:space="preserve">= 0.713) and from validated ERP contrasts alone (AUC = 0.668). Combining the two</w:t>
      </w:r>
      <w:r>
        <w:t xml:space="preserve"> </w:t>
      </w:r>
      <w:r>
        <w:t xml:space="preserve">raised prediction to AUC = 0.797 and strengthened the association with continuous</w:t>
      </w:r>
      <w:r>
        <w:t xml:space="preserve"> </w:t>
      </w:r>
      <w:r>
        <w:t xml:space="preserve">MEQ score (r = -0.42). This improvement suggests that long-run choice dynamics and</w:t>
      </w:r>
      <w:r>
        <w:t xml:space="preserve"> </w:t>
      </w:r>
      <w:r>
        <w:t xml:space="preserve">feedback-locked neural responses capture related but non-identical aspects of</w:t>
      </w:r>
      <w:r>
        <w:t xml:space="preserve"> </w:t>
      </w:r>
      <w:r>
        <w:t xml:space="preserve">chronotype.</w:t>
      </w:r>
    </w:p>
    <w:p>
      <w:pPr>
        <w:pStyle w:val="BodyText"/>
      </w:pPr>
      <w:r>
        <w:t xml:space="preserve">The fusion result also aligns with the interpretable feature analysis. The most</w:t>
      </w:r>
      <w:r>
        <w:t xml:space="preserve"> </w:t>
      </w:r>
      <w:r>
        <w:t xml:space="preserve">influential multivariate feature was the same posterior P300 contrast that drove the</w:t>
      </w:r>
      <w:r>
        <w:t xml:space="preserve"> </w:t>
      </w:r>
      <w:r>
        <w:t xml:space="preserve">univariate group effect. At the same time, the predictive findings should not be</w:t>
      </w:r>
      <w:r>
        <w:t xml:space="preserve"> </w:t>
      </w:r>
      <w:r>
        <w:t xml:space="preserve">overstated. The single-model classifier was modest, did not survive correction</w:t>
      </w:r>
      <w:r>
        <w:t xml:space="preserve"> </w:t>
      </w:r>
      <w:r>
        <w:t xml:space="preserve">across the feature-set family, and was sensitive to two participants, although their</w:t>
      </w:r>
      <w:r>
        <w:t xml:space="preserve"> </w:t>
      </w:r>
      <w:r>
        <w:t xml:space="preserve">labels were supported by MEQ. The fused estimate also carries uncertainty</w:t>
      </w:r>
      <w:r>
        <w:t xml:space="preserve"> </w:t>
      </w:r>
      <w:r>
        <w:t xml:space="preserve">(bootstrap CI [0.64, 0.92]). These models are best viewed as evidence for a</w:t>
      </w:r>
      <w:r>
        <w:t xml:space="preserve"> </w:t>
      </w:r>
      <w:r>
        <w:t xml:space="preserve">cross-modal trait signature, not as tools for individual classification.</w:t>
      </w:r>
    </w:p>
    <w:bookmarkEnd w:id="54"/>
    <w:bookmarkStart w:id="55" w:name="a-tentative-computational-mechanism"/>
    <w:p>
      <w:pPr>
        <w:pStyle w:val="Heading3"/>
      </w:pPr>
      <w:r>
        <w:t xml:space="preserve">4.4 A tentative computational mechanism</w:t>
      </w:r>
    </w:p>
    <w:p>
      <w:pPr>
        <w:pStyle w:val="FirstParagraph"/>
      </w:pPr>
      <w:r>
        <w:t xml:space="preserve">The asymmetric reinforcement-learning model was included to ask whether the</w:t>
      </w:r>
      <w:r>
        <w:t xml:space="preserve"> </w:t>
      </w:r>
      <w:r>
        <w:t xml:space="preserve">behavioural and neural findings might reflect altered learning from gains and</w:t>
      </w:r>
      <w:r>
        <w:t xml:space="preserve"> </w:t>
      </w:r>
      <w:r>
        <w:t xml:space="preserve">losses (Frank et al., 2007; Lefebvre et al., 2017). The initial MLE estimates were</w:t>
      </w:r>
      <w:r>
        <w:t xml:space="preserve"> </w:t>
      </w:r>
      <w:r>
        <w:t xml:space="preserve">compatible with greater gain-driven learning and lower choice consistency in Evening</w:t>
      </w:r>
      <w:r>
        <w:t xml:space="preserve"> </w:t>
      </w:r>
      <w:r>
        <w:t xml:space="preserve">participants. That account would fit a broader profile of reward sensitivity and</w:t>
      </w:r>
      <w:r>
        <w:t xml:space="preserve"> </w:t>
      </w:r>
      <w:r>
        <w:t xml:space="preserve">risk-sensitive learning (Niv et al., 2012), possibly under circadian or dopaminergic</w:t>
      </w:r>
      <w:r>
        <w:t xml:space="preserve"> </w:t>
      </w:r>
      <w:r>
        <w:t xml:space="preserve">modulation of reward function (McClung, 2007; Murray et al., 2009; Webb et al.,</w:t>
      </w:r>
      <w:r>
        <w:t xml:space="preserve"> </w:t>
      </w:r>
      <w:r>
        <w:t xml:space="preserve">2009).</w:t>
      </w:r>
    </w:p>
    <w:p>
      <w:pPr>
        <w:pStyle w:val="BodyText"/>
      </w:pPr>
      <w:r>
        <w:t xml:space="preserve">The model did not provide stable mechanistic evidence. The MLE parameter contrasts</w:t>
      </w:r>
      <w:r>
        <w:t xml:space="preserve"> </w:t>
      </w:r>
      <w:r>
        <w:t xml:space="preserve">did not survive hierarchical partial pooling, and subject-level MLE estimates agreed</w:t>
      </w:r>
      <w:r>
        <w:t xml:space="preserve"> </w:t>
      </w:r>
      <w:r>
        <w:t xml:space="preserve">poorly with the hierarchical estimates. In this hidden-sign task, with a limited</w:t>
      </w:r>
      <w:r>
        <w:t xml:space="preserve"> </w:t>
      </w:r>
      <w:r>
        <w:t xml:space="preserve">number of free trials per participant, the RL parameters were weakly identified. The</w:t>
      </w:r>
      <w:r>
        <w:t xml:space="preserve"> </w:t>
      </w:r>
      <w:r>
        <w:t xml:space="preserve">mechanistic account should therefore be treated as a hypothesis for a trial-richer</w:t>
      </w:r>
      <w:r>
        <w:t xml:space="preserve"> </w:t>
      </w:r>
      <w:r>
        <w:t xml:space="preserve">follow-up, not as a confirmed finding. The main behavioural and ERP results do not</w:t>
      </w:r>
      <w:r>
        <w:t xml:space="preserve"> </w:t>
      </w:r>
      <w:r>
        <w:t xml:space="preserve">depend on the RL model.</w:t>
      </w:r>
    </w:p>
    <w:bookmarkEnd w:id="55"/>
    <w:bookmarkStart w:id="56" w:name="Xb9f3a6351c62ad707ee66dc7f8d5767568f910a"/>
    <w:p>
      <w:pPr>
        <w:pStyle w:val="Heading3"/>
      </w:pPr>
      <w:r>
        <w:t xml:space="preserve">4.5 Two informative negatives and a methodological message</w:t>
      </w:r>
    </w:p>
    <w:p>
      <w:pPr>
        <w:pStyle w:val="FirstParagraph"/>
      </w:pPr>
      <w:r>
        <w:t xml:space="preserve">Two planned negative tests sharpen rather than weaken the account. First,</w:t>
      </w:r>
      <w:r>
        <w:t xml:space="preserve"> </w:t>
      </w:r>
      <w:r>
        <w:t xml:space="preserve">end-to-end deep learning on single-trial EEG (EEGNet) decoded the feedback task</w:t>
      </w:r>
      <w:r>
        <w:t xml:space="preserve"> </w:t>
      </w:r>
      <w:r>
        <w:t xml:space="preserve">across unseen participants but did not recover chronotype from learned single-trial</w:t>
      </w:r>
      <w:r>
        <w:t xml:space="preserve"> </w:t>
      </w:r>
      <w:r>
        <w:t xml:space="preserve">features, whereas a small set of theory-driven, FDR-validated ERP contrasts did.</w:t>
      </w:r>
      <w:r>
        <w:t xml:space="preserve"> </w:t>
      </w:r>
      <w:r>
        <w:t xml:space="preserve">At the sample sizes typical of ERP research, validated low-dimensional features can</w:t>
      </w:r>
      <w:r>
        <w:t xml:space="preserve"> </w:t>
      </w:r>
      <w:r>
        <w:t xml:space="preserve">thus outperform representation learning for subtle individual-difference signals,</w:t>
      </w:r>
      <w:r>
        <w:t xml:space="preserve"> </w:t>
      </w:r>
      <w:r>
        <w:t xml:space="preserve">and naive feature learning can dilute a real effect. This is a practical message</w:t>
      </w:r>
      <w:r>
        <w:t xml:space="preserve"> </w:t>
      </w:r>
      <w:r>
        <w:t xml:space="preserve">for small-sample individual-differences EEG, where deep models are data-hungry</w:t>
      </w:r>
      <w:r>
        <w:t xml:space="preserve"> </w:t>
      </w:r>
      <w:r>
        <w:t xml:space="preserve">(Roy et al., 2019) and small samples inflate cross-validated error (Varoquaux,</w:t>
      </w:r>
      <w:r>
        <w:t xml:space="preserve"> </w:t>
      </w:r>
      <w:r>
        <w:t xml:space="preserve">2018). Second, the chronotype effect was not expressed as a within-subject,</w:t>
      </w:r>
      <w:r>
        <w:t xml:space="preserve"> </w:t>
      </w:r>
      <w:r>
        <w:t xml:space="preserve">single-trial coupling between feedback P300 and the subsequent choice. The combined</w:t>
      </w:r>
      <w:r>
        <w:t xml:space="preserve"> </w:t>
      </w:r>
      <w:r>
        <w:t xml:space="preserve">model therefore joins two trait-level signatures: a stable difference in feedback</w:t>
      </w:r>
      <w:r>
        <w:t xml:space="preserve"> </w:t>
      </w:r>
      <w:r>
        <w:t xml:space="preserve">evaluation and a stable difference in choice dynamics. It should not be interpreted</w:t>
      </w:r>
      <w:r>
        <w:t xml:space="preserve"> </w:t>
      </w:r>
      <w:r>
        <w:t xml:space="preserve">as evidence for moment-to-moment neural control of the next risky choice.</w:t>
      </w:r>
    </w:p>
    <w:bookmarkEnd w:id="56"/>
    <w:bookmarkStart w:id="57" w:name="chronotype-as-a-dimensional-trait"/>
    <w:p>
      <w:pPr>
        <w:pStyle w:val="Heading3"/>
      </w:pPr>
      <w:r>
        <w:t xml:space="preserve">4.6 Chronotype as a dimensional trait</w:t>
      </w:r>
    </w:p>
    <w:p>
      <w:pPr>
        <w:pStyle w:val="FirstParagraph"/>
      </w:pPr>
      <w:r>
        <w:t xml:space="preserve">Although the primary analyses used a binary Morning/Evening label, the same feature</w:t>
      </w:r>
      <w:r>
        <w:t xml:space="preserve"> </w:t>
      </w:r>
      <w:r>
        <w:t xml:space="preserve">sets predicted continuous MEQ score (fused r = 0.34). This matters because 12 of 39</w:t>
      </w:r>
      <w:r>
        <w:t xml:space="preserve"> </w:t>
      </w:r>
      <w:r>
        <w:t xml:space="preserve">participants fell in the MEQ intermediate band, where the dichotomy is inherently</w:t>
      </w:r>
      <w:r>
        <w:t xml:space="preserve"> </w:t>
      </w:r>
      <w:r>
        <w:t xml:space="preserve">soft. The dimensional result indicates that the effect is not only a product of</w:t>
      </w:r>
      <w:r>
        <w:t xml:space="preserve"> </w:t>
      </w:r>
      <w:r>
        <w:t xml:space="preserve">dichotomization. Future work should model continuous morningness-eveningness as the</w:t>
      </w:r>
      <w:r>
        <w:t xml:space="preserve"> </w:t>
      </w:r>
      <w:r>
        <w:t xml:space="preserve">primary outcome.</w:t>
      </w:r>
    </w:p>
    <w:bookmarkEnd w:id="57"/>
    <w:bookmarkStart w:id="58" w:name="conclusion"/>
    <w:p>
      <w:pPr>
        <w:pStyle w:val="Heading3"/>
      </w:pPr>
      <w:r>
        <w:t xml:space="preserve">4.7 Conclusion</w:t>
      </w:r>
    </w:p>
    <w:p>
      <w:pPr>
        <w:pStyle w:val="FirstParagraph"/>
      </w:pPr>
      <w:r>
        <w:t xml:space="preserve">This single-cohort study provides preliminary evidence that chronotype is related to</w:t>
      </w:r>
      <w:r>
        <w:t xml:space="preserve"> </w:t>
      </w:r>
      <w:r>
        <w:t xml:space="preserve">the neural evaluation of decision feedback, with the clearest effect in the</w:t>
      </w:r>
      <w:r>
        <w:t xml:space="preserve"> </w:t>
      </w:r>
      <w:r>
        <w:t xml:space="preserve">posterior P300. Behavioural choice dynamics carried additional chronotype</w:t>
      </w:r>
      <w:r>
        <w:t xml:space="preserve"> </w:t>
      </w:r>
      <w:r>
        <w:t xml:space="preserve">information, and combining behavioural and ERP features gave the strongest</w:t>
      </w:r>
      <w:r>
        <w:t xml:space="preserve"> </w:t>
      </w:r>
      <w:r>
        <w:t xml:space="preserve">prediction of both categorical chronotype and continuous MEQ score. The findings</w:t>
      </w:r>
      <w:r>
        <w:t xml:space="preserve"> </w:t>
      </w:r>
      <w:r>
        <w:t xml:space="preserve">are internally validated and require independent replication, but they show how</w:t>
      </w:r>
      <w:r>
        <w:t xml:space="preserve"> </w:t>
      </w:r>
      <w:r>
        <w:t xml:space="preserve">carefully constrained ERP features and behavioural sequence models can be combined</w:t>
      </w:r>
      <w:r>
        <w:t xml:space="preserve"> </w:t>
      </w:r>
      <w:r>
        <w:t xml:space="preserve">to study stable individual differences in modest samples.</w:t>
      </w:r>
    </w:p>
    <w:bookmarkEnd w:id="58"/>
    <w:bookmarkEnd w:id="59"/>
    <w:bookmarkStart w:id="60" w:name="limitations"/>
    <w:p>
      <w:pPr>
        <w:pStyle w:val="Heading2"/>
      </w:pPr>
      <w:r>
        <w:t xml:space="preserve">5. Limitations</w:t>
      </w:r>
    </w:p>
    <w:p>
      <w:pPr>
        <w:pStyle w:val="Compact"/>
        <w:numPr>
          <w:ilvl w:val="0"/>
          <w:numId w:val="1001"/>
        </w:numPr>
      </w:pPr>
      <w:r>
        <w:t xml:space="preserve">The sample is a single cohort of 39 participants and is powered only for large</w:t>
      </w:r>
      <w:r>
        <w:t xml:space="preserve"> </w:t>
      </w:r>
      <w:r>
        <w:t xml:space="preserve">effects; medium and small effects are inconclusive. Findings require</w:t>
      </w:r>
      <w:r>
        <w:t xml:space="preserve"> </w:t>
      </w:r>
      <w:r>
        <w:t xml:space="preserve">independent replication.</w:t>
      </w:r>
    </w:p>
    <w:p>
      <w:pPr>
        <w:pStyle w:val="Compact"/>
        <w:numPr>
          <w:ilvl w:val="0"/>
          <w:numId w:val="1001"/>
        </w:numPr>
      </w:pPr>
      <w:r>
        <w:t xml:space="preserve">Chronotype is analysed as a binary Morning/Evening label. The labels are</w:t>
      </w:r>
      <w:r>
        <w:t xml:space="preserve"> </w:t>
      </w:r>
      <w:r>
        <w:t xml:space="preserve">MEQ-derived and were checked against continuous MEQ score. All 26 decisively</w:t>
      </w:r>
      <w:r>
        <w:t xml:space="preserve"> </w:t>
      </w:r>
      <w:r>
        <w:t xml:space="preserve">scored participants were consistent with the binary label, and both raw-behaviour</w:t>
      </w:r>
      <w:r>
        <w:t xml:space="preserve"> </w:t>
      </w:r>
      <w:r>
        <w:t xml:space="preserve">conflict cases were MEQ-confirmed. However, 12 of 39 participants fell in the MEQ</w:t>
      </w:r>
      <w:r>
        <w:t xml:space="preserve"> </w:t>
      </w:r>
      <w:r>
        <w:t xml:space="preserve">intermediate band, where the dichotomy is inherently soft.</w:t>
      </w:r>
    </w:p>
    <w:p>
      <w:pPr>
        <w:pStyle w:val="Compact"/>
        <w:numPr>
          <w:ilvl w:val="0"/>
          <w:numId w:val="1001"/>
        </w:numPr>
      </w:pPr>
      <w:r>
        <w:t xml:space="preserve">Sex and age were imbalanced across chronotype groups (Evening 68% male and about</w:t>
      </w:r>
      <w:r>
        <w:t xml:space="preserve"> </w:t>
      </w:r>
      <w:r>
        <w:t xml:space="preserve">two years older than Morning). The primary Pz P300 effect survived adjustment for</w:t>
      </w:r>
      <w:r>
        <w:t xml:space="preserve"> </w:t>
      </w:r>
      <w:r>
        <w:t xml:space="preserve">both, but the POz effect attenuated to non-significance and was partly related to</w:t>
      </w:r>
      <w:r>
        <w:t xml:space="preserve"> </w:t>
      </w:r>
      <w:r>
        <w:t xml:space="preserve">age; the sample is too small to fully disentangle chronotype from these covariates.</w:t>
      </w:r>
    </w:p>
    <w:p>
      <w:pPr>
        <w:pStyle w:val="Compact"/>
        <w:numPr>
          <w:ilvl w:val="0"/>
          <w:numId w:val="1001"/>
        </w:numPr>
      </w:pPr>
      <w:r>
        <w:t xml:space="preserve">ERP features are window-level single-trial means and may miss peak-latency,</w:t>
      </w:r>
      <w:r>
        <w:t xml:space="preserve"> </w:t>
      </w:r>
      <w:r>
        <w:t xml:space="preserve">time-frequency, or trial-quality effects.</w:t>
      </w:r>
    </w:p>
    <w:p>
      <w:pPr>
        <w:pStyle w:val="Compact"/>
        <w:numPr>
          <w:ilvl w:val="0"/>
          <w:numId w:val="1001"/>
        </w:numPr>
      </w:pPr>
      <w:r>
        <w:t xml:space="preserve">Participant 1013 has a known EEG/trigger agreement issue after block 10.</w:t>
      </w:r>
    </w:p>
    <w:p>
      <w:pPr>
        <w:pStyle w:val="Compact"/>
        <w:numPr>
          <w:ilvl w:val="0"/>
          <w:numId w:val="1001"/>
        </w:numPr>
      </w:pPr>
      <w:r>
        <w:t xml:space="preserve">Although the pre-specified classifier is significant under nested</w:t>
      </w:r>
      <w:r>
        <w:t xml:space="preserve"> </w:t>
      </w:r>
      <w:r>
        <w:t xml:space="preserve">cross-validation (permutation p = 0.02), it does not survive FDR correction</w:t>
      </w:r>
      <w:r>
        <w:t xml:space="preserve"> </w:t>
      </w:r>
      <w:r>
        <w:t xml:space="preserve">across the family of feature sets and is sensitive to two participants; it is</w:t>
      </w:r>
      <w:r>
        <w:t xml:space="preserve"> </w:t>
      </w:r>
      <w:r>
        <w:t xml:space="preserve">therefore interpreted as an interpretable complement to, not independent</w:t>
      </w:r>
      <w:r>
        <w:t xml:space="preserve"> </w:t>
      </w:r>
      <w:r>
        <w:t xml:space="preserve">confirmation of, the neural effect. Larger samples are needed for a robust</w:t>
      </w:r>
      <w:r>
        <w:t xml:space="preserve"> </w:t>
      </w:r>
      <w:r>
        <w:t xml:space="preserve">predictive model.</w:t>
      </w:r>
    </w:p>
    <w:p>
      <w:pPr>
        <w:pStyle w:val="Compact"/>
        <w:numPr>
          <w:ilvl w:val="0"/>
          <w:numId w:val="1001"/>
        </w:numPr>
      </w:pPr>
      <w:r>
        <w:t xml:space="preserve">All predictive results are internally validated only on one cohort of 39.</w:t>
      </w:r>
      <w:r>
        <w:t xml:space="preserve"> </w:t>
      </w:r>
      <w:r>
        <w:t xml:space="preserve">Robustness was assessed within sample using bootstrap intervals, exclusion</w:t>
      </w:r>
      <w:r>
        <w:t xml:space="preserve"> </w:t>
      </w:r>
      <w:r>
        <w:t xml:space="preserve">analyses, and leave-one-subject-out influence checks, but not against a new</w:t>
      </w:r>
      <w:r>
        <w:t xml:space="preserve"> </w:t>
      </w:r>
      <w:r>
        <w:t xml:space="preserve">dataset. Removing the most influential participant lowered the fused AUC from</w:t>
      </w:r>
      <w:r>
        <w:t xml:space="preserve"> </w:t>
      </w:r>
      <w:r>
        <w:t xml:space="preserve">0.80 to 0.65, so the estimate carries real uncertainty (CI [0.64, 0.92]).</w:t>
      </w:r>
    </w:p>
    <w:p>
      <w:pPr>
        <w:pStyle w:val="Compact"/>
        <w:numPr>
          <w:ilvl w:val="0"/>
          <w:numId w:val="1001"/>
        </w:numPr>
      </w:pPr>
      <w:r>
        <w:t xml:space="preserve">The reinforcement-learning parameters were weakly identified (limited to ~270</w:t>
      </w:r>
      <w:r>
        <w:t xml:space="preserve"> </w:t>
      </w:r>
      <w:r>
        <w:t xml:space="preserve">free trials per participant with hidden random signs). The MLE contrasts did not</w:t>
      </w:r>
      <w:r>
        <w:t xml:space="preserve"> </w:t>
      </w:r>
      <w:r>
        <w:t xml:space="preserve">survive a hierarchical partial-pooling refit, and MLE and hierarchical subject</w:t>
      </w:r>
      <w:r>
        <w:t xml:space="preserve"> </w:t>
      </w:r>
      <w:r>
        <w:t xml:space="preserve">estimates were weakly correlated. The RL account is therefore exploratory, not a</w:t>
      </w:r>
      <w:r>
        <w:t xml:space="preserve"> </w:t>
      </w:r>
      <w:r>
        <w:t xml:space="preserve">confirmed mechanism; the predictive and neural findings do not depend on it.</w:t>
      </w:r>
    </w:p>
    <w:p>
      <w:pPr>
        <w:pStyle w:val="Compact"/>
        <w:numPr>
          <w:ilvl w:val="0"/>
          <w:numId w:val="1001"/>
        </w:numPr>
      </w:pPr>
      <w:r>
        <w:t xml:space="preserve">Findings concern one feedback-based risky-choice paradigm with hidden signs;</w:t>
      </w:r>
      <w:r>
        <w:t xml:space="preserve"> </w:t>
      </w:r>
      <w:r>
        <w:t xml:space="preserve">generalization to other reward/decision tasks is untested.</w:t>
      </w:r>
    </w:p>
    <w:p>
      <w:pPr>
        <w:pStyle w:val="Compact"/>
        <w:numPr>
          <w:ilvl w:val="0"/>
          <w:numId w:val="1001"/>
        </w:numPr>
      </w:pPr>
      <w:r>
        <w:t xml:space="preserve">There is no external validation cohort.</w:t>
      </w:r>
    </w:p>
    <w:bookmarkEnd w:id="60"/>
    <w:bookmarkStart w:id="61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Analysis code and a de-identified participant-level dataset will be made openly available in a public repository upon publication; raw EEG data are available from the corresponding author on reasonable request.</w:t>
      </w:r>
    </w:p>
    <w:bookmarkEnd w:id="61"/>
    <w:bookmarkStart w:id="6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Adan, A., Archer, S. N., Hidalgo, M. P., Di Milia, L., Natale, V., &amp; Randler, C. (2012). Circadian typology: A comprehensive review.</w:t>
      </w:r>
      <w:r>
        <w:t xml:space="preserve"> </w:t>
      </w:r>
      <w:r>
        <w:rPr>
          <w:i/>
          <w:iCs/>
        </w:rPr>
        <w:t xml:space="preserve">Chronobiology International, 29</w:t>
      </w:r>
      <w:r>
        <w:t xml:space="preserve">(9), 1153–1175. https://doi.org/10.3109/07420528.2012.719971</w:t>
      </w:r>
    </w:p>
    <w:p>
      <w:pPr>
        <w:pStyle w:val="BodyText"/>
      </w:pPr>
      <w:r>
        <w:t xml:space="preserve">Adan, A., Natale, V., Caci, H., &amp; Prat, G. (2010). Relationship between circadian typology and functional and dysfunctional impulsivity.</w:t>
      </w:r>
      <w:r>
        <w:t xml:space="preserve"> </w:t>
      </w:r>
      <w:r>
        <w:rPr>
          <w:i/>
          <w:iCs/>
        </w:rPr>
        <w:t xml:space="preserve">Chronobiology International, 27</w:t>
      </w:r>
      <w:r>
        <w:t xml:space="preserve">(3), 606–619. https://doi.org/10.3109/07420521003663827</w:t>
      </w:r>
    </w:p>
    <w:p>
      <w:pPr>
        <w:pStyle w:val="BodyText"/>
      </w:pPr>
      <w:r>
        <w:t xml:space="preserve">Ahn, W.-Y., Haines, N., &amp; Zhang, L. (2017). Revealing neurocomputational mechanisms of reinforcement learning and decision-making with the hBayesDM package.</w:t>
      </w:r>
      <w:r>
        <w:t xml:space="preserve"> </w:t>
      </w:r>
      <w:r>
        <w:rPr>
          <w:i/>
          <w:iCs/>
        </w:rPr>
        <w:t xml:space="preserve">Computational Psychiatry, 1</w:t>
      </w:r>
      <w:r>
        <w:t xml:space="preserve">, 24–57. https://doi.org/10.1162/CPSY_a_00002</w:t>
      </w:r>
    </w:p>
    <w:p>
      <w:pPr>
        <w:pStyle w:val="BodyText"/>
      </w:pPr>
      <w:r>
        <w:t xml:space="preserve">Benjamini, Y., &amp; Hochberg, Y. (1995). Controlling the false discovery rate: A practical and powerful approach to multiple testing.</w:t>
      </w:r>
      <w:r>
        <w:t xml:space="preserve"> </w:t>
      </w:r>
      <w:r>
        <w:rPr>
          <w:i/>
          <w:iCs/>
        </w:rPr>
        <w:t xml:space="preserve">Journal of the Royal Statistical Society: Series B (Methodological), 57</w:t>
      </w:r>
      <w:r>
        <w:t xml:space="preserve">(1), 289–300. https://doi.org/10.1111/j.2517-6161.1995.tb02031.x</w:t>
      </w:r>
    </w:p>
    <w:p>
      <w:pPr>
        <w:pStyle w:val="BodyText"/>
      </w:pPr>
      <w:r>
        <w:t xml:space="preserve">Cho, K., van Merriënboer, B., Gulcehre, C., Bahdanau, D., Bougares, F., Schwenk, H., &amp; Bengio, Y. (2014). Learning phrase representations using RNN encoder–decoder for statistical machine translation. In</w:t>
      </w:r>
      <w:r>
        <w:t xml:space="preserve"> </w:t>
      </w:r>
      <w:r>
        <w:rPr>
          <w:i/>
          <w:iCs/>
        </w:rPr>
        <w:t xml:space="preserve">Proceedings of the 2014 Conference on Empirical Methods in Natural Language Processing (EMNLP)</w:t>
      </w:r>
      <w:r>
        <w:t xml:space="preserve"> </w:t>
      </w:r>
      <w:r>
        <w:t xml:space="preserve">(pp. 1724–1734). https://doi.org/10.3115/v1/D14-1179</w:t>
      </w:r>
    </w:p>
    <w:p>
      <w:pPr>
        <w:pStyle w:val="BodyText"/>
      </w:pPr>
      <w:r>
        <w:t xml:space="preserve">Combrisson, E., &amp; Jerbi, K. (2015). Exceeding chance level by chance: The caveat of theoretical chance levels in brain signal classification and statistical assessment of decoding accuracy.</w:t>
      </w:r>
      <w:r>
        <w:t xml:space="preserve"> </w:t>
      </w:r>
      <w:r>
        <w:rPr>
          <w:i/>
          <w:iCs/>
        </w:rPr>
        <w:t xml:space="preserve">Journal of Neuroscience Methods, 250</w:t>
      </w:r>
      <w:r>
        <w:t xml:space="preserve">, 126–136. https://doi.org/10.1016/j.jneumeth.2015.01.010</w:t>
      </w:r>
    </w:p>
    <w:p>
      <w:pPr>
        <w:pStyle w:val="BodyText"/>
      </w:pPr>
      <w:r>
        <w:t xml:space="preserve">Daw, N. D. (2011). Trial-by-trial data analysis using computational models. In</w:t>
      </w:r>
      <w:r>
        <w:t xml:space="preserve"> </w:t>
      </w:r>
      <w:r>
        <w:rPr>
          <w:i/>
          <w:iCs/>
        </w:rPr>
        <w:t xml:space="preserve">Decision making, affect, and learning: Attention and Performance XXIII</w:t>
      </w:r>
      <w:r>
        <w:t xml:space="preserve"> </w:t>
      </w:r>
      <w:r>
        <w:t xml:space="preserve">(pp. 3–38). Oxford University Press. https://doi.org/10.1093/acprof:oso/9780199600434.003.0001</w:t>
      </w:r>
    </w:p>
    <w:p>
      <w:pPr>
        <w:pStyle w:val="BodyText"/>
      </w:pPr>
      <w:r>
        <w:t xml:space="preserve">Frank, M. J., Moustafa, A. A., Haughey, H. M., Curran, T., &amp; Hutchison, K. E. (2007). Genetic triple dissociation reveals multiple roles for dopamine in reinforcement learning.</w:t>
      </w:r>
      <w:r>
        <w:t xml:space="preserve"> </w:t>
      </w:r>
      <w:r>
        <w:rPr>
          <w:i/>
          <w:iCs/>
        </w:rPr>
        <w:t xml:space="preserve">Proceedings of the National Academy of Sciences, 104</w:t>
      </w:r>
      <w:r>
        <w:t xml:space="preserve">(41), 16311–16316. https://doi.org/10.1073/pnas.0706111104</w:t>
      </w:r>
    </w:p>
    <w:p>
      <w:pPr>
        <w:pStyle w:val="BodyText"/>
      </w:pPr>
      <w:r>
        <w:t xml:space="preserve">Gehring, W. J., &amp; Willoughby, A. R. (2002). The medial frontal cortex and the rapid processing of monetary gains and losses.</w:t>
      </w:r>
      <w:r>
        <w:t xml:space="preserve"> </w:t>
      </w:r>
      <w:r>
        <w:rPr>
          <w:i/>
          <w:iCs/>
        </w:rPr>
        <w:t xml:space="preserve">Science, 295</w:t>
      </w:r>
      <w:r>
        <w:t xml:space="preserve">(5563), 2279–2282. https://doi.org/10.1126/science.1066893</w:t>
      </w:r>
    </w:p>
    <w:p>
      <w:pPr>
        <w:pStyle w:val="BodyText"/>
      </w:pPr>
      <w:r>
        <w:t xml:space="preserve">Gershman, S. J. (2015). Do learning rates adapt to the distribution of rewards?</w:t>
      </w:r>
      <w:r>
        <w:t xml:space="preserve"> </w:t>
      </w:r>
      <w:r>
        <w:rPr>
          <w:i/>
          <w:iCs/>
        </w:rPr>
        <w:t xml:space="preserve">Psychonomic Bulletin &amp; Review, 22</w:t>
      </w:r>
      <w:r>
        <w:t xml:space="preserve">(5), 1320–1327. https://doi.org/10.3758/s13423-014-0790-3</w:t>
      </w:r>
    </w:p>
    <w:p>
      <w:pPr>
        <w:pStyle w:val="BodyText"/>
      </w:pPr>
      <w:r>
        <w:t xml:space="preserve">Hajcak, G., Moser, J. S., Holroyd, C. B., &amp; Simons, R. F. (2007). It’s worse than you thought: The feedback negativity and violations of reward prediction in gambling tasks.</w:t>
      </w:r>
      <w:r>
        <w:t xml:space="preserve"> </w:t>
      </w:r>
      <w:r>
        <w:rPr>
          <w:i/>
          <w:iCs/>
        </w:rPr>
        <w:t xml:space="preserve">Psychophysiology, 44</w:t>
      </w:r>
      <w:r>
        <w:t xml:space="preserve">(6), 905–912. https://doi.org/10.1111/j.1469-8986.2007.00567.x</w:t>
      </w:r>
    </w:p>
    <w:p>
      <w:pPr>
        <w:pStyle w:val="BodyText"/>
      </w:pPr>
      <w:r>
        <w:t xml:space="preserve">Hasler, B. P., &amp; Clark, D. B. (2013). Circadian misalignment, reward-related brain function, and adolescent alcohol involvement.</w:t>
      </w:r>
      <w:r>
        <w:t xml:space="preserve"> </w:t>
      </w:r>
      <w:r>
        <w:rPr>
          <w:i/>
          <w:iCs/>
        </w:rPr>
        <w:t xml:space="preserve">Alcoholism: Clinical and Experimental Research, 37</w:t>
      </w:r>
      <w:r>
        <w:t xml:space="preserve">(4), 558–565. https://doi.org/10.1111/acer.12003</w:t>
      </w:r>
    </w:p>
    <w:p>
      <w:pPr>
        <w:pStyle w:val="BodyText"/>
      </w:pPr>
      <w:r>
        <w:t xml:space="preserve">Hasler, B. P., Sitnick, S. L., Shaw, D. S., &amp; Forbes, E. E. (2013). An altered neural response to reward may contribute to alcohol problems among late adolescents with an evening chronotype.</w:t>
      </w:r>
      <w:r>
        <w:t xml:space="preserve"> </w:t>
      </w:r>
      <w:r>
        <w:rPr>
          <w:i/>
          <w:iCs/>
        </w:rPr>
        <w:t xml:space="preserve">Psychiatry Research: Neuroimaging, 214</w:t>
      </w:r>
      <w:r>
        <w:t xml:space="preserve">(3), 357–364. https://doi.org/10.1016/j.pscychresns.2013.08.005</w:t>
      </w:r>
    </w:p>
    <w:p>
      <w:pPr>
        <w:pStyle w:val="BodyText"/>
      </w:pPr>
      <w:r>
        <w:t xml:space="preserve">Holroyd, C. B., &amp; Coles, M. G. H. (2002). The neural basis of human error processing: Reinforcement learning, dopamine, and the error-related negativity.</w:t>
      </w:r>
      <w:r>
        <w:t xml:space="preserve"> </w:t>
      </w:r>
      <w:r>
        <w:rPr>
          <w:i/>
          <w:iCs/>
        </w:rPr>
        <w:t xml:space="preserve">Psychological Review, 109</w:t>
      </w:r>
      <w:r>
        <w:t xml:space="preserve">(4), 679–709. https://doi.org/10.1037/0033-295X.109.4.679</w:t>
      </w:r>
    </w:p>
    <w:p>
      <w:pPr>
        <w:pStyle w:val="BodyText"/>
      </w:pPr>
      <w:r>
        <w:t xml:space="preserve">Horne, J. A., &amp; Ostberg, O. (1976). A self-assessment questionnaire to determine morningness-eveningness in human circadian rhythms.</w:t>
      </w:r>
      <w:r>
        <w:t xml:space="preserve"> </w:t>
      </w:r>
      <w:r>
        <w:rPr>
          <w:i/>
          <w:iCs/>
        </w:rPr>
        <w:t xml:space="preserve">International Journal of Chronobiology, 4</w:t>
      </w:r>
      <w:r>
        <w:t xml:space="preserve">, 97–110.</w:t>
      </w:r>
    </w:p>
    <w:p>
      <w:pPr>
        <w:pStyle w:val="BodyText"/>
      </w:pPr>
      <w:r>
        <w:t xml:space="preserve">Kahneman, D., &amp; Tversky, A. (1979). Prospect theory: An analysis of decision under risk.</w:t>
      </w:r>
      <w:r>
        <w:t xml:space="preserve"> </w:t>
      </w:r>
      <w:r>
        <w:rPr>
          <w:i/>
          <w:iCs/>
        </w:rPr>
        <w:t xml:space="preserve">Econometrica, 47</w:t>
      </w:r>
      <w:r>
        <w:t xml:space="preserve">(2), 263–291. https://doi.org/10.2307/1914185</w:t>
      </w:r>
    </w:p>
    <w:p>
      <w:pPr>
        <w:pStyle w:val="BodyText"/>
      </w:pPr>
      <w:r>
        <w:t xml:space="preserve">Keil, A., Debener, S., Gratton, G., Junghöfer, M., Kappenman, E. S., Luck, S. J., Luu, P., Miller, G. A., &amp; Yee, C. M. (2014). Committee report: Publication guidelines and recommendations for studies using electroencephalography and magnetoencephalography.</w:t>
      </w:r>
      <w:r>
        <w:t xml:space="preserve"> </w:t>
      </w:r>
      <w:r>
        <w:rPr>
          <w:i/>
          <w:iCs/>
        </w:rPr>
        <w:t xml:space="preserve">Psychophysiology, 51</w:t>
      </w:r>
      <w:r>
        <w:t xml:space="preserve">(1), 1–21. https://doi.org/10.1111/psyp.12147</w:t>
      </w:r>
    </w:p>
    <w:p>
      <w:pPr>
        <w:pStyle w:val="BodyText"/>
      </w:pPr>
      <w:r>
        <w:t xml:space="preserve">Killgore, W. D. S. (2007). Effects of sleep deprivation and morningness-eveningness traits on risk-taking.</w:t>
      </w:r>
      <w:r>
        <w:t xml:space="preserve"> </w:t>
      </w:r>
      <w:r>
        <w:rPr>
          <w:i/>
          <w:iCs/>
        </w:rPr>
        <w:t xml:space="preserve">Psychological Reports, 100</w:t>
      </w:r>
      <w:r>
        <w:t xml:space="preserve">(2), 613–626. https://doi.org/10.2466/pr0.100.2.613-626</w:t>
      </w:r>
    </w:p>
    <w:p>
      <w:pPr>
        <w:pStyle w:val="BodyText"/>
      </w:pPr>
      <w:r>
        <w:t xml:space="preserve">Kriegeskorte, N., Simmons, W. K., Bellgowan, P. S. F., &amp; Baker, C. I. (2009). Circular analysis in systems neuroscience: The dangers of double dipping.</w:t>
      </w:r>
      <w:r>
        <w:t xml:space="preserve"> </w:t>
      </w:r>
      <w:r>
        <w:rPr>
          <w:i/>
          <w:iCs/>
        </w:rPr>
        <w:t xml:space="preserve">Nature Neuroscience, 12</w:t>
      </w:r>
      <w:r>
        <w:t xml:space="preserve">(5), 535–540. https://doi.org/10.1038/nn.2303</w:t>
      </w:r>
    </w:p>
    <w:p>
      <w:pPr>
        <w:pStyle w:val="BodyText"/>
      </w:pPr>
      <w:r>
        <w:t xml:space="preserve">Lakens, D. (2017). Equivalence tests: A practical primer for t tests, correlations, and meta-analyses.</w:t>
      </w:r>
      <w:r>
        <w:t xml:space="preserve"> </w:t>
      </w:r>
      <w:r>
        <w:rPr>
          <w:i/>
          <w:iCs/>
        </w:rPr>
        <w:t xml:space="preserve">Social Psychological and Personality Science, 8</w:t>
      </w:r>
      <w:r>
        <w:t xml:space="preserve">(4), 355–362. https://doi.org/10.1177/1948550617697177</w:t>
      </w:r>
    </w:p>
    <w:p>
      <w:pPr>
        <w:pStyle w:val="BodyText"/>
      </w:pPr>
      <w:r>
        <w:t xml:space="preserve">Lawhern, V. J., Solon, A. J., Waytowich, N. R., Gordon, S. M., Hung, C. P., &amp; Lance, B. J. (2018). EEGNet: A compact convolutional neural network for EEG-based brain-computer interfaces.</w:t>
      </w:r>
      <w:r>
        <w:t xml:space="preserve"> </w:t>
      </w:r>
      <w:r>
        <w:rPr>
          <w:i/>
          <w:iCs/>
        </w:rPr>
        <w:t xml:space="preserve">Journal of Neural Engineering, 15</w:t>
      </w:r>
      <w:r>
        <w:t xml:space="preserve">(5), 056013. https://doi.org/10.1088/1741-2552/aace8c</w:t>
      </w:r>
    </w:p>
    <w:p>
      <w:pPr>
        <w:pStyle w:val="BodyText"/>
      </w:pPr>
      <w:r>
        <w:t xml:space="preserve">Lefebvre, G., Lebreton, M., Meyniel, F., Bourgeois-Gironde, S., &amp; Palminteri, S. (2017). Behavioural and neural characterization of optimistic reinforcement learning.</w:t>
      </w:r>
      <w:r>
        <w:t xml:space="preserve"> </w:t>
      </w:r>
      <w:r>
        <w:rPr>
          <w:i/>
          <w:iCs/>
        </w:rPr>
        <w:t xml:space="preserve">Nature Human Behaviour, 1</w:t>
      </w:r>
      <w:r>
        <w:t xml:space="preserve">(4), Article 0067. https://doi.org/10.1038/s41562-017-0067</w:t>
      </w:r>
    </w:p>
    <w:p>
      <w:pPr>
        <w:pStyle w:val="BodyText"/>
      </w:pPr>
      <w:r>
        <w:t xml:space="preserve">McClung, C. A. (2007). Circadian genes, rhythms and the biology of mood disorders.</w:t>
      </w:r>
      <w:r>
        <w:t xml:space="preserve"> </w:t>
      </w:r>
      <w:r>
        <w:rPr>
          <w:i/>
          <w:iCs/>
        </w:rPr>
        <w:t xml:space="preserve">Pharmacology &amp; Therapeutics, 114</w:t>
      </w:r>
      <w:r>
        <w:t xml:space="preserve">(2), 222–232. https://doi.org/10.1016/j.pharmthera.2007.02.003</w:t>
      </w:r>
    </w:p>
    <w:p>
      <w:pPr>
        <w:pStyle w:val="BodyText"/>
      </w:pPr>
      <w:r>
        <w:t xml:space="preserve">McGowan, N. M., &amp; Coogan, A. N. (2018). Sleep and circadian rhythm function and trait impulsivity: An actigraphy study.</w:t>
      </w:r>
      <w:r>
        <w:t xml:space="preserve"> </w:t>
      </w:r>
      <w:r>
        <w:rPr>
          <w:i/>
          <w:iCs/>
        </w:rPr>
        <w:t xml:space="preserve">Psychiatry Research, 268</w:t>
      </w:r>
      <w:r>
        <w:t xml:space="preserve">, 251–256. https://doi.org/10.1016/j.psychres.2018.07.030</w:t>
      </w:r>
    </w:p>
    <w:p>
      <w:pPr>
        <w:pStyle w:val="BodyText"/>
      </w:pPr>
      <w:r>
        <w:t xml:space="preserve">Miltner, W. H. R., Braun, C. H., &amp; Coles, M. G. H. (1997). Event-related brain potentials following incorrect feedback in a time-estimation task: Evidence for a generic neural system for error detection.</w:t>
      </w:r>
      <w:r>
        <w:t xml:space="preserve"> </w:t>
      </w:r>
      <w:r>
        <w:rPr>
          <w:i/>
          <w:iCs/>
        </w:rPr>
        <w:t xml:space="preserve">Journal of Cognitive Neuroscience, 9</w:t>
      </w:r>
      <w:r>
        <w:t xml:space="preserve">(6), 788–798. https://doi.org/10.1162/jocn.1997.9.6.788</w:t>
      </w:r>
    </w:p>
    <w:p>
      <w:pPr>
        <w:pStyle w:val="BodyText"/>
      </w:pPr>
      <w:r>
        <w:t xml:space="preserve">Muro, A., Gomà-i-Freixanet, M., &amp; Adan, A. (2012). Circadian typology and sensation seeking in adolescents.</w:t>
      </w:r>
      <w:r>
        <w:t xml:space="preserve"> </w:t>
      </w:r>
      <w:r>
        <w:rPr>
          <w:i/>
          <w:iCs/>
        </w:rPr>
        <w:t xml:space="preserve">Chronobiology International, 29</w:t>
      </w:r>
      <w:r>
        <w:t xml:space="preserve">(10), 1376–1382. https://doi.org/10.3109/07420528.2012.728665</w:t>
      </w:r>
    </w:p>
    <w:p>
      <w:pPr>
        <w:pStyle w:val="BodyText"/>
      </w:pPr>
      <w:r>
        <w:t xml:space="preserve">Murray, G., Nicholas, C. L., Kleiman, J., Dwyer, R., Carrington, M. J., Allen, N. B., &amp; Trinder, J. (2009). Nature’s clocks and human mood: The circadian system modulates reward motivation.</w:t>
      </w:r>
      <w:r>
        <w:t xml:space="preserve"> </w:t>
      </w:r>
      <w:r>
        <w:rPr>
          <w:i/>
          <w:iCs/>
        </w:rPr>
        <w:t xml:space="preserve">Emotion, 9</w:t>
      </w:r>
      <w:r>
        <w:t xml:space="preserve">(5), 705–716. https://doi.org/10.1037/a0017080</w:t>
      </w:r>
    </w:p>
    <w:p>
      <w:pPr>
        <w:pStyle w:val="BodyText"/>
      </w:pPr>
      <w:r>
        <w:t xml:space="preserve">Niv, Y., Edlund, J. A., Dayan, P., &amp; O’Doherty, J. P. (2012). Neural prediction errors reveal a risk-sensitive reinforcement-learning process in the human brain.</w:t>
      </w:r>
      <w:r>
        <w:t xml:space="preserve"> </w:t>
      </w:r>
      <w:r>
        <w:rPr>
          <w:i/>
          <w:iCs/>
        </w:rPr>
        <w:t xml:space="preserve">Journal of Neuroscience, 32</w:t>
      </w:r>
      <w:r>
        <w:t xml:space="preserve">(2), 551–562. https://doi.org/10.1523/JNEUROSCI.5498-10.2012</w:t>
      </w:r>
    </w:p>
    <w:p>
      <w:pPr>
        <w:pStyle w:val="BodyText"/>
      </w:pPr>
      <w:r>
        <w:t xml:space="preserve">Poldrack, R. A., Huckins, G., &amp; Varoquaux, G. (2020). Establishment of best practices for evidence for prediction.</w:t>
      </w:r>
      <w:r>
        <w:t xml:space="preserve"> </w:t>
      </w:r>
      <w:r>
        <w:rPr>
          <w:i/>
          <w:iCs/>
        </w:rPr>
        <w:t xml:space="preserve">JAMA Psychiatry, 77</w:t>
      </w:r>
      <w:r>
        <w:t xml:space="preserve">(5), 534–540. https://doi.org/10.1001/jamapsychiatry.2019.3671</w:t>
      </w:r>
    </w:p>
    <w:p>
      <w:pPr>
        <w:pStyle w:val="BodyText"/>
      </w:pPr>
      <w:r>
        <w:t xml:space="preserve">Polich, J. (2007). Updating P300: An integrative theory of P3a and P3b.</w:t>
      </w:r>
      <w:r>
        <w:t xml:space="preserve"> </w:t>
      </w:r>
      <w:r>
        <w:rPr>
          <w:i/>
          <w:iCs/>
        </w:rPr>
        <w:t xml:space="preserve">Clinical Neurophysiology, 118</w:t>
      </w:r>
      <w:r>
        <w:t xml:space="preserve">(10), 2128–2148. https://doi.org/10.1016/j.clinph.2007.04.019</w:t>
      </w:r>
    </w:p>
    <w:p>
      <w:pPr>
        <w:pStyle w:val="BodyText"/>
      </w:pPr>
      <w:r>
        <w:t xml:space="preserve">Proudfit, G. H. (2015). The reward positivity: From basic research on reward to a biomarker for depression.</w:t>
      </w:r>
      <w:r>
        <w:t xml:space="preserve"> </w:t>
      </w:r>
      <w:r>
        <w:rPr>
          <w:i/>
          <w:iCs/>
        </w:rPr>
        <w:t xml:space="preserve">Psychophysiology, 52</w:t>
      </w:r>
      <w:r>
        <w:t xml:space="preserve">(4), 449–459. https://doi.org/10.1111/psyp.12370</w:t>
      </w:r>
    </w:p>
    <w:p>
      <w:pPr>
        <w:pStyle w:val="BodyText"/>
      </w:pPr>
      <w:r>
        <w:t xml:space="preserve">Randler, C., Baumann, V. P., &amp; Horzum, M. B. (2014). Morningness-eveningness, Big Five and the BIS/BAS inventory.</w:t>
      </w:r>
      <w:r>
        <w:t xml:space="preserve"> </w:t>
      </w:r>
      <w:r>
        <w:rPr>
          <w:i/>
          <w:iCs/>
        </w:rPr>
        <w:t xml:space="preserve">Personality and Individual Differences, 66</w:t>
      </w:r>
      <w:r>
        <w:t xml:space="preserve">, 64–67. https://doi.org/10.1016/j.paid.2014.03.010</w:t>
      </w:r>
    </w:p>
    <w:p>
      <w:pPr>
        <w:pStyle w:val="BodyText"/>
      </w:pPr>
      <w:r>
        <w:t xml:space="preserve">Roenneberg, T., Kuehnle, T., Juda, M., Kantermann, T., Allebrandt, K., Gordijn, M., &amp; Merrow, M. (2007). Epidemiology of the human circadian clock.</w:t>
      </w:r>
      <w:r>
        <w:t xml:space="preserve"> </w:t>
      </w:r>
      <w:r>
        <w:rPr>
          <w:i/>
          <w:iCs/>
        </w:rPr>
        <w:t xml:space="preserve">Sleep Medicine Reviews, 11</w:t>
      </w:r>
      <w:r>
        <w:t xml:space="preserve">(6), 429–438. https://doi.org/10.1016/j.smrv.2007.07.005</w:t>
      </w:r>
    </w:p>
    <w:p>
      <w:pPr>
        <w:pStyle w:val="BodyText"/>
      </w:pPr>
      <w:r>
        <w:t xml:space="preserve">Roenneberg, T., Wirz-Justice, A., &amp; Merrow, M. (2003). Life between clocks: Daily temporal patterns of human chronotypes.</w:t>
      </w:r>
      <w:r>
        <w:t xml:space="preserve"> </w:t>
      </w:r>
      <w:r>
        <w:rPr>
          <w:i/>
          <w:iCs/>
        </w:rPr>
        <w:t xml:space="preserve">Journal of Biological Rhythms, 18</w:t>
      </w:r>
      <w:r>
        <w:t xml:space="preserve">(1), 80–90. https://doi.org/10.1177/0748730402239679</w:t>
      </w:r>
    </w:p>
    <w:p>
      <w:pPr>
        <w:pStyle w:val="BodyText"/>
      </w:pPr>
      <w:r>
        <w:t xml:space="preserve">Rouder, J. N., Speckman, P. L., Sun, D., Morey, R. D., &amp; Iverson, G. (2009). Bayesian t tests for accepting and rejecting the null hypothesis.</w:t>
      </w:r>
      <w:r>
        <w:t xml:space="preserve"> </w:t>
      </w:r>
      <w:r>
        <w:rPr>
          <w:i/>
          <w:iCs/>
        </w:rPr>
        <w:t xml:space="preserve">Psychonomic Bulletin &amp; Review, 16</w:t>
      </w:r>
      <w:r>
        <w:t xml:space="preserve">(2), 225–237. https://doi.org/10.3758/PBR.16.2.225</w:t>
      </w:r>
    </w:p>
    <w:p>
      <w:pPr>
        <w:pStyle w:val="BodyText"/>
      </w:pPr>
      <w:r>
        <w:t xml:space="preserve">Roy, Y., Banville, H., Albuquerque, I., Gramfort, A., Falk, T. H., &amp; Faubert, J. (2019). Deep learning-based electroencephalography analysis: A systematic review.</w:t>
      </w:r>
      <w:r>
        <w:t xml:space="preserve"> </w:t>
      </w:r>
      <w:r>
        <w:rPr>
          <w:i/>
          <w:iCs/>
        </w:rPr>
        <w:t xml:space="preserve">Journal of Neural Engineering, 16</w:t>
      </w:r>
      <w:r>
        <w:t xml:space="preserve">(5), 051001. https://doi.org/10.1088/1741-2552/ab260c</w:t>
      </w:r>
    </w:p>
    <w:p>
      <w:pPr>
        <w:pStyle w:val="BodyText"/>
      </w:pPr>
      <w:r>
        <w:t xml:space="preserve">Sambrook, T. D., &amp; Goslin, J. (2015). A neural reward prediction error revealed by a meta-analysis of ERPs using great grand averages.</w:t>
      </w:r>
      <w:r>
        <w:t xml:space="preserve"> </w:t>
      </w:r>
      <w:r>
        <w:rPr>
          <w:i/>
          <w:iCs/>
        </w:rPr>
        <w:t xml:space="preserve">Psychological Bulletin, 141</w:t>
      </w:r>
      <w:r>
        <w:t xml:space="preserve">(1), 213–235. https://doi.org/10.1037/bul0000006</w:t>
      </w:r>
    </w:p>
    <w:p>
      <w:pPr>
        <w:pStyle w:val="BodyText"/>
      </w:pPr>
      <w:r>
        <w:t xml:space="preserve">San Martín, R. (2012). Event-related potential studies of outcome processing and feedback-guided learning.</w:t>
      </w:r>
      <w:r>
        <w:t xml:space="preserve"> </w:t>
      </w:r>
      <w:r>
        <w:rPr>
          <w:i/>
          <w:iCs/>
        </w:rPr>
        <w:t xml:space="preserve">Frontiers in Human Neuroscience, 6</w:t>
      </w:r>
      <w:r>
        <w:t xml:space="preserve">, Article 304. https://doi.org/10.3389/fnhum.2012.00304</w:t>
      </w:r>
    </w:p>
    <w:p>
      <w:pPr>
        <w:pStyle w:val="BodyText"/>
      </w:pPr>
      <w:r>
        <w:t xml:space="preserve">Schirrmeister, R. T., Springenberg, J. T., Fiederer, L. D. J., Glasstetter, M., Eggensperger, K., Tangermann, M., Hutter, F., Burgard, W., &amp; Ball, T. (2017). Deep learning with convolutional neural networks for EEG decoding and visualization.</w:t>
      </w:r>
      <w:r>
        <w:t xml:space="preserve"> </w:t>
      </w:r>
      <w:r>
        <w:rPr>
          <w:i/>
          <w:iCs/>
        </w:rPr>
        <w:t xml:space="preserve">Human Brain Mapping, 38</w:t>
      </w:r>
      <w:r>
        <w:t xml:space="preserve">(11), 5391–5420. https://doi.org/10.1002/hbm.23730</w:t>
      </w:r>
    </w:p>
    <w:p>
      <w:pPr>
        <w:pStyle w:val="BodyText"/>
      </w:pPr>
      <w:r>
        <w:t xml:space="preserve">Sutton, R. S., &amp; Barto, A. G. (2018).</w:t>
      </w:r>
      <w:r>
        <w:t xml:space="preserve"> </w:t>
      </w:r>
      <w:r>
        <w:rPr>
          <w:i/>
          <w:iCs/>
        </w:rPr>
        <w:t xml:space="preserve">Reinforcement learning: An introduction</w:t>
      </w:r>
      <w:r>
        <w:t xml:space="preserve"> </w:t>
      </w:r>
      <w:r>
        <w:t xml:space="preserve">(2nd ed.). MIT Press.</w:t>
      </w:r>
    </w:p>
    <w:p>
      <w:pPr>
        <w:pStyle w:val="BodyText"/>
      </w:pPr>
      <w:r>
        <w:t xml:space="preserve">Varoquaux, G. (2018). Cross-validation failure: Small sample sizes lead to large error bars.</w:t>
      </w:r>
      <w:r>
        <w:t xml:space="preserve"> </w:t>
      </w:r>
      <w:r>
        <w:rPr>
          <w:i/>
          <w:iCs/>
        </w:rPr>
        <w:t xml:space="preserve">NeuroImage, 180</w:t>
      </w:r>
      <w:r>
        <w:t xml:space="preserve">, 68–77. https://doi.org/10.1016/j.neuroimage.2017.06.061</w:t>
      </w:r>
    </w:p>
    <w:p>
      <w:pPr>
        <w:pStyle w:val="BodyText"/>
      </w:pPr>
      <w:r>
        <w:t xml:space="preserve">Walsh, M. M., &amp; Anderson, J. R. (2012). Learning from experience: Event-related potential correlates of reward processing, neural adaptation, and behavioral choice.</w:t>
      </w:r>
      <w:r>
        <w:t xml:space="preserve"> </w:t>
      </w:r>
      <w:r>
        <w:rPr>
          <w:i/>
          <w:iCs/>
        </w:rPr>
        <w:t xml:space="preserve">Neuroscience &amp; Biobehavioral Reviews, 36</w:t>
      </w:r>
      <w:r>
        <w:t xml:space="preserve">(8), 1870–1884. https://doi.org/10.1016/j.neubiorev.2012.05.008</w:t>
      </w:r>
    </w:p>
    <w:p>
      <w:pPr>
        <w:pStyle w:val="BodyText"/>
      </w:pPr>
      <w:r>
        <w:t xml:space="preserve">Webb, I. C., Baltazar, R. M., Wang, X., Pitchers, K. K., Coolen, L. M., &amp; Lehman, M. N. (2009). Diurnal variations in natural and drug reward, mesolimbic tyrosine hydroxylase, and clock gene expression in the male rat.</w:t>
      </w:r>
      <w:r>
        <w:t xml:space="preserve"> </w:t>
      </w:r>
      <w:r>
        <w:rPr>
          <w:i/>
          <w:iCs/>
        </w:rPr>
        <w:t xml:space="preserve">Journal of Biological Rhythms, 24</w:t>
      </w:r>
      <w:r>
        <w:t xml:space="preserve">(6), 465–476. https://doi.org/10.1177/0748730409346657</w:t>
      </w:r>
    </w:p>
    <w:p>
      <w:pPr>
        <w:pStyle w:val="BodyText"/>
      </w:pPr>
      <w:r>
        <w:t xml:space="preserve">Wittmann, M., Dinich, J., Merrow, M., &amp; Roenneberg, T. (2006). Social jetlag: Misalignment of biological and social time.</w:t>
      </w:r>
      <w:r>
        <w:t xml:space="preserve"> </w:t>
      </w:r>
      <w:r>
        <w:rPr>
          <w:i/>
          <w:iCs/>
        </w:rPr>
        <w:t xml:space="preserve">Chronobiology International, 23</w:t>
      </w:r>
      <w:r>
        <w:t xml:space="preserve">(1–2), 497–509. https://doi.org/10.1080/07420520500545979</w:t>
      </w:r>
    </w:p>
    <w:p>
      <w:pPr>
        <w:pStyle w:val="BodyText"/>
      </w:pPr>
      <w:r>
        <w:t xml:space="preserve">Wu, Y., &amp; Zhou, X. (2009). The P300 and reward valence, magnitude, and expectancy in outcome evaluation.</w:t>
      </w:r>
      <w:r>
        <w:t xml:space="preserve"> </w:t>
      </w:r>
      <w:r>
        <w:rPr>
          <w:i/>
          <w:iCs/>
        </w:rPr>
        <w:t xml:space="preserve">Brain Research, 1286</w:t>
      </w:r>
      <w:r>
        <w:t xml:space="preserve">, 114–122. https://doi.org/10.1016/j.brainres.2009.06.032</w:t>
      </w:r>
    </w:p>
    <w:p>
      <w:pPr>
        <w:pStyle w:val="BodyText"/>
      </w:pPr>
      <w:r>
        <w:t xml:space="preserve">Yeung, N., &amp; Sanfey, A. G. (2004). Independent coding of reward magnitude and valence in the human brain.</w:t>
      </w:r>
      <w:r>
        <w:t xml:space="preserve"> </w:t>
      </w:r>
      <w:r>
        <w:rPr>
          <w:i/>
          <w:iCs/>
        </w:rPr>
        <w:t xml:space="preserve">Journal of Neuroscience, 24</w:t>
      </w:r>
      <w:r>
        <w:t xml:space="preserve">(28), 6258–6264. https://doi.org/10.1523/JNEUROSCI.4537-03.2004</w:t>
      </w:r>
    </w:p>
    <w:p>
      <w:r>
        <w:pict>
          <v:rect style="width:0;height:1.5pt" o:hralign="center" o:hrstd="t" o:hr="t"/>
        </w:pic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Chronotype Differences in Feedback-Related P300 and Risky-Choice Dynamics</dc:title>
  <dc:creator/>
  <cp:keywords/>
  <dcterms:created xsi:type="dcterms:W3CDTF">2026-07-08T23:48:23Z</dcterms:created>
  <dcterms:modified xsi:type="dcterms:W3CDTF">2026-07-08T23:48:23Z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