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Project Sudarshan: A Deterministic, Evidence-Gated Engine for Mobile Banking Fraud Analysis and Visual Impersonation Defence</w:t>
      </w:r>
    </w:p>
    <w:p>
      <w:pPr>
        <w:spacing w:after="60"/>
        <w:jc w:val="center"/>
      </w:pPr>
      <w:r>
        <w:rPr>
          <w:rFonts w:ascii="Times New Roman" w:cs="Times New Roman" w:eastAsia="Times New Roman" w:hAnsi="Times New Roman"/>
          <w:sz w:val="24"/>
          <w:szCs w:val="24"/>
        </w:rPr>
        <w:t xml:space="preserve">Prototype Progress and Engineering Benchmark Report</w:t>
      </w:r>
    </w:p>
    <w:p>
      <w:pPr>
        <w:spacing w:after="60"/>
        <w:jc w:val="center"/>
      </w:pPr>
      <w:r>
        <w:rPr>
          <w:rFonts w:ascii="Times New Roman" w:cs="Times New Roman" w:eastAsia="Times New Roman" w:hAnsi="Times New Roman"/>
          <w:i/>
          <w:iCs/>
          <w:sz w:val="20"/>
          <w:szCs w:val="20"/>
        </w:rPr>
        <w:t xml:space="preserve">Project Sudarshan — Autonomous Mobile Banking Fraud Analysis Platform</w:t>
      </w:r>
    </w:p>
    <w:p>
      <w:pPr>
        <w:spacing w:after="240"/>
        <w:jc w:val="center"/>
      </w:pPr>
      <w:r>
        <w:rPr>
          <w:rFonts w:ascii="Times New Roman" w:cs="Times New Roman" w:eastAsia="Times New Roman" w:hAnsi="Times New Roman"/>
          <w:sz w:val="16"/>
          <w:szCs w:val="16"/>
        </w:rPr>
        <w:t xml:space="preserve">Repository commit ec7e6ff · Corpus record digest 1f9cd4c2…ea5f6e</w:t>
      </w:r>
    </w:p>
    <w:p>
      <w:pPr>
        <w:sectPr>
          <w:pgSz w:w="12240" w:h="15840" w:orient="portrait"/>
          <w:pgMar w:top="1080" w:right="900" w:bottom="1440" w:left="900" w:header="708" w:footer="708" w:gutter="0"/>
          <w:pgNumType/>
          <w:cols w:num="1"/>
          <w:docGrid w:linePitch="360"/>
        </w:sectPr>
      </w:pPr>
    </w:p>
    <w:p>
      <w:pPr>
        <w:spacing w:after="10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iCs/>
          <w:sz w:val="18"/>
          <w:szCs w:val="18"/>
        </w:rPr>
        <w:t xml:space="preserve">Android banking trojans defeat commercial multi-engine scanners in two ways: they ship a clean stub and unpack the real payload at runtime, and they stay dormant under observation so a sandbox records nothing. Both failure modes are scored identically by conventional engines — as an absence of malice. This report documents Sudarshan, a working prototype that treats an empty observation as an unresolved question rather than an acquittal. Three contributions are measured: a Visual Impersonation Detection Engine that identifies bank interface clones by perceptual colour distance and normalised view-hierarchy structure rather than by code signatures; a deterministic four-axis Fraud Risk Score whose axes are excluded and renormalised when they carry no data; and an Execution Assertion Matrix recording which of a sample’s own trigger preconditions a sandbox run actually reached. On a 17-sample labelled corpus the engine attains precision and recall of 1.00 at its deployment gate, although the numeric score ranges of the two classes overlap and the separation is produced by evidence-gating rules rather than by the score. That limitation, and seven others, are stated in full.</w:t>
      </w:r>
    </w:p>
    <w:p>
      <w:pPr>
        <w:spacing w:after="200" w:line="2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i/>
          <w:iCs/>
          <w:sz w:val="18"/>
          <w:szCs w:val="18"/>
        </w:rPr>
        <w:t xml:space="preserve">Android banking trojan, visual impersonation, CIEDE2000, dynamic instrumentation, evidence gating, MITRE ATT&amp;CK for Mobile</w:t>
      </w:r>
    </w:p>
    <w:p>
      <w:pPr>
        <w:spacing w:after="120" w:before="240"/>
        <w:jc w:val="center"/>
      </w:pPr>
      <w:r>
        <w:rPr>
          <w:rFonts w:ascii="Times New Roman" w:cs="Times New Roman" w:eastAsia="Times New Roman" w:hAnsi="Times New Roman"/>
          <w:caps/>
          <w:sz w:val="20"/>
          <w:szCs w:val="20"/>
        </w:rPr>
        <w:t xml:space="preserve">I.  INTRODUCTION</w:t>
      </w:r>
    </w:p>
    <w:p>
      <w:pPr>
        <w:spacing w:after="100" w:line="240"/>
        <w:jc w:val="both"/>
      </w:pPr>
      <w:r>
        <w:rPr>
          <w:rFonts w:ascii="Times New Roman" w:cs="Times New Roman" w:eastAsia="Times New Roman" w:hAnsi="Times New Roman"/>
          <w:sz w:val="20"/>
          <w:szCs w:val="20"/>
        </w:rPr>
        <w:t xml:space="preserve">A mobile banking trojan does not need to be sophisticated to be effective. It needs to look like a bank, read one SMS message, and be running when the victim opens the real application. The Indian retail banking threat surface — Drinik, SOVA, and the localised Cerberus and Octo derivatives — is dominated by samples whose static footprint is deliberately unremarkable and whose runtime behaviour is deliberately conditional.</w:t>
      </w:r>
    </w:p>
    <w:p>
      <w:pPr>
        <w:spacing w:after="100" w:line="240"/>
        <w:ind w:firstLine="288"/>
        <w:jc w:val="both"/>
      </w:pPr>
      <w:r>
        <w:rPr>
          <w:rFonts w:ascii="Times New Roman" w:cs="Times New Roman" w:eastAsia="Times New Roman" w:hAnsi="Times New Roman"/>
          <w:sz w:val="20"/>
          <w:szCs w:val="20"/>
        </w:rPr>
        <w:t xml:space="preserve">This defeats the standard analysis pipeline at two specific points.</w:t>
      </w:r>
    </w:p>
    <w:p>
      <w:pPr>
        <w:spacing w:after="100" w:line="240"/>
        <w:ind w:firstLine="288"/>
        <w:jc w:val="both"/>
      </w:pPr>
      <w:r>
        <w:rPr>
          <w:rFonts w:ascii="Times New Roman" w:cs="Times New Roman" w:eastAsia="Times New Roman" w:hAnsi="Times New Roman"/>
          <w:b/>
          <w:bCs/>
          <w:sz w:val="20"/>
          <w:szCs w:val="20"/>
        </w:rPr>
        <w:t xml:space="preserve">Static analysis fails on droppers.</w:t>
      </w:r>
      <w:r>
        <w:rPr>
          <w:rFonts w:ascii="Times New Roman" w:cs="Times New Roman" w:eastAsia="Times New Roman" w:hAnsi="Times New Roman"/>
          <w:sz w:val="20"/>
          <w:szCs w:val="20"/>
        </w:rPr>
        <w:t xml:space="preserve"> The manifest describes a stub. In the labelled corpus used in Section VI, the Hook sample declares </w:t>
      </w:r>
      <w:r>
        <w:rPr>
          <w:rFonts w:ascii="Times New Roman" w:cs="Times New Roman" w:eastAsia="Times New Roman" w:hAnsi="Times New Roman"/>
          <w:i/>
          <w:iCs/>
          <w:sz w:val="20"/>
          <w:szCs w:val="20"/>
        </w:rPr>
        <w:t xml:space="preserve">one</w:t>
      </w:r>
      <w:r>
        <w:rPr>
          <w:rFonts w:ascii="Times New Roman" w:cs="Times New Roman" w:eastAsia="Times New Roman" w:hAnsi="Times New Roman"/>
          <w:sz w:val="20"/>
          <w:szCs w:val="20"/>
        </w:rPr>
        <w:t xml:space="preserve"> permission and zero services, and Anubis declares four. A capability-weighted static score computed over those manifests ranks both samples below a file manager, because the code that will actually run is not in the file being analysed.</w:t>
      </w:r>
    </w:p>
    <w:p>
      <w:pPr>
        <w:spacing w:after="100" w:line="240"/>
        <w:ind w:firstLine="288"/>
        <w:jc w:val="both"/>
      </w:pPr>
      <w:r>
        <w:rPr>
          <w:rFonts w:ascii="Times New Roman" w:cs="Times New Roman" w:eastAsia="Times New Roman" w:hAnsi="Times New Roman"/>
          <w:b/>
          <w:bCs/>
          <w:sz w:val="20"/>
          <w:szCs w:val="20"/>
        </w:rPr>
        <w:t xml:space="preserve">Dynamic analysis fails on dormancy.</w:t>
      </w:r>
      <w:r>
        <w:rPr>
          <w:rFonts w:ascii="Times New Roman" w:cs="Times New Roman" w:eastAsia="Times New Roman" w:hAnsi="Times New Roman"/>
          <w:sz w:val="20"/>
          <w:szCs w:val="20"/>
        </w:rPr>
        <w:t xml:space="preserve"> A sandbox that runs a sample for ninety seconds and records nothing has produced an ambiguous result: either the sample is benign, or its preconditions were never met. Anatsa waits for a targeted banking package to enter the foreground. SOVA waits for an accessibility grant. An SMS stealer waits for a message to arrive. None of these occur in a sterile emulator, and a scoring model that reads the resulting silence as a low behavioural score rewards evasion directly: the better the sample hides, the safer it is rated.</w:t>
      </w:r>
    </w:p>
    <w:p>
      <w:pPr>
        <w:spacing w:after="80" w:line="240"/>
        <w:ind w:firstLine="288"/>
        <w:jc w:val="both"/>
      </w:pPr>
      <w:r>
        <w:rPr>
          <w:rFonts w:ascii="Times New Roman" w:cs="Times New Roman" w:eastAsia="Times New Roman" w:hAnsi="Times New Roman"/>
          <w:sz w:val="20"/>
          <w:szCs w:val="20"/>
        </w:rPr>
        <w:t xml:space="preserve">Sudarshan is an attempt to build a pipeline in which neither failure is silent. Its design commitments are:</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Detect the interface, not the code.</w:t>
      </w:r>
      <w:r>
        <w:rPr>
          <w:rFonts w:ascii="Times New Roman" w:cs="Times New Roman" w:eastAsia="Times New Roman" w:hAnsi="Times New Roman"/>
          <w:sz w:val="20"/>
          <w:szCs w:val="20"/>
        </w:rPr>
        <w:t xml:space="preserve"> A phishing overlay that reproduces a bank’s login screen is recognisable as a clone even when its bytecode is entirely novel.</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Make the formula legible.</w:t>
      </w:r>
      <w:r>
        <w:rPr>
          <w:rFonts w:ascii="Times New Roman" w:cs="Times New Roman" w:eastAsia="Times New Roman" w:hAnsi="Times New Roman"/>
          <w:sz w:val="20"/>
          <w:szCs w:val="20"/>
        </w:rPr>
        <w:t xml:space="preserve"> Every score is a weighted sum of named axes with published weights and per-axis evidence strings; there is no learned model whose verdict cannot be recomputed by hand.</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Never score an absence as a zero.</w:t>
      </w:r>
      <w:r>
        <w:rPr>
          <w:rFonts w:ascii="Times New Roman" w:cs="Times New Roman" w:eastAsia="Times New Roman" w:hAnsi="Times New Roman"/>
          <w:sz w:val="20"/>
          <w:szCs w:val="20"/>
        </w:rPr>
        <w:t xml:space="preserve"> An axis with no data is removed from the formula and the remaining weights are renormalised, rather than contributing a benign-looking zero at full weight.</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Record what the sandbox failed to reach.</w:t>
      </w:r>
      <w:r>
        <w:rPr>
          <w:rFonts w:ascii="Times New Roman" w:cs="Times New Roman" w:eastAsia="Times New Roman" w:hAnsi="Times New Roman"/>
          <w:sz w:val="20"/>
          <w:szCs w:val="20"/>
        </w:rPr>
        <w:t xml:space="preserve"> The Execution Assertion Matrix enumerates six fraud preconditions and reports, per run, which were reached — so a quiet run is labelled </w:t>
      </w:r>
      <w:r>
        <w:rPr>
          <w:rFonts w:ascii="Courier New" w:cs="Courier New" w:eastAsia="Courier New" w:hAnsi="Courier New"/>
          <w:sz w:val="18"/>
          <w:szCs w:val="18"/>
        </w:rPr>
        <w:t xml:space="preserve">INCOMPLETE_EXERCISE</w:t>
      </w:r>
      <w:r>
        <w:rPr>
          <w:rFonts w:ascii="Times New Roman" w:cs="Times New Roman" w:eastAsia="Times New Roman" w:hAnsi="Times New Roman"/>
          <w:sz w:val="20"/>
          <w:szCs w:val="20"/>
        </w:rPr>
        <w:t xml:space="preserve"> rather than </w:t>
      </w:r>
      <w:r>
        <w:rPr>
          <w:rFonts w:ascii="Times New Roman" w:cs="Times New Roman" w:eastAsia="Times New Roman" w:hAnsi="Times New Roman"/>
          <w:i/>
          <w:iCs/>
          <w:sz w:val="20"/>
          <w:szCs w:val="20"/>
        </w:rPr>
        <w:t xml:space="preserve">clean</w:t>
      </w:r>
      <w:r>
        <w:rPr>
          <w:rFonts w:ascii="Times New Roman" w:cs="Times New Roman" w:eastAsia="Times New Roman" w:hAnsi="Times New Roman"/>
          <w:sz w:val="20"/>
          <w:szCs w:val="20"/>
        </w:rPr>
        <w:t xml:space="preserve">.</w:t>
      </w:r>
    </w:p>
    <w:p>
      <w:pPr>
        <w:spacing w:after="100" w:line="240"/>
        <w:ind w:firstLine="288"/>
        <w:jc w:val="both"/>
      </w:pPr>
      <w:r>
        <w:rPr>
          <w:rFonts w:ascii="Times New Roman" w:cs="Times New Roman" w:eastAsia="Times New Roman" w:hAnsi="Times New Roman"/>
          <w:sz w:val="20"/>
          <w:szCs w:val="20"/>
        </w:rPr>
        <w:t xml:space="preserve">The prototype comprises 120 Python modules under </w:t>
      </w:r>
      <w:r>
        <w:rPr>
          <w:rFonts w:ascii="Courier New" w:cs="Courier New" w:eastAsia="Courier New" w:hAnsi="Courier New"/>
          <w:sz w:val="18"/>
          <w:szCs w:val="18"/>
        </w:rPr>
        <w:t xml:space="preserve">shared/sudarshan_core/</w:t>
      </w:r>
      <w:r>
        <w:rPr>
          <w:rFonts w:ascii="Times New Roman" w:cs="Times New Roman" w:eastAsia="Times New Roman" w:hAnsi="Times New Roman"/>
          <w:sz w:val="20"/>
          <w:szCs w:val="20"/>
        </w:rPr>
        <w:t xml:space="preserve">, a 2,309-line Frida instrumentation agent, 122 React/TypeScript components, and 92 Python test modules. All measurements in this report were taken from that tree at commit </w:t>
      </w:r>
      <w:r>
        <w:rPr>
          <w:rFonts w:ascii="Courier New" w:cs="Courier New" w:eastAsia="Courier New" w:hAnsi="Courier New"/>
          <w:sz w:val="18"/>
          <w:szCs w:val="18"/>
        </w:rPr>
        <w:t xml:space="preserve">ec7e6ff</w:t>
      </w:r>
      <w:r>
        <w:rPr>
          <w:rFonts w:ascii="Times New Roman" w:cs="Times New Roman" w:eastAsia="Times New Roman" w:hAnsi="Times New Roman"/>
          <w:sz w:val="20"/>
          <w:szCs w:val="20"/>
        </w:rPr>
        <w:t xml:space="preserve">.</w:t>
      </w:r>
    </w:p>
    <w:p>
      <w:pPr>
        <w:spacing w:after="120" w:before="240"/>
        <w:jc w:val="center"/>
      </w:pPr>
      <w:r>
        <w:rPr>
          <w:rFonts w:ascii="Times New Roman" w:cs="Times New Roman" w:eastAsia="Times New Roman" w:hAnsi="Times New Roman"/>
          <w:caps/>
          <w:sz w:val="20"/>
          <w:szCs w:val="20"/>
        </w:rPr>
        <w:t xml:space="preserve">II.  THREAT MODEL AND SYSTEM ARCHITECTURE</w:t>
      </w:r>
    </w:p>
    <w:p>
      <w:pPr>
        <w:spacing w:after="80" w:before="160"/>
      </w:pPr>
      <w:r>
        <w:rPr>
          <w:rFonts w:ascii="Times New Roman" w:cs="Times New Roman" w:eastAsia="Times New Roman" w:hAnsi="Times New Roman"/>
          <w:i/>
          <w:iCs/>
          <w:sz w:val="20"/>
          <w:szCs w:val="20"/>
        </w:rPr>
        <w:t xml:space="preserve">A. Adversary model</w:t>
      </w:r>
    </w:p>
    <w:p>
      <w:pPr>
        <w:spacing w:after="100" w:line="240"/>
        <w:jc w:val="both"/>
      </w:pPr>
      <w:r>
        <w:rPr>
          <w:rFonts w:ascii="Times New Roman" w:cs="Times New Roman" w:eastAsia="Times New Roman" w:hAnsi="Times New Roman"/>
          <w:sz w:val="20"/>
          <w:szCs w:val="20"/>
        </w:rPr>
        <w:t xml:space="preserve">The adversary controls the APK entirely and is assumed to know that automated analysis is occurring. Specifically, the adversary may: (i) ship arbitrary encrypted payloads as assets and decrypt them into memory at runtime; (ii) obfuscate all identifiers and construct all sensitive strings by reflection; (iii) fingerprint the analysis environment via </w:t>
      </w:r>
      <w:r>
        <w:rPr>
          <w:rFonts w:ascii="Courier New" w:cs="Courier New" w:eastAsia="Courier New" w:hAnsi="Courier New"/>
          <w:sz w:val="18"/>
          <w:szCs w:val="18"/>
        </w:rPr>
        <w:t xml:space="preserve">SystemProperties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Build</w:t>
      </w:r>
      <w:r>
        <w:rPr>
          <w:rFonts w:ascii="Times New Roman" w:cs="Times New Roman" w:eastAsia="Times New Roman" w:hAnsi="Times New Roman"/>
          <w:sz w:val="20"/>
          <w:szCs w:val="20"/>
        </w:rPr>
        <w:t xml:space="preserve"> fields, </w:t>
      </w:r>
      <w:r>
        <w:rPr>
          <w:rFonts w:ascii="Courier New" w:cs="Courier New" w:eastAsia="Courier New" w:hAnsi="Courier New"/>
          <w:sz w:val="18"/>
          <w:szCs w:val="18"/>
        </w:rPr>
        <w:t xml:space="preserve">/proc</w:t>
      </w:r>
      <w:r>
        <w:rPr>
          <w:rFonts w:ascii="Times New Roman" w:cs="Times New Roman" w:eastAsia="Times New Roman" w:hAnsi="Times New Roman"/>
          <w:sz w:val="20"/>
          <w:szCs w:val="20"/>
        </w:rPr>
        <w:t xml:space="preserve"> inspection, and debugger checks; (iv) gate all malicious behaviour behind preconditions that a sterile sandbox does not satisfy; and (v) reproduce a bank’s user interface pixel-for-pixel under a package name and signing certificate of the adversary’s choosing.</w:t>
      </w:r>
    </w:p>
    <w:p>
      <w:pPr>
        <w:spacing w:after="100" w:line="240"/>
        <w:ind w:firstLine="288"/>
        <w:jc w:val="both"/>
      </w:pPr>
      <w:r>
        <w:rPr>
          <w:rFonts w:ascii="Times New Roman" w:cs="Times New Roman" w:eastAsia="Times New Roman" w:hAnsi="Times New Roman"/>
          <w:sz w:val="20"/>
          <w:szCs w:val="20"/>
        </w:rPr>
        <w:t xml:space="preserve">The adversary is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assumed to be able to defeat in-process instrumentation once the payload executes, nor to be able to make a cloned banking interface visually distinct from the interface it is cloning — the attack requires the victim to be deceived, which bounds how far the clone can diverge. Those two residual constraints are what Sections III and IV exploit.</w:t>
      </w:r>
    </w:p>
    <w:p>
      <w:pPr>
        <w:spacing w:after="80" w:before="160"/>
      </w:pPr>
      <w:r>
        <w:rPr>
          <w:rFonts w:ascii="Times New Roman" w:cs="Times New Roman" w:eastAsia="Times New Roman" w:hAnsi="Times New Roman"/>
          <w:i/>
          <w:iCs/>
          <w:sz w:val="20"/>
          <w:szCs w:val="20"/>
        </w:rPr>
        <w:t xml:space="preserve">B. Pipeline</w:t>
      </w:r>
    </w:p>
    <w:p>
      <w:pPr>
        <w:spacing w:after="80" w:line="240"/>
        <w:jc w:val="both"/>
      </w:pPr>
      <w:r>
        <w:rPr>
          <w:rFonts w:ascii="Times New Roman" w:cs="Times New Roman" w:eastAsia="Times New Roman" w:hAnsi="Times New Roman"/>
          <w:sz w:val="20"/>
          <w:szCs w:val="20"/>
        </w:rPr>
        <w:t xml:space="preserve">Analysis proceeds through five stages, each of which emits structured evidence records rather than a scalar:</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Static intake.</w:t>
      </w:r>
      <w:r>
        <w:rPr>
          <w:rFonts w:ascii="Times New Roman" w:cs="Times New Roman" w:eastAsia="Times New Roman" w:hAnsi="Times New Roman"/>
          <w:sz w:val="20"/>
          <w:szCs w:val="20"/>
        </w:rPr>
        <w:t xml:space="preserve"> Dual decompilation via a MobSF container client (</w:t>
      </w:r>
      <w:r>
        <w:rPr>
          <w:rFonts w:ascii="Courier New" w:cs="Courier New" w:eastAsia="Courier New" w:hAnsi="Courier New"/>
          <w:sz w:val="18"/>
          <w:szCs w:val="18"/>
        </w:rPr>
        <w:t xml:space="preserve">services/mobsf_client.py</w:t>
      </w:r>
      <w:r>
        <w:rPr>
          <w:rFonts w:ascii="Times New Roman" w:cs="Times New Roman" w:eastAsia="Times New Roman" w:hAnsi="Times New Roman"/>
          <w:sz w:val="20"/>
          <w:szCs w:val="20"/>
        </w:rPr>
        <w:t xml:space="preserve">) and a native Androguard-based analyser (</w:t>
      </w:r>
      <w:r>
        <w:rPr>
          <w:rFonts w:ascii="Courier New" w:cs="Courier New" w:eastAsia="Courier New" w:hAnsi="Courier New"/>
          <w:sz w:val="18"/>
          <w:szCs w:val="18"/>
        </w:rPr>
        <w:t xml:space="preserve">analyzers/apk_analyzer.py</w:t>
      </w:r>
      <w:r>
        <w:rPr>
          <w:rFonts w:ascii="Times New Roman" w:cs="Times New Roman" w:eastAsia="Times New Roman" w:hAnsi="Times New Roman"/>
          <w:sz w:val="20"/>
          <w:szCs w:val="20"/>
        </w:rPr>
        <w:t xml:space="preserve">), producing the manifest permission set, certificate block, dangerous-API inventory, string-pool entropy, and hardcoded network indicators.</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Visual profiling (VIDE).</w:t>
      </w:r>
      <w:r>
        <w:rPr>
          <w:rFonts w:ascii="Times New Roman" w:cs="Times New Roman" w:eastAsia="Times New Roman" w:hAnsi="Times New Roman"/>
          <w:sz w:val="20"/>
          <w:szCs w:val="20"/>
        </w:rPr>
        <w:t xml:space="preserve"> Extraction of a UI profile — strings, view sequence, colour palette — from layout XML, WebView HTML, JavaScript bundles, and asset stylesheets (</w:t>
      </w:r>
      <w:r>
        <w:rPr>
          <w:rFonts w:ascii="Courier New" w:cs="Courier New" w:eastAsia="Courier New" w:hAnsi="Courier New"/>
          <w:sz w:val="18"/>
          <w:szCs w:val="18"/>
        </w:rPr>
        <w:t xml:space="preserve">engines/vide/pipeline.py</w:t>
      </w:r>
      <w:r>
        <w:rPr>
          <w:rFonts w:ascii="Times New Roman" w:cs="Times New Roman" w:eastAsia="Times New Roman" w:hAnsi="Times New Roman"/>
          <w:sz w:val="20"/>
          <w:szCs w:val="20"/>
        </w:rPr>
        <w:t xml:space="preserve">), then comparison against institution baselines.</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Dynamic instrumentation.</w:t>
      </w:r>
      <w:r>
        <w:rPr>
          <w:rFonts w:ascii="Times New Roman" w:cs="Times New Roman" w:eastAsia="Times New Roman" w:hAnsi="Times New Roman"/>
          <w:sz w:val="20"/>
          <w:szCs w:val="20"/>
        </w:rPr>
        <w:t xml:space="preserve"> Frida attachment with ART deoptimisation, 67 distinct Java hooks, clock control, and synthetic device state.</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Threat correlation.</w:t>
      </w:r>
      <w:r>
        <w:rPr>
          <w:rFonts w:ascii="Times New Roman" w:cs="Times New Roman" w:eastAsia="Times New Roman" w:hAnsi="Times New Roman"/>
          <w:sz w:val="20"/>
          <w:szCs w:val="20"/>
        </w:rPr>
        <w:t xml:space="preserve"> Concurrent lookups against VirusTotal (file hash, URLs), AlienVault OTX (hash, domains), and AbuseIPDB (IPs), with a 24-hour indicator cache (</w:t>
      </w:r>
      <w:r>
        <w:rPr>
          <w:rFonts w:ascii="Courier New" w:cs="Courier New" w:eastAsia="Courier New" w:hAnsi="Courier New"/>
          <w:sz w:val="18"/>
          <w:szCs w:val="18"/>
        </w:rPr>
        <w:t xml:space="preserve">services/threat_correlator.py</w:t>
      </w:r>
      <w:r>
        <w:rPr>
          <w:rFonts w:ascii="Times New Roman" w:cs="Times New Roman" w:eastAsia="Times New Roman" w:hAnsi="Times New Roman"/>
          <w:sz w:val="20"/>
          <w:szCs w:val="20"/>
        </w:rPr>
        <w:t xml:space="preserve">). The axis is marked unavailable, not zero, when no API keys are provisioned.</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Scoring and synthesis.</w:t>
      </w:r>
      <w:r>
        <w:rPr>
          <w:rFonts w:ascii="Times New Roman" w:cs="Times New Roman" w:eastAsia="Times New Roman" w:hAnsi="Times New Roman"/>
          <w:sz w:val="20"/>
          <w:szCs w:val="20"/>
        </w:rPr>
        <w:t xml:space="preserve"> The deterministic risk engine followed by a retrieval-grounded Gemini narrative (</w:t>
      </w:r>
      <w:r>
        <w:rPr>
          <w:rFonts w:ascii="Courier New" w:cs="Courier New" w:eastAsia="Courier New" w:hAnsi="Courier New"/>
          <w:sz w:val="18"/>
          <w:szCs w:val="18"/>
        </w:rPr>
        <w:t xml:space="preserve">backend/app/ai/gemini_rag.py</w:t>
      </w:r>
      <w:r>
        <w:rPr>
          <w:rFonts w:ascii="Times New Roman" w:cs="Times New Roman" w:eastAsia="Times New Roman" w:hAnsi="Times New Roman"/>
          <w:sz w:val="20"/>
          <w:szCs w:val="20"/>
        </w:rPr>
        <w:t xml:space="preserve">, model </w:t>
      </w:r>
      <w:r>
        <w:rPr>
          <w:rFonts w:ascii="Courier New" w:cs="Courier New" w:eastAsia="Courier New" w:hAnsi="Courier New"/>
          <w:sz w:val="18"/>
          <w:szCs w:val="18"/>
        </w:rPr>
        <w:t xml:space="preserve">gemini-2.5-flash</w:t>
      </w:r>
      <w:r>
        <w:rPr>
          <w:rFonts w:ascii="Times New Roman" w:cs="Times New Roman" w:eastAsia="Times New Roman" w:hAnsi="Times New Roman"/>
          <w:sz w:val="20"/>
          <w:szCs w:val="20"/>
        </w:rPr>
        <w:t xml:space="preserve">) constrained to an evidence index built from the case record.</w:t>
      </w:r>
    </w:p>
    <w:p>
      <w:pPr>
        <w:spacing w:after="100" w:line="240"/>
        <w:ind w:firstLine="288"/>
        <w:jc w:val="both"/>
      </w:pPr>
      <w:r>
        <w:rPr>
          <w:rFonts w:ascii="Times New Roman" w:cs="Times New Roman" w:eastAsia="Times New Roman" w:hAnsi="Times New Roman"/>
          <w:sz w:val="20"/>
          <w:szCs w:val="20"/>
        </w:rPr>
        <w:t xml:space="preserve">Runtime state is exposed to the investigator dashboard through eight endpoints under </w:t>
      </w:r>
      <w:r>
        <w:rPr>
          <w:rFonts w:ascii="Courier New" w:cs="Courier New" w:eastAsia="Courier New" w:hAnsi="Courier New"/>
          <w:sz w:val="18"/>
          <w:szCs w:val="18"/>
        </w:rPr>
        <w:t xml:space="preserve">/runtime/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backend/app/routes/runtime_api.py</w:t>
      </w:r>
      <w:r>
        <w:rPr>
          <w:rFonts w:ascii="Times New Roman" w:cs="Times New Roman" w:eastAsia="Times New Roman" w:hAnsi="Times New Roman"/>
          <w:sz w:val="20"/>
          <w:szCs w:val="20"/>
        </w:rPr>
        <w:t xml:space="preserve">), covering health, hook inventory, live events, pipeline stage, metrics, evidence, and diagnostics.</w:t>
      </w:r>
    </w:p>
    <w:p>
      <w:pPr>
        <w:spacing w:after="120" w:before="240"/>
        <w:jc w:val="center"/>
      </w:pPr>
      <w:r>
        <w:rPr>
          <w:rFonts w:ascii="Times New Roman" w:cs="Times New Roman" w:eastAsia="Times New Roman" w:hAnsi="Times New Roman"/>
          <w:caps/>
          <w:sz w:val="20"/>
          <w:szCs w:val="20"/>
        </w:rPr>
        <w:t xml:space="preserve">III.  THE VISUAL IMPERSONATION DETECTION ENGINE</w:t>
      </w:r>
    </w:p>
    <w:p>
      <w:pPr>
        <w:spacing w:after="80" w:before="160"/>
      </w:pPr>
      <w:r>
        <w:rPr>
          <w:rFonts w:ascii="Times New Roman" w:cs="Times New Roman" w:eastAsia="Times New Roman" w:hAnsi="Times New Roman"/>
          <w:i/>
          <w:iCs/>
          <w:sz w:val="20"/>
          <w:szCs w:val="20"/>
        </w:rPr>
        <w:t xml:space="preserve">A. Problem statement</w:t>
      </w:r>
    </w:p>
    <w:p>
      <w:pPr>
        <w:spacing w:after="100" w:line="240"/>
        <w:jc w:val="both"/>
      </w:pPr>
      <w:r>
        <w:rPr>
          <w:rFonts w:ascii="Times New Roman" w:cs="Times New Roman" w:eastAsia="Times New Roman" w:hAnsi="Times New Roman"/>
          <w:sz w:val="20"/>
          <w:szCs w:val="20"/>
        </w:rPr>
        <w:t xml:space="preserve">A credential-harvesting overlay is a user-interface artefact. Its bytecode may be freshly written, its strings may be constructed at runtime, and its assets may be fetched from a C2 server after installation — in which case every signature, permission-count, and entropy heuristic returns nothing of interest. What the attack cannot vary is the appearance, because a login screen that does not look like the bank’s login screen does not harvest credentials.</w:t>
      </w:r>
    </w:p>
    <w:p>
      <w:pPr>
        <w:spacing w:after="100" w:line="240"/>
        <w:ind w:firstLine="288"/>
        <w:jc w:val="both"/>
      </w:pPr>
      <w:r>
        <w:rPr>
          <w:rFonts w:ascii="Times New Roman" w:cs="Times New Roman" w:eastAsia="Times New Roman" w:hAnsi="Times New Roman"/>
          <w:sz w:val="20"/>
          <w:szCs w:val="20"/>
        </w:rPr>
        <w:t xml:space="preserve">VIDE therefore compares the </w:t>
      </w:r>
      <w:r>
        <w:rPr>
          <w:rFonts w:ascii="Times New Roman" w:cs="Times New Roman" w:eastAsia="Times New Roman" w:hAnsi="Times New Roman"/>
          <w:i/>
          <w:iCs/>
          <w:sz w:val="20"/>
          <w:szCs w:val="20"/>
        </w:rPr>
        <w:t xml:space="preserve">rendered identity</w:t>
      </w:r>
      <w:r>
        <w:rPr>
          <w:rFonts w:ascii="Times New Roman" w:cs="Times New Roman" w:eastAsia="Times New Roman" w:hAnsi="Times New Roman"/>
          <w:sz w:val="20"/>
          <w:szCs w:val="20"/>
        </w:rPr>
        <w:t xml:space="preserve"> of a suspect application against baselines for protected institutions, on three axes, and then applies an entitlement test.</w:t>
      </w:r>
    </w:p>
    <w:p>
      <w:pPr>
        <w:spacing w:after="80" w:before="160"/>
      </w:pPr>
      <w:r>
        <w:rPr>
          <w:rFonts w:ascii="Times New Roman" w:cs="Times New Roman" w:eastAsia="Times New Roman" w:hAnsi="Times New Roman"/>
          <w:i/>
          <w:iCs/>
          <w:sz w:val="20"/>
          <w:szCs w:val="20"/>
        </w:rPr>
        <w:t xml:space="preserve">B. Perceptual colour distance</w:t>
      </w:r>
    </w:p>
    <w:p>
      <w:pPr>
        <w:spacing w:after="100" w:line="240"/>
        <w:jc w:val="both"/>
      </w:pPr>
      <w:r>
        <w:rPr>
          <w:rFonts w:ascii="Times New Roman" w:cs="Times New Roman" w:eastAsia="Times New Roman" w:hAnsi="Times New Roman"/>
          <w:sz w:val="20"/>
          <w:szCs w:val="20"/>
        </w:rPr>
        <w:t xml:space="preserve">Exact hexadecimal equality is the wrong comparison. A clone redrawn in a design tool, or a palette recovered from a screenshot, lands a few units away from the official brand value while remaining visually identical to the victim. Conversely, raw RGB Euclidean distance is not perceptually uniform: the same numeric distance is far more visible in some regions of the colour space than others, and bank palettes are dominated by saturated blues and reds — exactly where the older ΔE</w:t>
      </w:r>
      <w:r>
        <w:rPr>
          <w:rFonts w:ascii="Times New Roman" w:cs="Times New Roman" w:eastAsia="Times New Roman" w:hAnsi="Times New Roman"/>
          <w:sz w:val="20"/>
          <w:szCs w:val="20"/>
          <w:vertAlign w:val="subscript"/>
        </w:rPr>
        <w:t xml:space="preserve">76</w:t>
      </w:r>
      <w:r>
        <w:rPr>
          <w:rFonts w:ascii="Times New Roman" w:cs="Times New Roman" w:eastAsia="Times New Roman" w:hAnsi="Times New Roman"/>
          <w:sz w:val="20"/>
          <w:szCs w:val="20"/>
        </w:rPr>
        <w:t xml:space="preserve"> and ΔE</w:t>
      </w:r>
      <w:r>
        <w:rPr>
          <w:rFonts w:ascii="Times New Roman" w:cs="Times New Roman" w:eastAsia="Times New Roman" w:hAnsi="Times New Roman"/>
          <w:sz w:val="20"/>
          <w:szCs w:val="20"/>
          <w:vertAlign w:val="subscript"/>
        </w:rPr>
        <w:t xml:space="preserve">94</w:t>
      </w:r>
      <w:r>
        <w:rPr>
          <w:rFonts w:ascii="Times New Roman" w:cs="Times New Roman" w:eastAsia="Times New Roman" w:hAnsi="Times New Roman"/>
          <w:sz w:val="20"/>
          <w:szCs w:val="20"/>
        </w:rPr>
        <w:t xml:space="preserve"> formulae misbehave.</w:t>
      </w:r>
    </w:p>
    <w:p>
      <w:pPr>
        <w:spacing w:after="60" w:line="240"/>
        <w:ind w:firstLine="288"/>
        <w:jc w:val="both"/>
      </w:pPr>
      <w:r>
        <w:rPr>
          <w:rFonts w:ascii="Times New Roman" w:cs="Times New Roman" w:eastAsia="Times New Roman" w:hAnsi="Times New Roman"/>
          <w:sz w:val="20"/>
          <w:szCs w:val="20"/>
        </w:rPr>
        <w:t xml:space="preserve">The implementation (</w:t>
      </w:r>
      <w:r>
        <w:rPr>
          <w:rFonts w:ascii="Courier New" w:cs="Courier New" w:eastAsia="Courier New" w:hAnsi="Courier New"/>
          <w:sz w:val="18"/>
          <w:szCs w:val="18"/>
        </w:rPr>
        <w:t xml:space="preserve">engines/vide/color_match.py</w:t>
      </w:r>
      <w:r>
        <w:rPr>
          <w:rFonts w:ascii="Times New Roman" w:cs="Times New Roman" w:eastAsia="Times New Roman" w:hAnsi="Times New Roman"/>
          <w:sz w:val="20"/>
          <w:szCs w:val="20"/>
        </w:rPr>
        <w:t xml:space="preserve">) therefore converts sRGB to CIELAB under the D65 white point and computes the full CIEDE2000 difference:</w:t>
      </w:r>
    </w:p>
    <w:p>
      <w:pPr>
        <w:spacing w:after="100" w:before="100"/>
        <w:jc w:val="center"/>
      </w:pPr>
      <w:r>
        <w:rPr>
          <w:rFonts w:ascii="Times New Roman" w:cs="Times New Roman" w:eastAsia="Times New Roman" w:hAnsi="Times New Roman"/>
          <w:i w:val="false"/>
          <w:iCs w:val="false"/>
          <w:sz w:val="20"/>
          <w:szCs w:val="20"/>
        </w:rPr>
        <w:t xml:space="preserve">ΔE</w:t>
      </w:r>
      <w:r>
        <w:rPr>
          <w:rFonts w:ascii="Times New Roman" w:cs="Times New Roman" w:eastAsia="Times New Roman" w:hAnsi="Times New Roman"/>
          <w:i w:val="false"/>
          <w:iCs w:val="false"/>
          <w:sz w:val="20"/>
          <w:szCs w:val="20"/>
          <w:vertAlign w:val="subscript"/>
        </w:rPr>
        <w:t xml:space="preserve">00</w:t>
      </w:r>
      <w:r>
        <w:rPr>
          <w:rFonts w:ascii="Times New Roman" w:cs="Times New Roman" w:eastAsia="Times New Roman" w:hAnsi="Times New Roman"/>
          <w:i w:val="false"/>
          <w:iCs w:val="false"/>
          <w:sz w:val="20"/>
          <w:szCs w:val="20"/>
        </w:rPr>
        <w:t xml:space="preserve"> = √[ (ΔL′/k</w:t>
      </w:r>
      <w:r>
        <w:rPr>
          <w:rFonts w:ascii="Times New Roman" w:cs="Times New Roman" w:eastAsia="Times New Roman" w:hAnsi="Times New Roman"/>
          <w:i w:val="false"/>
          <w:iCs w:val="false"/>
          <w:sz w:val="20"/>
          <w:szCs w:val="20"/>
          <w:vertAlign w:val="subscript"/>
        </w:rPr>
        <w:t xml:space="preserve">L</w:t>
      </w:r>
      <w:r>
        <w:rPr>
          <w:rFonts w:ascii="Times New Roman" w:cs="Times New Roman" w:eastAsia="Times New Roman" w:hAnsi="Times New Roman"/>
          <w:i w:val="false"/>
          <w:iCs w:val="false"/>
          <w:sz w:val="20"/>
          <w:szCs w:val="20"/>
        </w:rPr>
        <w:t xml:space="preserve">S</w:t>
      </w:r>
      <w:r>
        <w:rPr>
          <w:rFonts w:ascii="Times New Roman" w:cs="Times New Roman" w:eastAsia="Times New Roman" w:hAnsi="Times New Roman"/>
          <w:i w:val="false"/>
          <w:iCs w:val="false"/>
          <w:sz w:val="20"/>
          <w:szCs w:val="20"/>
          <w:vertAlign w:val="subscript"/>
        </w:rPr>
        <w:t xml:space="preserve">L</w:t>
      </w:r>
      <w:r>
        <w:rPr>
          <w:rFonts w:ascii="Times New Roman" w:cs="Times New Roman" w:eastAsia="Times New Roman" w:hAnsi="Times New Roman"/>
          <w:i w:val="false"/>
          <w:iCs w:val="false"/>
          <w:sz w:val="20"/>
          <w:szCs w:val="20"/>
        </w:rPr>
        <w:t xml:space="preserve">)² + (ΔC′/k</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i w:val="false"/>
          <w:iCs w:val="false"/>
          <w:sz w:val="20"/>
          <w:szCs w:val="20"/>
        </w:rPr>
        <w:t xml:space="preserve">S</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i w:val="false"/>
          <w:iCs w:val="false"/>
          <w:sz w:val="20"/>
          <w:szCs w:val="20"/>
        </w:rPr>
        <w:t xml:space="preserve">)² + (ΔH′/k</w:t>
      </w:r>
      <w:r>
        <w:rPr>
          <w:rFonts w:ascii="Times New Roman" w:cs="Times New Roman" w:eastAsia="Times New Roman" w:hAnsi="Times New Roman"/>
          <w:i w:val="false"/>
          <w:iCs w:val="false"/>
          <w:sz w:val="20"/>
          <w:szCs w:val="20"/>
          <w:vertAlign w:val="subscript"/>
        </w:rPr>
        <w:t xml:space="preserve">H</w:t>
      </w:r>
      <w:r>
        <w:rPr>
          <w:rFonts w:ascii="Times New Roman" w:cs="Times New Roman" w:eastAsia="Times New Roman" w:hAnsi="Times New Roman"/>
          <w:i w:val="false"/>
          <w:iCs w:val="false"/>
          <w:sz w:val="20"/>
          <w:szCs w:val="20"/>
        </w:rPr>
        <w:t xml:space="preserve">S</w:t>
      </w:r>
      <w:r>
        <w:rPr>
          <w:rFonts w:ascii="Times New Roman" w:cs="Times New Roman" w:eastAsia="Times New Roman" w:hAnsi="Times New Roman"/>
          <w:i w:val="false"/>
          <w:iCs w:val="false"/>
          <w:sz w:val="20"/>
          <w:szCs w:val="20"/>
          <w:vertAlign w:val="subscript"/>
        </w:rPr>
        <w:t xml:space="preserve">H</w:t>
      </w:r>
      <w:r>
        <w:rPr>
          <w:rFonts w:ascii="Times New Roman" w:cs="Times New Roman" w:eastAsia="Times New Roman" w:hAnsi="Times New Roman"/>
          <w:i w:val="false"/>
          <w:iCs w:val="false"/>
          <w:sz w:val="20"/>
          <w:szCs w:val="20"/>
        </w:rPr>
        <w:t xml:space="preserve">)² + R</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·(ΔC′/k</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i w:val="false"/>
          <w:iCs w:val="false"/>
          <w:sz w:val="20"/>
          <w:szCs w:val="20"/>
        </w:rPr>
        <w:t xml:space="preserve">S</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i w:val="false"/>
          <w:iCs w:val="false"/>
          <w:sz w:val="20"/>
          <w:szCs w:val="20"/>
        </w:rPr>
        <w:t xml:space="preserve">)(ΔH′/k</w:t>
      </w:r>
      <w:r>
        <w:rPr>
          <w:rFonts w:ascii="Times New Roman" w:cs="Times New Roman" w:eastAsia="Times New Roman" w:hAnsi="Times New Roman"/>
          <w:i w:val="false"/>
          <w:iCs w:val="false"/>
          <w:sz w:val="20"/>
          <w:szCs w:val="20"/>
          <w:vertAlign w:val="subscript"/>
        </w:rPr>
        <w:t xml:space="preserve">H</w:t>
      </w:r>
      <w:r>
        <w:rPr>
          <w:rFonts w:ascii="Times New Roman" w:cs="Times New Roman" w:eastAsia="Times New Roman" w:hAnsi="Times New Roman"/>
          <w:i w:val="false"/>
          <w:iCs w:val="false"/>
          <w:sz w:val="20"/>
          <w:szCs w:val="20"/>
        </w:rPr>
        <w:t xml:space="preserve">S</w:t>
      </w:r>
      <w:r>
        <w:rPr>
          <w:rFonts w:ascii="Times New Roman" w:cs="Times New Roman" w:eastAsia="Times New Roman" w:hAnsi="Times New Roman"/>
          <w:i w:val="false"/>
          <w:iCs w:val="false"/>
          <w:sz w:val="20"/>
          <w:szCs w:val="20"/>
          <w:vertAlign w:val="subscript"/>
        </w:rPr>
        <w:t xml:space="preserve">H</w:t>
      </w:r>
      <w:r>
        <w:rPr>
          <w:rFonts w:ascii="Times New Roman" w:cs="Times New Roman" w:eastAsia="Times New Roman" w:hAnsi="Times New Roman"/>
          <w:i w:val="false"/>
          <w:iCs w:val="false"/>
          <w:sz w:val="20"/>
          <w:szCs w:val="20"/>
        </w:rPr>
        <w:t xml:space="preserve">) ]</w:t>
      </w:r>
      <w:r>
        <w:ptab w:alignment="right" w:relativeTo="margin" w:leader="none"/>
      </w:r>
      <w:r>
        <w:rPr>
          <w:rFonts w:ascii="Times New Roman" w:cs="Times New Roman" w:eastAsia="Times New Roman" w:hAnsi="Times New Roman"/>
          <w:sz w:val="20"/>
          <w:szCs w:val="20"/>
        </w:rPr>
        <w:t xml:space="preserve">(1)</w:t>
      </w:r>
    </w:p>
    <w:p>
      <w:pPr>
        <w:spacing w:after="100" w:line="240"/>
        <w:ind w:firstLine="288"/>
        <w:jc w:val="both"/>
      </w:pPr>
      <w:r>
        <w:rPr>
          <w:rFonts w:ascii="Times New Roman" w:cs="Times New Roman" w:eastAsia="Times New Roman" w:hAnsi="Times New Roman"/>
          <w:sz w:val="20"/>
          <w:szCs w:val="20"/>
        </w:rPr>
        <w:t xml:space="preserve">with k</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 k</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k</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 1, and with the chroma-dependent a* correction, the rotation term R</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and the weighting functions S</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S</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S</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implemented per CIE 142-2001.</w:t>
      </w:r>
    </w:p>
    <w:p>
      <w:pPr>
        <w:spacing w:after="60" w:line="240"/>
        <w:ind w:firstLine="288"/>
        <w:jc w:val="both"/>
      </w:pPr>
      <w:r>
        <w:rPr>
          <w:rFonts w:ascii="Times New Roman" w:cs="Times New Roman" w:eastAsia="Times New Roman" w:hAnsi="Times New Roman"/>
          <w:sz w:val="20"/>
          <w:szCs w:val="20"/>
        </w:rPr>
        <w:t xml:space="preserve">The match strength is a graded decay rather than a hard cut, so that a near-miss is distinguishable from an unrelated colour:</w:t>
      </w:r>
    </w:p>
    <w:p>
      <w:pPr>
        <w:spacing w:after="100" w:before="100"/>
        <w:jc w:val="center"/>
      </w:pPr>
      <w:r>
        <w:rPr>
          <w:rFonts w:ascii="Times New Roman" w:cs="Times New Roman" w:eastAsia="Times New Roman" w:hAnsi="Times New Roman"/>
          <w:i w:val="false"/>
          <w:iCs w:val="false"/>
          <w:sz w:val="20"/>
          <w:szCs w:val="20"/>
        </w:rPr>
        <w:t xml:space="preserve">m(ΔE</w:t>
      </w:r>
      <w:r>
        <w:rPr>
          <w:rFonts w:ascii="Times New Roman" w:cs="Times New Roman" w:eastAsia="Times New Roman" w:hAnsi="Times New Roman"/>
          <w:i w:val="false"/>
          <w:iCs w:val="false"/>
          <w:sz w:val="20"/>
          <w:szCs w:val="20"/>
          <w:vertAlign w:val="subscript"/>
        </w:rPr>
        <w:t xml:space="preserve">00</w:t>
      </w:r>
      <w:r>
        <w:rPr>
          <w:rFonts w:ascii="Times New Roman" w:cs="Times New Roman" w:eastAsia="Times New Roman" w:hAnsi="Times New Roman"/>
          <w:i w:val="false"/>
          <w:iCs w:val="false"/>
          <w:sz w:val="20"/>
          <w:szCs w:val="20"/>
        </w:rPr>
        <w:t xml:space="preserve">) = 1 for ΔE</w:t>
      </w:r>
      <w:r>
        <w:rPr>
          <w:rFonts w:ascii="Times New Roman" w:cs="Times New Roman" w:eastAsia="Times New Roman" w:hAnsi="Times New Roman"/>
          <w:i w:val="false"/>
          <w:iCs w:val="false"/>
          <w:sz w:val="20"/>
          <w:szCs w:val="20"/>
          <w:vertAlign w:val="subscript"/>
        </w:rPr>
        <w:t xml:space="preserve">00</w:t>
      </w:r>
      <w:r>
        <w:rPr>
          <w:rFonts w:ascii="Times New Roman" w:cs="Times New Roman" w:eastAsia="Times New Roman" w:hAnsi="Times New Roman"/>
          <w:i w:val="false"/>
          <w:iCs w:val="false"/>
          <w:sz w:val="20"/>
          <w:szCs w:val="20"/>
        </w:rPr>
        <w:t xml:space="preserve"> ≤ τ</w:t>
      </w:r>
      <w:r>
        <w:rPr>
          <w:rFonts w:ascii="Times New Roman" w:cs="Times New Roman" w:eastAsia="Times New Roman" w:hAnsi="Times New Roman"/>
          <w:i w:val="false"/>
          <w:iCs w:val="false"/>
          <w:sz w:val="20"/>
          <w:szCs w:val="20"/>
          <w:vertAlign w:val="subscript"/>
        </w:rPr>
        <w:t xml:space="preserve">id</w:t>
      </w:r>
      <w:r>
        <w:rPr>
          <w:rFonts w:ascii="Times New Roman" w:cs="Times New Roman" w:eastAsia="Times New Roman" w:hAnsi="Times New Roman"/>
          <w:i w:val="false"/>
          <w:iCs w:val="false"/>
          <w:sz w:val="20"/>
          <w:szCs w:val="20"/>
        </w:rPr>
        <w:t xml:space="preserve"> ;  1 − (ΔE</w:t>
      </w:r>
      <w:r>
        <w:rPr>
          <w:rFonts w:ascii="Times New Roman" w:cs="Times New Roman" w:eastAsia="Times New Roman" w:hAnsi="Times New Roman"/>
          <w:i w:val="false"/>
          <w:iCs w:val="false"/>
          <w:sz w:val="20"/>
          <w:szCs w:val="20"/>
          <w:vertAlign w:val="subscript"/>
        </w:rPr>
        <w:t xml:space="preserve">00</w:t>
      </w:r>
      <w:r>
        <w:rPr>
          <w:rFonts w:ascii="Times New Roman" w:cs="Times New Roman" w:eastAsia="Times New Roman" w:hAnsi="Times New Roman"/>
          <w:i w:val="false"/>
          <w:iCs w:val="false"/>
          <w:sz w:val="20"/>
          <w:szCs w:val="20"/>
        </w:rPr>
        <w:t xml:space="preserve"> − τ</w:t>
      </w:r>
      <w:r>
        <w:rPr>
          <w:rFonts w:ascii="Times New Roman" w:cs="Times New Roman" w:eastAsia="Times New Roman" w:hAnsi="Times New Roman"/>
          <w:i w:val="false"/>
          <w:iCs w:val="false"/>
          <w:sz w:val="20"/>
          <w:szCs w:val="20"/>
          <w:vertAlign w:val="subscript"/>
        </w:rPr>
        <w:t xml:space="preserve">id</w:t>
      </w:r>
      <w:r>
        <w:rPr>
          <w:rFonts w:ascii="Times New Roman" w:cs="Times New Roman" w:eastAsia="Times New Roman" w:hAnsi="Times New Roman"/>
          <w:i w:val="false"/>
          <w:iCs w:val="false"/>
          <w:sz w:val="20"/>
          <w:szCs w:val="20"/>
        </w:rPr>
        <w:t xml:space="preserve">)/(τ</w:t>
      </w:r>
      <w:r>
        <w:rPr>
          <w:rFonts w:ascii="Times New Roman" w:cs="Times New Roman" w:eastAsia="Times New Roman" w:hAnsi="Times New Roman"/>
          <w:i w:val="false"/>
          <w:iCs w:val="false"/>
          <w:sz w:val="20"/>
          <w:szCs w:val="20"/>
          <w:vertAlign w:val="subscript"/>
        </w:rPr>
        <w:t xml:space="preserve">max</w:t>
      </w:r>
      <w:r>
        <w:rPr>
          <w:rFonts w:ascii="Times New Roman" w:cs="Times New Roman" w:eastAsia="Times New Roman" w:hAnsi="Times New Roman"/>
          <w:i w:val="false"/>
          <w:iCs w:val="false"/>
          <w:sz w:val="20"/>
          <w:szCs w:val="20"/>
        </w:rPr>
        <w:t xml:space="preserve"> − τ</w:t>
      </w:r>
      <w:r>
        <w:rPr>
          <w:rFonts w:ascii="Times New Roman" w:cs="Times New Roman" w:eastAsia="Times New Roman" w:hAnsi="Times New Roman"/>
          <w:i w:val="false"/>
          <w:iCs w:val="false"/>
          <w:sz w:val="20"/>
          <w:szCs w:val="20"/>
          <w:vertAlign w:val="subscript"/>
        </w:rPr>
        <w:t xml:space="preserve">id</w:t>
      </w:r>
      <w:r>
        <w:rPr>
          <w:rFonts w:ascii="Times New Roman" w:cs="Times New Roman" w:eastAsia="Times New Roman" w:hAnsi="Times New Roman"/>
          <w:i w:val="false"/>
          <w:iCs w:val="false"/>
          <w:sz w:val="20"/>
          <w:szCs w:val="20"/>
        </w:rPr>
        <w:t xml:space="preserve">) for τ</w:t>
      </w:r>
      <w:r>
        <w:rPr>
          <w:rFonts w:ascii="Times New Roman" w:cs="Times New Roman" w:eastAsia="Times New Roman" w:hAnsi="Times New Roman"/>
          <w:i w:val="false"/>
          <w:iCs w:val="false"/>
          <w:sz w:val="20"/>
          <w:szCs w:val="20"/>
          <w:vertAlign w:val="subscript"/>
        </w:rPr>
        <w:t xml:space="preserve">id</w:t>
      </w:r>
      <w:r>
        <w:rPr>
          <w:rFonts w:ascii="Times New Roman" w:cs="Times New Roman" w:eastAsia="Times New Roman" w:hAnsi="Times New Roman"/>
          <w:i w:val="false"/>
          <w:iCs w:val="false"/>
          <w:sz w:val="20"/>
          <w:szCs w:val="20"/>
        </w:rPr>
        <w:t xml:space="preserve"> &lt; ΔE</w:t>
      </w:r>
      <w:r>
        <w:rPr>
          <w:rFonts w:ascii="Times New Roman" w:cs="Times New Roman" w:eastAsia="Times New Roman" w:hAnsi="Times New Roman"/>
          <w:i w:val="false"/>
          <w:iCs w:val="false"/>
          <w:sz w:val="20"/>
          <w:szCs w:val="20"/>
          <w:vertAlign w:val="subscript"/>
        </w:rPr>
        <w:t xml:space="preserve">00</w:t>
      </w:r>
      <w:r>
        <w:rPr>
          <w:rFonts w:ascii="Times New Roman" w:cs="Times New Roman" w:eastAsia="Times New Roman" w:hAnsi="Times New Roman"/>
          <w:i w:val="false"/>
          <w:iCs w:val="false"/>
          <w:sz w:val="20"/>
          <w:szCs w:val="20"/>
        </w:rPr>
        <w:t xml:space="preserve"> &lt; τ</w:t>
      </w:r>
      <w:r>
        <w:rPr>
          <w:rFonts w:ascii="Times New Roman" w:cs="Times New Roman" w:eastAsia="Times New Roman" w:hAnsi="Times New Roman"/>
          <w:i w:val="false"/>
          <w:iCs w:val="false"/>
          <w:sz w:val="20"/>
          <w:szCs w:val="20"/>
          <w:vertAlign w:val="subscript"/>
        </w:rPr>
        <w:t xml:space="preserve">max</w:t>
      </w:r>
      <w:r>
        <w:rPr>
          <w:rFonts w:ascii="Times New Roman" w:cs="Times New Roman" w:eastAsia="Times New Roman" w:hAnsi="Times New Roman"/>
          <w:i w:val="false"/>
          <w:iCs w:val="false"/>
          <w:sz w:val="20"/>
          <w:szCs w:val="20"/>
        </w:rPr>
        <w:t xml:space="preserve"> ;  0 otherwise</w:t>
      </w:r>
      <w:r>
        <w:ptab w:alignment="right" w:relativeTo="margin" w:leader="none"/>
      </w:r>
      <w:r>
        <w:rPr>
          <w:rFonts w:ascii="Times New Roman" w:cs="Times New Roman" w:eastAsia="Times New Roman" w:hAnsi="Times New Roman"/>
          <w:sz w:val="20"/>
          <w:szCs w:val="20"/>
        </w:rPr>
        <w:t xml:space="preserve">(2)</w:t>
      </w:r>
    </w:p>
    <w:p>
      <w:pPr>
        <w:spacing w:after="100" w:line="240"/>
        <w:ind w:firstLine="288"/>
        <w:jc w:val="both"/>
      </w:pPr>
      <w:r>
        <w:rPr>
          <w:rFonts w:ascii="Times New Roman" w:cs="Times New Roman" w:eastAsia="Times New Roman" w:hAnsi="Times New Roman"/>
          <w:sz w:val="20"/>
          <w:szCs w:val="20"/>
        </w:rPr>
        <w:t xml:space="preserve">with τ</w:t>
      </w:r>
      <w:r>
        <w:rPr>
          <w:rFonts w:ascii="Times New Roman" w:cs="Times New Roman" w:eastAsia="Times New Roman" w:hAnsi="Times New Roman"/>
          <w:sz w:val="20"/>
          <w:szCs w:val="20"/>
          <w:vertAlign w:val="subscript"/>
        </w:rPr>
        <w:t xml:space="preserve">id</w:t>
      </w:r>
      <w:r>
        <w:rPr>
          <w:rFonts w:ascii="Times New Roman" w:cs="Times New Roman" w:eastAsia="Times New Roman" w:hAnsi="Times New Roman"/>
          <w:sz w:val="20"/>
          <w:szCs w:val="20"/>
        </w:rPr>
        <w:t xml:space="preserve"> = 3.5 and τ</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 18.0.</w:t>
      </w:r>
    </w:p>
    <w:p>
      <w:pPr>
        <w:spacing w:after="100" w:line="240"/>
        <w:ind w:firstLine="288"/>
        <w:jc w:val="both"/>
      </w:pPr>
      <w:r>
        <w:rPr>
          <w:rFonts w:ascii="Times New Roman" w:cs="Times New Roman" w:eastAsia="Times New Roman" w:hAnsi="Times New Roman"/>
          <w:sz w:val="20"/>
          <w:szCs w:val="20"/>
        </w:rPr>
        <w:t xml:space="preserve">These two constants are the only tuned values in the colour axis, and both are anchored to published perceptual quantities rather than chosen by inspection. ΔE</w:t>
      </w:r>
      <w:r>
        <w:rPr>
          <w:rFonts w:ascii="Times New Roman" w:cs="Times New Roman" w:eastAsia="Times New Roman" w:hAnsi="Times New Roman"/>
          <w:sz w:val="20"/>
          <w:szCs w:val="20"/>
          <w:vertAlign w:val="subscript"/>
        </w:rPr>
        <w:t xml:space="preserve">00</w:t>
      </w:r>
      <w:r>
        <w:rPr>
          <w:rFonts w:ascii="Times New Roman" w:cs="Times New Roman" w:eastAsia="Times New Roman" w:hAnsi="Times New Roman"/>
          <w:sz w:val="20"/>
          <w:szCs w:val="20"/>
        </w:rPr>
        <w:t xml:space="preserve"> ≈ 1.0 is the just-noticeable difference under reference conditions and ≈ 2.3 is the threshold at which a non-expert observer reliably reports two swatches as different; τ</w:t>
      </w:r>
      <w:r>
        <w:rPr>
          <w:rFonts w:ascii="Times New Roman" w:cs="Times New Roman" w:eastAsia="Times New Roman" w:hAnsi="Times New Roman"/>
          <w:sz w:val="20"/>
          <w:szCs w:val="20"/>
          <w:vertAlign w:val="subscript"/>
        </w:rPr>
        <w:t xml:space="preserve">id</w:t>
      </w:r>
      <w:r>
        <w:rPr>
          <w:rFonts w:ascii="Times New Roman" w:cs="Times New Roman" w:eastAsia="Times New Roman" w:hAnsi="Times New Roman"/>
          <w:sz w:val="20"/>
          <w:szCs w:val="20"/>
        </w:rPr>
        <w:t xml:space="preserve"> = 3.5 sits just above that, so a palette that survived a screenshot round-trip still matches. τ</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 18.0 stays inside the same colour family, so a bank with a merely adjacent palette cannot outrank the institution the suspect actually reproduced.</w:t>
      </w:r>
    </w:p>
    <w:p>
      <w:pPr>
        <w:spacing w:after="60" w:line="240"/>
        <w:ind w:firstLine="288"/>
        <w:jc w:val="both"/>
      </w:pPr>
      <w:r>
        <w:rPr>
          <w:rFonts w:ascii="Times New Roman" w:cs="Times New Roman" w:eastAsia="Times New Roman" w:hAnsi="Times New Roman"/>
          <w:sz w:val="20"/>
          <w:szCs w:val="20"/>
        </w:rPr>
        <w:t xml:space="preserve">Achromatic colours are excluded before comparison (saturation &lt; 0.12, plus near-white and near-black rejection): greys carry no brand identity because every banking application uses them, and admitting them would let background fills dominate the score. Palette similarity is then computed as mean coverage of the baseline’s brand colours:</w:t>
      </w:r>
    </w:p>
    <w:p>
      <w:pPr>
        <w:spacing w:after="100" w:before="100"/>
        <w:jc w:val="center"/>
      </w:pPr>
      <w:r>
        <w:rPr>
          <w:rFonts w:ascii="Times New Roman" w:cs="Times New Roman" w:eastAsia="Times New Roman" w:hAnsi="Times New Roman"/>
          <w:i w:val="false"/>
          <w:iCs w:val="false"/>
          <w:sz w:val="20"/>
          <w:szCs w:val="20"/>
        </w:rPr>
        <w:t xml:space="preserve">S</w:t>
      </w:r>
      <w:r>
        <w:rPr>
          <w:rFonts w:ascii="Times New Roman" w:cs="Times New Roman" w:eastAsia="Times New Roman" w:hAnsi="Times New Roman"/>
          <w:i w:val="false"/>
          <w:iCs w:val="false"/>
          <w:sz w:val="20"/>
          <w:szCs w:val="20"/>
          <w:vertAlign w:val="subscript"/>
        </w:rPr>
        <w:t xml:space="preserve">colour</w:t>
      </w:r>
      <w:r>
        <w:rPr>
          <w:rFonts w:ascii="Times New Roman" w:cs="Times New Roman" w:eastAsia="Times New Roman" w:hAnsi="Times New Roman"/>
          <w:i w:val="false"/>
          <w:iCs w:val="false"/>
          <w:sz w:val="20"/>
          <w:szCs w:val="20"/>
        </w:rPr>
        <w:t xml:space="preserve"> = (1/|B|) · Σ</w:t>
      </w:r>
      <w:r>
        <w:rPr>
          <w:rFonts w:ascii="Times New Roman" w:cs="Times New Roman" w:eastAsia="Times New Roman" w:hAnsi="Times New Roman"/>
          <w:i w:val="false"/>
          <w:iCs w:val="false"/>
          <w:sz w:val="20"/>
          <w:szCs w:val="20"/>
          <w:vertAlign w:val="subscript"/>
        </w:rPr>
        <w:t xml:space="preserve">c∈B</w:t>
      </w:r>
      <w:r>
        <w:rPr>
          <w:rFonts w:ascii="Times New Roman" w:cs="Times New Roman" w:eastAsia="Times New Roman" w:hAnsi="Times New Roman"/>
          <w:i w:val="false"/>
          <w:iCs w:val="false"/>
          <w:sz w:val="20"/>
          <w:szCs w:val="20"/>
        </w:rPr>
        <w:t xml:space="preserve"> max</w:t>
      </w:r>
      <w:r>
        <w:rPr>
          <w:rFonts w:ascii="Times New Roman" w:cs="Times New Roman" w:eastAsia="Times New Roman" w:hAnsi="Times New Roman"/>
          <w:i w:val="false"/>
          <w:iCs w:val="false"/>
          <w:sz w:val="20"/>
          <w:szCs w:val="20"/>
          <w:vertAlign w:val="subscript"/>
        </w:rPr>
        <w:t xml:space="preserve">s∈S</w:t>
      </w:r>
      <w:r>
        <w:rPr>
          <w:rFonts w:ascii="Times New Roman" w:cs="Times New Roman" w:eastAsia="Times New Roman" w:hAnsi="Times New Roman"/>
          <w:i w:val="false"/>
          <w:iCs w:val="false"/>
          <w:sz w:val="20"/>
          <w:szCs w:val="20"/>
        </w:rPr>
        <w:t xml:space="preserve"> m( ΔE</w:t>
      </w:r>
      <w:r>
        <w:rPr>
          <w:rFonts w:ascii="Times New Roman" w:cs="Times New Roman" w:eastAsia="Times New Roman" w:hAnsi="Times New Roman"/>
          <w:i w:val="false"/>
          <w:iCs w:val="false"/>
          <w:sz w:val="20"/>
          <w:szCs w:val="20"/>
          <w:vertAlign w:val="subscript"/>
        </w:rPr>
        <w:t xml:space="preserve">00</w:t>
      </w:r>
      <w:r>
        <w:rPr>
          <w:rFonts w:ascii="Times New Roman" w:cs="Times New Roman" w:eastAsia="Times New Roman" w:hAnsi="Times New Roman"/>
          <w:i w:val="false"/>
          <w:iCs w:val="false"/>
          <w:sz w:val="20"/>
          <w:szCs w:val="20"/>
        </w:rPr>
        <w:t xml:space="preserve">(c, s) )</w:t>
      </w:r>
      <w:r>
        <w:ptab w:alignment="right" w:relativeTo="margin" w:leader="none"/>
      </w:r>
      <w:r>
        <w:rPr>
          <w:rFonts w:ascii="Times New Roman" w:cs="Times New Roman" w:eastAsia="Times New Roman" w:hAnsi="Times New Roman"/>
          <w:sz w:val="20"/>
          <w:szCs w:val="20"/>
        </w:rPr>
        <w:t xml:space="preserve">(3)</w:t>
      </w:r>
    </w:p>
    <w:p>
      <w:pPr>
        <w:spacing w:after="100" w:line="240"/>
        <w:ind w:firstLine="288"/>
        <w:jc w:val="both"/>
      </w:pPr>
      <w:r>
        <w:rPr>
          <w:rFonts w:ascii="Times New Roman" w:cs="Times New Roman" w:eastAsia="Times New Roman" w:hAnsi="Times New Roman"/>
          <w:sz w:val="20"/>
          <w:szCs w:val="20"/>
        </w:rPr>
        <w:t xml:space="preserve">where B is the baseline brand palette and S the suspect’s. The formulation is deliberately coverage-oriented and asymmetric: the question is whether the suspect wears the bank’s colours, not whether the two palettes are the same size, so a suspect carrying additional unrelated colours is not penalised.</w:t>
      </w:r>
    </w:p>
    <w:p>
      <w:pPr>
        <w:spacing w:after="80" w:before="160"/>
      </w:pPr>
      <w:r>
        <w:rPr>
          <w:rFonts w:ascii="Times New Roman" w:cs="Times New Roman" w:eastAsia="Times New Roman" w:hAnsi="Times New Roman"/>
          <w:i/>
          <w:iCs/>
          <w:sz w:val="20"/>
          <w:szCs w:val="20"/>
        </w:rPr>
        <w:t xml:space="preserve">C. View-hierarchy normalisation and structural similarity</w:t>
      </w:r>
    </w:p>
    <w:p>
      <w:pPr>
        <w:spacing w:after="100" w:line="240"/>
        <w:jc w:val="both"/>
      </w:pPr>
      <w:r>
        <w:rPr>
          <w:rFonts w:ascii="Times New Roman" w:cs="Times New Roman" w:eastAsia="Times New Roman" w:hAnsi="Times New Roman"/>
          <w:sz w:val="20"/>
          <w:szCs w:val="20"/>
        </w:rPr>
        <w:t xml:space="preserve">A clone is rarely built with the same toolkit as its target. A Capacitor or React Native clone of a native application renders </w:t>
      </w:r>
      <w:r>
        <w:rPr>
          <w:rFonts w:ascii="Courier New" w:cs="Courier New" w:eastAsia="Courier New" w:hAnsi="Courier New"/>
          <w:sz w:val="18"/>
          <w:szCs w:val="18"/>
        </w:rPr>
        <w:t xml:space="preserve">&lt;input&gt;</w:t>
      </w:r>
      <w:r>
        <w:rPr>
          <w:rFonts w:ascii="Times New Roman" w:cs="Times New Roman" w:eastAsia="Times New Roman" w:hAnsi="Times New Roman"/>
          <w:sz w:val="20"/>
          <w:szCs w:val="20"/>
        </w:rPr>
        <w:t xml:space="preserve"> where the original declares </w:t>
      </w:r>
      <w:r>
        <w:rPr>
          <w:rFonts w:ascii="Courier New" w:cs="Courier New" w:eastAsia="Courier New" w:hAnsi="Courier New"/>
          <w:sz w:val="18"/>
          <w:szCs w:val="18"/>
        </w:rPr>
        <w:t xml:space="preserve">TextInputEditText</w:t>
      </w:r>
      <w:r>
        <w:rPr>
          <w:rFonts w:ascii="Times New Roman" w:cs="Times New Roman" w:eastAsia="Times New Roman" w:hAnsi="Times New Roman"/>
          <w:sz w:val="20"/>
          <w:szCs w:val="20"/>
        </w:rPr>
        <w:t xml:space="preserve">. A comparison over raw tag names therefore fails on precisely the cases that matter.</w:t>
      </w:r>
    </w:p>
    <w:p>
      <w:pPr>
        <w:spacing w:after="100" w:line="240"/>
        <w:ind w:firstLine="288"/>
        <w:jc w:val="both"/>
      </w:pPr>
      <w:r>
        <w:rPr>
          <w:rFonts w:ascii="Courier New" w:cs="Courier New" w:eastAsia="Courier New" w:hAnsi="Courier New"/>
          <w:sz w:val="18"/>
          <w:szCs w:val="18"/>
        </w:rPr>
        <w:t xml:space="preserve">engines/vide/view_ast.py</w:t>
      </w:r>
      <w:r>
        <w:rPr>
          <w:rFonts w:ascii="Times New Roman" w:cs="Times New Roman" w:eastAsia="Times New Roman" w:hAnsi="Times New Roman"/>
          <w:sz w:val="20"/>
          <w:szCs w:val="20"/>
        </w:rPr>
        <w:t xml:space="preserve"> resolves this by translating every view tag — from Android layout XML, UIAutomator dumps, or WebView HTML — into a nine-symbol role vocabulary: </w:t>
      </w:r>
      <w:r>
        <w:rPr>
          <w:rFonts w:ascii="Courier New" w:cs="Courier New" w:eastAsia="Courier New" w:hAnsi="Courier New"/>
          <w:sz w:val="18"/>
          <w:szCs w:val="18"/>
        </w:rPr>
        <w:t xml:space="preserve">CONTAINER</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TEXT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INPUT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BUTTON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IMAGE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LIST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WEBVIEW</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NAV</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OTHER</w:t>
      </w:r>
      <w:r>
        <w:rPr>
          <w:rFonts w:ascii="Times New Roman" w:cs="Times New Roman" w:eastAsia="Times New Roman" w:hAnsi="Times New Roman"/>
          <w:sz w:val="20"/>
          <w:szCs w:val="20"/>
        </w:rPr>
        <w:t xml:space="preserve">. Translation is idempotent, so an already-normalised sequence can be re-translated safely.</w:t>
      </w:r>
    </w:p>
    <w:p>
      <w:pPr>
        <w:spacing w:after="60" w:line="240"/>
        <w:ind w:firstLine="288"/>
        <w:jc w:val="both"/>
      </w:pPr>
      <w:r>
        <w:rPr>
          <w:rFonts w:ascii="Times New Roman" w:cs="Times New Roman" w:eastAsia="Times New Roman" w:hAnsi="Times New Roman"/>
          <w:sz w:val="20"/>
          <w:szCs w:val="20"/>
        </w:rPr>
        <w:t xml:space="preserve">The tree is retained rather than flattened. A parenthesised skeleton such as </w:t>
      </w:r>
      <w:r>
        <w:rPr>
          <w:rFonts w:ascii="Courier New" w:cs="Courier New" w:eastAsia="Courier New" w:hAnsi="Courier New"/>
          <w:sz w:val="18"/>
          <w:szCs w:val="18"/>
        </w:rPr>
        <w:t xml:space="preserve">CONTAINER(TEXT,INPUT,INPUT,BUTTON)</w:t>
      </w:r>
      <w:r>
        <w:rPr>
          <w:rFonts w:ascii="Times New Roman" w:cs="Times New Roman" w:eastAsia="Times New Roman" w:hAnsi="Times New Roman"/>
          <w:sz w:val="20"/>
          <w:szCs w:val="20"/>
        </w:rPr>
        <w:t xml:space="preserve"> encodes nesting, which a flat tag list cannot — without it, a settings page and a login form with equal widget counts produce identical signatures. Structural similarity blends a nesting-sensitive edit ratio with a role-histogram cosine:</w:t>
      </w:r>
    </w:p>
    <w:p>
      <w:pPr>
        <w:spacing w:after="100" w:before="100"/>
        <w:jc w:val="center"/>
      </w:pPr>
      <w:r>
        <w:rPr>
          <w:rFonts w:ascii="Times New Roman" w:cs="Times New Roman" w:eastAsia="Times New Roman" w:hAnsi="Times New Roman"/>
          <w:i w:val="false"/>
          <w:iCs w:val="false"/>
          <w:sz w:val="20"/>
          <w:szCs w:val="20"/>
        </w:rPr>
        <w:t xml:space="preserve">S</w:t>
      </w:r>
      <w:r>
        <w:rPr>
          <w:rFonts w:ascii="Times New Roman" w:cs="Times New Roman" w:eastAsia="Times New Roman" w:hAnsi="Times New Roman"/>
          <w:i w:val="false"/>
          <w:iCs w:val="false"/>
          <w:sz w:val="20"/>
          <w:szCs w:val="20"/>
          <w:vertAlign w:val="subscript"/>
        </w:rPr>
        <w:t xml:space="preserve">struct</w:t>
      </w:r>
      <w:r>
        <w:rPr>
          <w:rFonts w:ascii="Times New Roman" w:cs="Times New Roman" w:eastAsia="Times New Roman" w:hAnsi="Times New Roman"/>
          <w:i w:val="false"/>
          <w:iCs w:val="false"/>
          <w:sz w:val="20"/>
          <w:szCs w:val="20"/>
        </w:rPr>
        <w:t xml:space="preserve"> = 0.45 · ratio(σ</w:t>
      </w:r>
      <w:r>
        <w:rPr>
          <w:rFonts w:ascii="Times New Roman" w:cs="Times New Roman" w:eastAsia="Times New Roman" w:hAnsi="Times New Roman"/>
          <w:i w:val="false"/>
          <w:iCs w:val="false"/>
          <w:sz w:val="20"/>
          <w:szCs w:val="20"/>
          <w:vertAlign w:val="subscript"/>
        </w:rPr>
        <w:t xml:space="preserve">a</w:t>
      </w:r>
      <w:r>
        <w:rPr>
          <w:rFonts w:ascii="Times New Roman" w:cs="Times New Roman" w:eastAsia="Times New Roman" w:hAnsi="Times New Roman"/>
          <w:i w:val="false"/>
          <w:iCs w:val="false"/>
          <w:sz w:val="20"/>
          <w:szCs w:val="20"/>
        </w:rPr>
        <w:t xml:space="preserve">, σ</w:t>
      </w:r>
      <w:r>
        <w:rPr>
          <w:rFonts w:ascii="Times New Roman" w:cs="Times New Roman" w:eastAsia="Times New Roman" w:hAnsi="Times New Roman"/>
          <w:i w:val="false"/>
          <w:iCs w:val="false"/>
          <w:sz w:val="20"/>
          <w:szCs w:val="20"/>
          <w:vertAlign w:val="subscript"/>
        </w:rPr>
        <w:t xml:space="preserve">b</w:t>
      </w:r>
      <w:r>
        <w:rPr>
          <w:rFonts w:ascii="Times New Roman" w:cs="Times New Roman" w:eastAsia="Times New Roman" w:hAnsi="Times New Roman"/>
          <w:i w:val="false"/>
          <w:iCs w:val="false"/>
          <w:sz w:val="20"/>
          <w:szCs w:val="20"/>
        </w:rPr>
        <w:t xml:space="preserve">) + 0.55 · cos(h</w:t>
      </w:r>
      <w:r>
        <w:rPr>
          <w:rFonts w:ascii="Times New Roman" w:cs="Times New Roman" w:eastAsia="Times New Roman" w:hAnsi="Times New Roman"/>
          <w:i w:val="false"/>
          <w:iCs w:val="false"/>
          <w:sz w:val="20"/>
          <w:szCs w:val="20"/>
          <w:vertAlign w:val="subscript"/>
        </w:rPr>
        <w:t xml:space="preserve">a</w:t>
      </w:r>
      <w:r>
        <w:rPr>
          <w:rFonts w:ascii="Times New Roman" w:cs="Times New Roman" w:eastAsia="Times New Roman" w:hAnsi="Times New Roman"/>
          <w:i w:val="false"/>
          <w:iCs w:val="false"/>
          <w:sz w:val="20"/>
          <w:szCs w:val="20"/>
        </w:rPr>
        <w:t xml:space="preserve">, h</w:t>
      </w:r>
      <w:r>
        <w:rPr>
          <w:rFonts w:ascii="Times New Roman" w:cs="Times New Roman" w:eastAsia="Times New Roman" w:hAnsi="Times New Roman"/>
          <w:i w:val="false"/>
          <w:iCs w:val="false"/>
          <w:sz w:val="20"/>
          <w:szCs w:val="20"/>
          <w:vertAlign w:val="subscript"/>
        </w:rPr>
        <w:t xml:space="preserve">b</w:t>
      </w:r>
      <w:r>
        <w:rPr>
          <w:rFonts w:ascii="Times New Roman" w:cs="Times New Roman" w:eastAsia="Times New Roman" w:hAnsi="Times New Roman"/>
          <w:i w:val="false"/>
          <w:iCs w:val="false"/>
          <w:sz w:val="20"/>
          <w:szCs w:val="20"/>
        </w:rPr>
        <w:t xml:space="preserve">)</w:t>
      </w:r>
      <w:r>
        <w:ptab w:alignment="right" w:relativeTo="margin" w:leader="none"/>
      </w:r>
      <w:r>
        <w:rPr>
          <w:rFonts w:ascii="Times New Roman" w:cs="Times New Roman" w:eastAsia="Times New Roman" w:hAnsi="Times New Roman"/>
          <w:sz w:val="20"/>
          <w:szCs w:val="20"/>
        </w:rPr>
        <w:t xml:space="preserve">(4)</w:t>
      </w:r>
    </w:p>
    <w:p>
      <w:pPr>
        <w:spacing w:after="100" w:line="240"/>
        <w:ind w:firstLine="288"/>
        <w:jc w:val="both"/>
      </w:pPr>
      <w:r>
        <w:rPr>
          <w:rFonts w:ascii="Times New Roman" w:cs="Times New Roman" w:eastAsia="Times New Roman" w:hAnsi="Times New Roman"/>
          <w:sz w:val="20"/>
          <w:szCs w:val="20"/>
        </w:rPr>
        <w:t xml:space="preserve">where σ is the skeleton string and h the role histogram weighted by discriminative power: w(INPUT) = 3.0, w(BUTTON) = w(LIST) = w(NAV) = w(WEBVIEW) = 2.0, w(IMAGE) = 1.0, w(TEXT) = 0.5, w(CONTAINER) = 0.3, w(OTHER) = 0.2.</w:t>
      </w:r>
    </w:p>
    <w:p>
      <w:pPr>
        <w:spacing w:after="100" w:line="240"/>
        <w:ind w:firstLine="288"/>
        <w:jc w:val="both"/>
      </w:pPr>
      <w:r>
        <w:rPr>
          <w:rFonts w:ascii="Times New Roman" w:cs="Times New Roman" w:eastAsia="Times New Roman" w:hAnsi="Times New Roman"/>
          <w:sz w:val="20"/>
          <w:szCs w:val="20"/>
        </w:rPr>
        <w:t xml:space="preserve">The weight ordering is the substantive design decision here, and it is a claim about </w:t>
      </w:r>
      <w:r>
        <w:rPr>
          <w:rFonts w:ascii="Times New Roman" w:cs="Times New Roman" w:eastAsia="Times New Roman" w:hAnsi="Times New Roman"/>
          <w:i/>
          <w:iCs/>
          <w:sz w:val="20"/>
          <w:szCs w:val="20"/>
        </w:rPr>
        <w:t xml:space="preserve">discriminative power, not importance</w:t>
      </w:r>
      <w:r>
        <w:rPr>
          <w:rFonts w:ascii="Times New Roman" w:cs="Times New Roman" w:eastAsia="Times New Roman" w:hAnsi="Times New Roman"/>
          <w:sz w:val="20"/>
          <w:szCs w:val="20"/>
        </w:rPr>
        <w:t xml:space="preserve">. Containers and loose text appear in every screen ever built; counting them equally with input fields makes any two screens look alike. Input fields are weighted six times a text label because a two-field credential form is the structure the attack requires.</w:t>
      </w:r>
    </w:p>
    <w:p>
      <w:pPr>
        <w:spacing w:after="100" w:line="240"/>
        <w:ind w:firstLine="288"/>
        <w:jc w:val="both"/>
      </w:pPr>
      <w:r>
        <w:rPr>
          <w:rFonts w:ascii="Times New Roman" w:cs="Times New Roman" w:eastAsia="Times New Roman" w:hAnsi="Times New Roman"/>
          <w:sz w:val="20"/>
          <w:szCs w:val="20"/>
        </w:rPr>
        <w:t xml:space="preserve">The engine additionally infers named structural signatures — </w:t>
      </w:r>
      <w:r>
        <w:rPr>
          <w:rFonts w:ascii="Courier New" w:cs="Courier New" w:eastAsia="Courier New" w:hAnsi="Courier New"/>
          <w:sz w:val="18"/>
          <w:szCs w:val="18"/>
        </w:rPr>
        <w:t xml:space="preserve">AUTH_FORM_VERTICAL_PRIMARY_CTA</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PINPAD_NUMERIC_ENTRY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DASHBOARD_CARD_GRID_QUICKACTIONS</w:t>
      </w:r>
      <w:r>
        <w:rPr>
          <w:rFonts w:ascii="Times New Roman" w:cs="Times New Roman" w:eastAsia="Times New Roman" w:hAnsi="Times New Roman"/>
          <w:sz w:val="20"/>
          <w:szCs w:val="20"/>
        </w:rPr>
        <w:t xml:space="preserve"> — from widget shape first and text only as corroboration, so a clone that localises its labels still matches. The PIN-pad inference requires either nine or more digit-labelled buttons, or six or more together with PIN vocabulary, or an explicit entry prompt on a screen that is not already a multi-field credential form; this last guard exists because “Forgot MPIN?” on a login screen is a hyperlink, not a keypad.</w:t>
      </w:r>
    </w:p>
    <w:p>
      <w:pPr>
        <w:spacing w:after="80" w:before="160"/>
      </w:pPr>
      <w:r>
        <w:rPr>
          <w:rFonts w:ascii="Times New Roman" w:cs="Times New Roman" w:eastAsia="Times New Roman" w:hAnsi="Times New Roman"/>
          <w:i/>
          <w:iCs/>
          <w:sz w:val="20"/>
          <w:szCs w:val="20"/>
        </w:rPr>
        <w:t xml:space="preserve">D. Fusion and the entitlement predicate</w:t>
      </w:r>
    </w:p>
    <w:p>
      <w:pPr>
        <w:spacing w:after="60" w:line="240"/>
        <w:jc w:val="both"/>
      </w:pPr>
      <w:r>
        <w:rPr>
          <w:rFonts w:ascii="Times New Roman" w:cs="Times New Roman" w:eastAsia="Times New Roman" w:hAnsi="Times New Roman"/>
          <w:sz w:val="20"/>
          <w:szCs w:val="20"/>
        </w:rPr>
        <w:t xml:space="preserve">The three axes are fused by </w:t>
      </w:r>
      <w:r>
        <w:rPr>
          <w:rFonts w:ascii="Courier New" w:cs="Courier New" w:eastAsia="Courier New" w:hAnsi="Courier New"/>
          <w:sz w:val="18"/>
          <w:szCs w:val="18"/>
        </w:rPr>
        <w:t xml:space="preserve">engines/vide/compare.py</w:t>
      </w:r>
      <w:r>
        <w:rPr>
          <w:rFonts w:ascii="Times New Roman" w:cs="Times New Roman" w:eastAsia="Times New Roman" w:hAnsi="Times New Roman"/>
          <w:sz w:val="20"/>
          <w:szCs w:val="20"/>
        </w:rPr>
        <w:t xml:space="preserve"> into rule </w:t>
      </w:r>
      <w:r>
        <w:rPr>
          <w:rFonts w:ascii="Courier New" w:cs="Courier New" w:eastAsia="Courier New" w:hAnsi="Courier New"/>
          <w:sz w:val="18"/>
          <w:szCs w:val="18"/>
        </w:rPr>
        <w:t xml:space="preserve">VIDE-F001</w:t>
      </w:r>
      <w:r>
        <w:rPr>
          <w:rFonts w:ascii="Times New Roman" w:cs="Times New Roman" w:eastAsia="Times New Roman" w:hAnsi="Times New Roman"/>
          <w:sz w:val="20"/>
          <w:szCs w:val="20"/>
        </w:rPr>
        <w:t xml:space="preserve">:</w:t>
      </w:r>
    </w:p>
    <w:p>
      <w:pPr>
        <w:spacing w:after="100" w:before="100"/>
        <w:jc w:val="center"/>
      </w:pPr>
      <w:r>
        <w:rPr>
          <w:rFonts w:ascii="Times New Roman" w:cs="Times New Roman" w:eastAsia="Times New Roman" w:hAnsi="Times New Roman"/>
          <w:i w:val="false"/>
          <w:iCs w:val="false"/>
          <w:sz w:val="20"/>
          <w:szCs w:val="20"/>
        </w:rPr>
        <w:t xml:space="preserve">C</w:t>
      </w:r>
      <w:r>
        <w:rPr>
          <w:rFonts w:ascii="Times New Roman" w:cs="Times New Roman" w:eastAsia="Times New Roman" w:hAnsi="Times New Roman"/>
          <w:i w:val="false"/>
          <w:iCs w:val="false"/>
          <w:sz w:val="20"/>
          <w:szCs w:val="20"/>
          <w:vertAlign w:val="subscript"/>
        </w:rPr>
        <w:t xml:space="preserve">VIDE</w:t>
      </w:r>
      <w:r>
        <w:rPr>
          <w:rFonts w:ascii="Times New Roman" w:cs="Times New Roman" w:eastAsia="Times New Roman" w:hAnsi="Times New Roman"/>
          <w:i w:val="false"/>
          <w:iCs w:val="false"/>
          <w:sz w:val="20"/>
          <w:szCs w:val="20"/>
        </w:rPr>
        <w:t xml:space="preserve"> = 0.40 · S</w:t>
      </w:r>
      <w:r>
        <w:rPr>
          <w:rFonts w:ascii="Times New Roman" w:cs="Times New Roman" w:eastAsia="Times New Roman" w:hAnsi="Times New Roman"/>
          <w:i w:val="false"/>
          <w:iCs w:val="false"/>
          <w:sz w:val="20"/>
          <w:szCs w:val="20"/>
          <w:vertAlign w:val="subscript"/>
        </w:rPr>
        <w:t xml:space="preserve">str</w:t>
      </w:r>
      <w:r>
        <w:rPr>
          <w:rFonts w:ascii="Times New Roman" w:cs="Times New Roman" w:eastAsia="Times New Roman" w:hAnsi="Times New Roman"/>
          <w:i w:val="false"/>
          <w:iCs w:val="false"/>
          <w:sz w:val="20"/>
          <w:szCs w:val="20"/>
        </w:rPr>
        <w:t xml:space="preserve"> + 0.35 · S</w:t>
      </w:r>
      <w:r>
        <w:rPr>
          <w:rFonts w:ascii="Times New Roman" w:cs="Times New Roman" w:eastAsia="Times New Roman" w:hAnsi="Times New Roman"/>
          <w:i w:val="false"/>
          <w:iCs w:val="false"/>
          <w:sz w:val="20"/>
          <w:szCs w:val="20"/>
          <w:vertAlign w:val="subscript"/>
        </w:rPr>
        <w:t xml:space="preserve">struct</w:t>
      </w:r>
      <w:r>
        <w:rPr>
          <w:rFonts w:ascii="Times New Roman" w:cs="Times New Roman" w:eastAsia="Times New Roman" w:hAnsi="Times New Roman"/>
          <w:i w:val="false"/>
          <w:iCs w:val="false"/>
          <w:sz w:val="20"/>
          <w:szCs w:val="20"/>
        </w:rPr>
        <w:t xml:space="preserve"> + 0.25 · S</w:t>
      </w:r>
      <w:r>
        <w:rPr>
          <w:rFonts w:ascii="Times New Roman" w:cs="Times New Roman" w:eastAsia="Times New Roman" w:hAnsi="Times New Roman"/>
          <w:i w:val="false"/>
          <w:iCs w:val="false"/>
          <w:sz w:val="20"/>
          <w:szCs w:val="20"/>
          <w:vertAlign w:val="subscript"/>
        </w:rPr>
        <w:t xml:space="preserve">colour</w:t>
      </w:r>
      <w:r>
        <w:ptab w:alignment="right" w:relativeTo="margin" w:leader="none"/>
      </w:r>
      <w:r>
        <w:rPr>
          <w:rFonts w:ascii="Times New Roman" w:cs="Times New Roman" w:eastAsia="Times New Roman" w:hAnsi="Times New Roman"/>
          <w:sz w:val="20"/>
          <w:szCs w:val="20"/>
        </w:rPr>
        <w:t xml:space="preserve">(5)</w:t>
      </w:r>
    </w:p>
    <w:p>
      <w:pPr>
        <w:spacing w:after="100" w:line="240"/>
        <w:ind w:firstLine="288"/>
        <w:jc w:val="both"/>
      </w:pPr>
      <w:r>
        <w:rPr>
          <w:rFonts w:ascii="Times New Roman" w:cs="Times New Roman" w:eastAsia="Times New Roman" w:hAnsi="Times New Roman"/>
          <w:sz w:val="20"/>
          <w:szCs w:val="20"/>
        </w:rPr>
        <w:t xml:space="preserve">where S</w:t>
      </w:r>
      <w:r>
        <w:rPr>
          <w:rFonts w:ascii="Times New Roman" w:cs="Times New Roman" w:eastAsia="Times New Roman" w:hAnsi="Times New Roman"/>
          <w:sz w:val="20"/>
          <w:szCs w:val="20"/>
          <w:vertAlign w:val="subscript"/>
        </w:rPr>
        <w:t xml:space="preserve">str</w:t>
      </w:r>
      <w:r>
        <w:rPr>
          <w:rFonts w:ascii="Times New Roman" w:cs="Times New Roman" w:eastAsia="Times New Roman" w:hAnsi="Times New Roman"/>
          <w:sz w:val="20"/>
          <w:szCs w:val="20"/>
        </w:rPr>
        <w:t xml:space="preserve"> is fuzzy token-set containment of the baseline’s labels, so that a reworded clone still scores.</w:t>
      </w:r>
    </w:p>
    <w:p>
      <w:pPr>
        <w:spacing w:after="100" w:line="240"/>
        <w:ind w:firstLine="288"/>
        <w:jc w:val="both"/>
      </w:pPr>
      <w:r>
        <w:rPr>
          <w:rFonts w:ascii="Times New Roman" w:cs="Times New Roman" w:eastAsia="Times New Roman" w:hAnsi="Times New Roman"/>
          <w:sz w:val="20"/>
          <w:szCs w:val="20"/>
        </w:rPr>
        <w:t xml:space="preserve">Strings carry the largest weight because they are the most institution-specific of the three signals — “YONO” and “Enter UPI PIN” identify a bank in a way that a blue palette and a two-field form do not. Structure is second because it is toolkit-independent after normalisation but shared across the sector. Colour is weighted lowest despite being the most perceptually salient signal, because it is the easiest for a competent adversary to shift deliberately while remaining convincing to a victim.</w:t>
      </w:r>
    </w:p>
    <w:p>
      <w:pPr>
        <w:spacing w:after="60" w:line="240"/>
        <w:ind w:firstLine="288"/>
        <w:jc w:val="both"/>
      </w:pPr>
      <w:r>
        <w:rPr>
          <w:rFonts w:ascii="Times New Roman" w:cs="Times New Roman" w:eastAsia="Times New Roman" w:hAnsi="Times New Roman"/>
          <w:sz w:val="20"/>
          <w:szCs w:val="20"/>
        </w:rPr>
        <w:t xml:space="preserve">Detection requires three conditions simultaneously:</w:t>
      </w:r>
    </w:p>
    <w:p>
      <w:pPr>
        <w:spacing w:after="100" w:before="100"/>
        <w:jc w:val="center"/>
      </w:pPr>
      <w:r>
        <w:rPr>
          <w:rFonts w:ascii="Times New Roman" w:cs="Times New Roman" w:eastAsia="Times New Roman" w:hAnsi="Times New Roman"/>
          <w:i w:val="false"/>
          <w:iCs w:val="false"/>
          <w:sz w:val="20"/>
          <w:szCs w:val="20"/>
        </w:rPr>
        <w:t xml:space="preserve">D = [ C</w:t>
      </w:r>
      <w:r>
        <w:rPr>
          <w:rFonts w:ascii="Times New Roman" w:cs="Times New Roman" w:eastAsia="Times New Roman" w:hAnsi="Times New Roman"/>
          <w:i w:val="false"/>
          <w:iCs w:val="false"/>
          <w:sz w:val="20"/>
          <w:szCs w:val="20"/>
          <w:vertAlign w:val="subscript"/>
        </w:rPr>
        <w:t xml:space="preserve">VIDE</w:t>
      </w:r>
      <w:r>
        <w:rPr>
          <w:rFonts w:ascii="Times New Roman" w:cs="Times New Roman" w:eastAsia="Times New Roman" w:hAnsi="Times New Roman"/>
          <w:i w:val="false"/>
          <w:iCs w:val="false"/>
          <w:sz w:val="20"/>
          <w:szCs w:val="20"/>
        </w:rPr>
        <w:t xml:space="preserve"> ≥ 0.72 ] ∧ [ S</w:t>
      </w:r>
      <w:r>
        <w:rPr>
          <w:rFonts w:ascii="Times New Roman" w:cs="Times New Roman" w:eastAsia="Times New Roman" w:hAnsi="Times New Roman"/>
          <w:i w:val="false"/>
          <w:iCs w:val="false"/>
          <w:sz w:val="20"/>
          <w:szCs w:val="20"/>
          <w:vertAlign w:val="subscript"/>
        </w:rPr>
        <w:t xml:space="preserve">str</w:t>
      </w:r>
      <w:r>
        <w:rPr>
          <w:rFonts w:ascii="Times New Roman" w:cs="Times New Roman" w:eastAsia="Times New Roman" w:hAnsi="Times New Roman"/>
          <w:i w:val="false"/>
          <w:iCs w:val="false"/>
          <w:sz w:val="20"/>
          <w:szCs w:val="20"/>
        </w:rPr>
        <w:t xml:space="preserve"> ≥ 0.08 ∨ S</w:t>
      </w:r>
      <w:r>
        <w:rPr>
          <w:rFonts w:ascii="Times New Roman" w:cs="Times New Roman" w:eastAsia="Times New Roman" w:hAnsi="Times New Roman"/>
          <w:i w:val="false"/>
          <w:iCs w:val="false"/>
          <w:sz w:val="20"/>
          <w:szCs w:val="20"/>
          <w:vertAlign w:val="subscript"/>
        </w:rPr>
        <w:t xml:space="preserve">struct</w:t>
      </w:r>
      <w:r>
        <w:rPr>
          <w:rFonts w:ascii="Times New Roman" w:cs="Times New Roman" w:eastAsia="Times New Roman" w:hAnsi="Times New Roman"/>
          <w:i w:val="false"/>
          <w:iCs w:val="false"/>
          <w:sz w:val="20"/>
          <w:szCs w:val="20"/>
        </w:rPr>
        <w:t xml:space="preserve"> ≥ 0.35 ] ∧ ¬O</w:t>
      </w:r>
      <w:r>
        <w:ptab w:alignment="right" w:relativeTo="margin" w:leader="none"/>
      </w:r>
      <w:r>
        <w:rPr>
          <w:rFonts w:ascii="Times New Roman" w:cs="Times New Roman" w:eastAsia="Times New Roman" w:hAnsi="Times New Roman"/>
          <w:sz w:val="20"/>
          <w:szCs w:val="20"/>
        </w:rPr>
        <w:t xml:space="preserve">(6)</w:t>
      </w:r>
    </w:p>
    <w:p>
      <w:pPr>
        <w:spacing w:after="100" w:line="240"/>
        <w:ind w:firstLine="288"/>
        <w:jc w:val="both"/>
      </w:pPr>
      <w:r>
        <w:rPr>
          <w:rFonts w:ascii="Times New Roman" w:cs="Times New Roman" w:eastAsia="Times New Roman" w:hAnsi="Times New Roman"/>
          <w:sz w:val="20"/>
          <w:szCs w:val="20"/>
        </w:rPr>
        <w:t xml:space="preserve">The second conjunct is a guard against confidence accumulated entirely from the structural axis, which every banking application shares; a finding must show that the app reproduces </w:t>
      </w:r>
      <w:r>
        <w:rPr>
          <w:rFonts w:ascii="Times New Roman" w:cs="Times New Roman" w:eastAsia="Times New Roman" w:hAnsi="Times New Roman"/>
          <w:i/>
          <w:iCs/>
          <w:sz w:val="20"/>
          <w:szCs w:val="20"/>
        </w:rPr>
        <w:t xml:space="preserve">this</w:t>
      </w:r>
      <w:r>
        <w:rPr>
          <w:rFonts w:ascii="Times New Roman" w:cs="Times New Roman" w:eastAsia="Times New Roman" w:hAnsi="Times New Roman"/>
          <w:sz w:val="20"/>
          <w:szCs w:val="20"/>
        </w:rPr>
        <w:t xml:space="preserve"> institution’s text or palette, not merely that it is shaped like a banking app.</w:t>
      </w:r>
    </w:p>
    <w:p>
      <w:pPr>
        <w:spacing w:after="100" w:line="240"/>
        <w:ind w:firstLine="288"/>
        <w:jc w:val="both"/>
      </w:pPr>
      <w:r>
        <w:rPr>
          <w:rFonts w:ascii="Times New Roman" w:cs="Times New Roman" w:eastAsia="Times New Roman" w:hAnsi="Times New Roman"/>
          <w:sz w:val="20"/>
          <w:szCs w:val="20"/>
        </w:rPr>
        <w:t xml:space="preserve">The third conjunct, O, is the entitlement predicate, and it is what makes the rule sound. Reproducing a bank’s interface is exactly what that bank’s own application does. What makes reproduction into impersonation is doing so without being entitled to the identity. </w:t>
      </w:r>
      <w:r>
        <w:rPr>
          <w:rFonts w:ascii="Courier New" w:cs="Courier New" w:eastAsia="Courier New" w:hAnsi="Courier New"/>
          <w:sz w:val="18"/>
          <w:szCs w:val="18"/>
        </w:rPr>
        <w:t xml:space="preserve">claims_official_identity()</w:t>
      </w:r>
      <w:r>
        <w:rPr>
          <w:rFonts w:ascii="Times New Roman" w:cs="Times New Roman" w:eastAsia="Times New Roman" w:hAnsi="Times New Roman"/>
          <w:sz w:val="20"/>
          <w:szCs w:val="20"/>
        </w:rPr>
        <w:t xml:space="preserve"> returns true only when the suspect carries both a registered package name for the institution </w:t>
      </w:r>
      <w:r>
        <w:rPr>
          <w:rFonts w:ascii="Times New Roman" w:cs="Times New Roman" w:eastAsia="Times New Roman" w:hAnsi="Times New Roman"/>
          <w:i/>
          <w:iCs/>
          <w:sz w:val="20"/>
          <w:szCs w:val="20"/>
        </w:rPr>
        <w:t xml:space="preserve">and</w:t>
      </w:r>
      <w:r>
        <w:rPr>
          <w:rFonts w:ascii="Times New Roman" w:cs="Times New Roman" w:eastAsia="Times New Roman" w:hAnsi="Times New Roman"/>
          <w:sz w:val="20"/>
          <w:szCs w:val="20"/>
        </w:rPr>
        <w:t xml:space="preserve"> a signing certificate on file for it. A matching package name alone proves nothing — anyone may build an APK declaring </w:t>
      </w:r>
      <w:r>
        <w:rPr>
          <w:rFonts w:ascii="Courier New" w:cs="Courier New" w:eastAsia="Courier New" w:hAnsi="Courier New"/>
          <w:sz w:val="18"/>
          <w:szCs w:val="18"/>
        </w:rPr>
        <w:t xml:space="preserve">com.sbi.lotus</w:t>
      </w:r>
      <w:r>
        <w:rPr>
          <w:rFonts w:ascii="Times New Roman" w:cs="Times New Roman" w:eastAsia="Times New Roman" w:hAnsi="Times New Roman"/>
          <w:sz w:val="20"/>
          <w:szCs w:val="20"/>
        </w:rPr>
        <w:t xml:space="preserve">; it is the signature that makes the claim true.</w:t>
      </w:r>
    </w:p>
    <w:p>
      <w:pPr>
        <w:spacing w:after="80" w:before="160"/>
      </w:pPr>
      <w:r>
        <w:rPr>
          <w:rFonts w:ascii="Times New Roman" w:cs="Times New Roman" w:eastAsia="Times New Roman" w:hAnsi="Times New Roman"/>
          <w:i/>
          <w:iCs/>
          <w:sz w:val="20"/>
          <w:szCs w:val="20"/>
        </w:rPr>
        <w:t xml:space="preserve">E. CH06: signer impersonation</w:t>
      </w:r>
    </w:p>
    <w:p>
      <w:pPr>
        <w:spacing w:after="100" w:line="240"/>
        <w:jc w:val="both"/>
      </w:pPr>
      <w:r>
        <w:rPr>
          <w:rFonts w:ascii="Times New Roman" w:cs="Times New Roman" w:eastAsia="Times New Roman" w:hAnsi="Times New Roman"/>
          <w:sz w:val="20"/>
          <w:szCs w:val="20"/>
        </w:rPr>
        <w:t xml:space="preserve">Rule </w:t>
      </w:r>
      <w:r>
        <w:rPr>
          <w:rFonts w:ascii="Courier New" w:cs="Courier New" w:eastAsia="Courier New" w:hAnsi="Courier New"/>
          <w:sz w:val="18"/>
          <w:szCs w:val="18"/>
        </w:rPr>
        <w:t xml:space="preserve">CH06-SIGNER-IMPERSONATION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engines/vide/signer_registry.py</w:t>
      </w:r>
      <w:r>
        <w:rPr>
          <w:rFonts w:ascii="Times New Roman" w:cs="Times New Roman" w:eastAsia="Times New Roman" w:hAnsi="Times New Roman"/>
          <w:sz w:val="20"/>
          <w:szCs w:val="20"/>
        </w:rPr>
        <w:t xml:space="preserve">) enforces the identity claim independently of any visual finding. The registry (</w:t>
      </w:r>
      <w:r>
        <w:rPr>
          <w:rFonts w:ascii="Courier New" w:cs="Courier New" w:eastAsia="Courier New" w:hAnsi="Courier New"/>
          <w:sz w:val="18"/>
          <w:szCs w:val="18"/>
        </w:rPr>
        <w:t xml:space="preserve">data/bank_signer_registry.json</w:t>
      </w:r>
      <w:r>
        <w:rPr>
          <w:rFonts w:ascii="Times New Roman" w:cs="Times New Roman" w:eastAsia="Times New Roman" w:hAnsi="Times New Roman"/>
          <w:sz w:val="20"/>
          <w:szCs w:val="20"/>
        </w:rPr>
        <w:t xml:space="preserve">) holds 12 protected Indian banking packages: </w:t>
      </w:r>
      <w:r>
        <w:rPr>
          <w:rFonts w:ascii="Courier New" w:cs="Courier New" w:eastAsia="Courier New" w:hAnsi="Courier New"/>
          <w:sz w:val="18"/>
          <w:szCs w:val="18"/>
        </w:rPr>
        <w:t xml:space="preserve">com.sbi.lotus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com.sbi.lotusintouch</w:t>
      </w:r>
      <w:r>
        <w:rPr>
          <w:rFonts w:ascii="Times New Roman" w:cs="Times New Roman" w:eastAsia="Times New Roman" w:hAnsi="Times New Roman"/>
          <w:sz w:val="20"/>
          <w:szCs w:val="20"/>
        </w:rPr>
        <w:t xml:space="preserve"> (YONO SBI), </w:t>
      </w:r>
      <w:r>
        <w:rPr>
          <w:rFonts w:ascii="Courier New" w:cs="Courier New" w:eastAsia="Courier New" w:hAnsi="Courier New"/>
          <w:sz w:val="18"/>
          <w:szCs w:val="18"/>
        </w:rPr>
        <w:t xml:space="preserve">com.snapwork.hdfc</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com.hdfc.bank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com.csam.icici.bank.imobile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com.axis.mobile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com.mconnect</w:t>
      </w:r>
      <w:r>
        <w:rPr>
          <w:rFonts w:ascii="Times New Roman" w:cs="Times New Roman" w:eastAsia="Times New Roman" w:hAnsi="Times New Roman"/>
          <w:sz w:val="20"/>
          <w:szCs w:val="20"/>
        </w:rPr>
        <w:t xml:space="preserve"> (bob World), </w:t>
      </w:r>
      <w:r>
        <w:rPr>
          <w:rFonts w:ascii="Courier New" w:cs="Courier New" w:eastAsia="Courier New" w:hAnsi="Courier New"/>
          <w:sz w:val="18"/>
          <w:szCs w:val="18"/>
        </w:rPr>
        <w:t xml:space="preserve">com.pnb.pnbone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com.boi.mobile</w:t>
      </w:r>
      <w:r>
        <w:rPr>
          <w:rFonts w:ascii="Times New Roman" w:cs="Times New Roman" w:eastAsia="Times New Roman" w:hAnsi="Times New Roman"/>
          <w:sz w:val="20"/>
          <w:szCs w:val="20"/>
        </w:rPr>
        <w:t xml:space="preserve"> (BOI Mobile), </w:t>
      </w:r>
      <w:r>
        <w:rPr>
          <w:rFonts w:ascii="Courier New" w:cs="Courier New" w:eastAsia="Courier New" w:hAnsi="Courier New"/>
          <w:sz w:val="18"/>
          <w:szCs w:val="18"/>
        </w:rPr>
        <w:t xml:space="preserve">com.msf.k8</w:t>
      </w:r>
      <w:r>
        <w:rPr>
          <w:rFonts w:ascii="Times New Roman" w:cs="Times New Roman" w:eastAsia="Times New Roman" w:hAnsi="Times New Roman"/>
          <w:sz w:val="20"/>
          <w:szCs w:val="20"/>
        </w:rPr>
        <w:t xml:space="preserve"> (Kotak811), </w:t>
      </w:r>
      <w:r>
        <w:rPr>
          <w:rFonts w:ascii="Courier New" w:cs="Courier New" w:eastAsia="Courier New" w:hAnsi="Courier New"/>
          <w:sz w:val="18"/>
          <w:szCs w:val="18"/>
        </w:rPr>
        <w:t xml:space="preserve">com.indusind.indusmobile</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com.infrasofttech.uboi</w:t>
      </w:r>
      <w:r>
        <w:rPr>
          <w:rFonts w:ascii="Times New Roman" w:cs="Times New Roman" w:eastAsia="Times New Roman" w:hAnsi="Times New Roman"/>
          <w:sz w:val="20"/>
          <w:szCs w:val="20"/>
        </w:rPr>
        <w:t xml:space="preserve"> (Vyom).</w:t>
      </w:r>
    </w:p>
    <w:p>
      <w:pPr>
        <w:spacing w:after="100" w:line="240"/>
        <w:ind w:firstLine="288"/>
        <w:jc w:val="both"/>
      </w:pPr>
      <w:r>
        <w:rPr>
          <w:rFonts w:ascii="Times New Roman" w:cs="Times New Roman" w:eastAsia="Times New Roman" w:hAnsi="Times New Roman"/>
          <w:sz w:val="20"/>
          <w:szCs w:val="20"/>
        </w:rPr>
        <w:t xml:space="preserve">The rule fires when a package in the registry is signed by a certificate not on its allowlist. Two behaviours determine how it behaves in the current deployment.</w:t>
      </w:r>
    </w:p>
    <w:p>
      <w:pPr>
        <w:spacing w:after="100" w:line="240"/>
        <w:ind w:firstLine="288"/>
        <w:jc w:val="both"/>
      </w:pPr>
      <w:r>
        <w:rPr>
          <w:rFonts w:ascii="Times New Roman" w:cs="Times New Roman" w:eastAsia="Times New Roman" w:hAnsi="Times New Roman"/>
          <w:i/>
          <w:iCs/>
          <w:sz w:val="20"/>
          <w:szCs w:val="20"/>
        </w:rPr>
        <w:t xml:space="preserve">An empty allowlist fails closed.</w:t>
      </w:r>
      <w:r>
        <w:rPr>
          <w:rFonts w:ascii="Times New Roman" w:cs="Times New Roman" w:eastAsia="Times New Roman" w:hAnsi="Times New Roman"/>
          <w:sz w:val="20"/>
          <w:szCs w:val="20"/>
        </w:rPr>
        <w:t xml:space="preserve"> Where no canonical fingerprint has been provisioned, the identity claim cannot be verified and is therefore rejected. This is a deliberate state documented in the registry file, not missing data. The consequence for the present prototype is material and is restated in Section VII: </w:t>
      </w:r>
      <w:r>
        <w:rPr>
          <w:rFonts w:ascii="Times New Roman" w:cs="Times New Roman" w:eastAsia="Times New Roman" w:hAnsi="Times New Roman"/>
          <w:b/>
          <w:bCs/>
          <w:sz w:val="20"/>
          <w:szCs w:val="20"/>
        </w:rPr>
        <w:t xml:space="preserve">all 12 registry entries currently hold zero provisioned fingerprints</w:t>
      </w:r>
      <w:r>
        <w:rPr>
          <w:rFonts w:ascii="Times New Roman" w:cs="Times New Roman" w:eastAsia="Times New Roman" w:hAnsi="Times New Roman"/>
          <w:sz w:val="20"/>
          <w:szCs w:val="20"/>
        </w:rPr>
        <w:t xml:space="preserve">, so CH06 today rejects </w:t>
      </w:r>
      <w:r>
        <w:rPr>
          <w:rFonts w:ascii="Times New Roman" w:cs="Times New Roman" w:eastAsia="Times New Roman" w:hAnsi="Times New Roman"/>
          <w:i/>
          <w:iCs/>
          <w:sz w:val="20"/>
          <w:szCs w:val="20"/>
        </w:rPr>
        <w:t xml:space="preserve">any</w:t>
      </w:r>
      <w:r>
        <w:rPr>
          <w:rFonts w:ascii="Times New Roman" w:cs="Times New Roman" w:eastAsia="Times New Roman" w:hAnsi="Times New Roman"/>
          <w:sz w:val="20"/>
          <w:szCs w:val="20"/>
        </w:rPr>
        <w:t xml:space="preserve"> APK claiming a protected package name, and is not yet performing the certificate </w:t>
      </w:r>
      <w:r>
        <w:rPr>
          <w:rFonts w:ascii="Times New Roman" w:cs="Times New Roman" w:eastAsia="Times New Roman" w:hAnsi="Times New Roman"/>
          <w:i/>
          <w:iCs/>
          <w:sz w:val="20"/>
          <w:szCs w:val="20"/>
        </w:rPr>
        <w:t xml:space="preserve">comparison</w:t>
      </w:r>
      <w:r>
        <w:rPr>
          <w:rFonts w:ascii="Times New Roman" w:cs="Times New Roman" w:eastAsia="Times New Roman" w:hAnsi="Times New Roman"/>
          <w:sz w:val="20"/>
          <w:szCs w:val="20"/>
        </w:rPr>
        <w:t xml:space="preserve"> the design describes.</w:t>
      </w:r>
    </w:p>
    <w:p>
      <w:pPr>
        <w:spacing w:after="100" w:line="240"/>
        <w:ind w:firstLine="288"/>
        <w:jc w:val="both"/>
      </w:pPr>
      <w:r>
        <w:rPr>
          <w:rFonts w:ascii="Times New Roman" w:cs="Times New Roman" w:eastAsia="Times New Roman" w:hAnsi="Times New Roman"/>
          <w:i/>
          <w:iCs/>
          <w:sz w:val="20"/>
          <w:szCs w:val="20"/>
        </w:rPr>
        <w:t xml:space="preserve">An unextractable fingerprint is not a finding.</w:t>
      </w:r>
      <w:r>
        <w:rPr>
          <w:rFonts w:ascii="Times New Roman" w:cs="Times New Roman" w:eastAsia="Times New Roman" w:hAnsi="Times New Roman"/>
          <w:sz w:val="20"/>
          <w:szCs w:val="20"/>
        </w:rPr>
        <w:t xml:space="preserve"> If no SHA-256 can be recovered from the certificate block, the rule reports </w:t>
      </w:r>
      <w:r>
        <w:rPr>
          <w:rFonts w:ascii="Courier New" w:cs="Courier New" w:eastAsia="Courier New" w:hAnsi="Courier New"/>
          <w:sz w:val="18"/>
          <w:szCs w:val="18"/>
        </w:rPr>
        <w:t xml:space="preserve">CH06 undetermined</w:t>
      </w:r>
      <w:r>
        <w:rPr>
          <w:rFonts w:ascii="Times New Roman" w:cs="Times New Roman" w:eastAsia="Times New Roman" w:hAnsi="Times New Roman"/>
          <w:sz w:val="20"/>
          <w:szCs w:val="20"/>
        </w:rPr>
        <w:t xml:space="preserve"> rather than asserting impersonation on absent evidence — unless the certificate is self-evidently a debug or test keystore (matched on subject patterns such as </w:t>
      </w:r>
      <w:r>
        <w:rPr>
          <w:rFonts w:ascii="Courier New" w:cs="Courier New" w:eastAsia="Courier New" w:hAnsi="Courier New"/>
          <w:sz w:val="18"/>
          <w:szCs w:val="18"/>
        </w:rPr>
        <w:t xml:space="preserve">CN=Android Debug</w:t>
      </w:r>
      <w:r>
        <w:rPr>
          <w:rFonts w:ascii="Times New Roman" w:cs="Times New Roman" w:eastAsia="Times New Roman" w:hAnsi="Times New Roman"/>
          <w:sz w:val="20"/>
          <w:szCs w:val="20"/>
        </w:rPr>
        <w:t xml:space="preserve">), which is conclusive without a fingerprint, since such an APK never passed through a bank’s release pipeline.</w:t>
      </w:r>
    </w:p>
    <w:p>
      <w:pPr>
        <w:spacing w:after="80" w:before="160"/>
      </w:pPr>
      <w:r>
        <w:rPr>
          <w:rFonts w:ascii="Times New Roman" w:cs="Times New Roman" w:eastAsia="Times New Roman" w:hAnsi="Times New Roman"/>
          <w:i/>
          <w:iCs/>
          <w:sz w:val="20"/>
          <w:szCs w:val="20"/>
        </w:rPr>
        <w:t xml:space="preserve">F. Deterministic escalation: the CH27 triad</w:t>
      </w:r>
    </w:p>
    <w:p>
      <w:pPr>
        <w:spacing w:after="60" w:line="240"/>
        <w:jc w:val="both"/>
      </w:pPr>
      <w:r>
        <w:rPr>
          <w:rFonts w:ascii="Times New Roman" w:cs="Times New Roman" w:eastAsia="Times New Roman" w:hAnsi="Times New Roman"/>
          <w:sz w:val="20"/>
          <w:szCs w:val="20"/>
        </w:rPr>
        <w:t xml:space="preserve">A high-confidence visual clone, signed by someone other than the bank, that also requests the accessibility service, is the complete on-device fraud chain: it looks like the bank, it is not the bank, and it can drive the screen. </w:t>
      </w:r>
      <w:r>
        <w:rPr>
          <w:rFonts w:ascii="Courier New" w:cs="Courier New" w:eastAsia="Courier New" w:hAnsi="Courier New"/>
          <w:sz w:val="18"/>
          <w:szCs w:val="18"/>
        </w:rPr>
        <w:t xml:space="preserve">risk_engine.py</w:t>
      </w:r>
      <w:r>
        <w:rPr>
          <w:rFonts w:ascii="Times New Roman" w:cs="Times New Roman" w:eastAsia="Times New Roman" w:hAnsi="Times New Roman"/>
          <w:sz w:val="20"/>
          <w:szCs w:val="20"/>
        </w:rPr>
        <w:t xml:space="preserve"> escalates this combination to a floor of 95.0 and band </w:t>
      </w:r>
      <w:r>
        <w:rPr>
          <w:rFonts w:ascii="Courier New" w:cs="Courier New" w:eastAsia="Courier New" w:hAnsi="Courier New"/>
          <w:sz w:val="18"/>
          <w:szCs w:val="18"/>
        </w:rPr>
        <w:t xml:space="preserve">Critical</w:t>
      </w:r>
      <w:r>
        <w:rPr>
          <w:rFonts w:ascii="Times New Roman" w:cs="Times New Roman" w:eastAsia="Times New Roman" w:hAnsi="Times New Roman"/>
          <w:sz w:val="20"/>
          <w:szCs w:val="20"/>
        </w:rPr>
        <w:t xml:space="preserve">:</w:t>
      </w:r>
    </w:p>
    <w:p>
      <w:pPr>
        <w:spacing w:after="100" w:before="100"/>
        <w:jc w:val="center"/>
      </w:pPr>
      <w:r>
        <w:rPr>
          <w:rFonts w:ascii="Times New Roman" w:cs="Times New Roman" w:eastAsia="Times New Roman" w:hAnsi="Times New Roman"/>
          <w:i w:val="false"/>
          <w:iCs w:val="false"/>
          <w:sz w:val="20"/>
          <w:szCs w:val="20"/>
        </w:rPr>
        <w:t xml:space="preserve">CH27 = [ C</w:t>
      </w:r>
      <w:r>
        <w:rPr>
          <w:rFonts w:ascii="Times New Roman" w:cs="Times New Roman" w:eastAsia="Times New Roman" w:hAnsi="Times New Roman"/>
          <w:i w:val="false"/>
          <w:iCs w:val="false"/>
          <w:sz w:val="20"/>
          <w:szCs w:val="20"/>
          <w:vertAlign w:val="subscript"/>
        </w:rPr>
        <w:t xml:space="preserve">VIDE</w:t>
      </w:r>
      <w:r>
        <w:rPr>
          <w:rFonts w:ascii="Times New Roman" w:cs="Times New Roman" w:eastAsia="Times New Roman" w:hAnsi="Times New Roman"/>
          <w:i w:val="false"/>
          <w:iCs w:val="false"/>
          <w:sz w:val="20"/>
          <w:szCs w:val="20"/>
        </w:rPr>
        <w:t xml:space="preserve"> &gt; 0.85 ] ∧ [ CH06 ] ∧ [ BIND_ACCESSIBILITY_SERVICE ]</w:t>
      </w:r>
      <w:r>
        <w:ptab w:alignment="right" w:relativeTo="margin" w:leader="none"/>
      </w:r>
      <w:r>
        <w:rPr>
          <w:rFonts w:ascii="Times New Roman" w:cs="Times New Roman" w:eastAsia="Times New Roman" w:hAnsi="Times New Roman"/>
          <w:sz w:val="20"/>
          <w:szCs w:val="20"/>
        </w:rPr>
        <w:t xml:space="preserve">(7)</w:t>
      </w:r>
    </w:p>
    <w:p>
      <w:pPr>
        <w:spacing w:after="100" w:line="240"/>
        <w:ind w:firstLine="288"/>
        <w:jc w:val="both"/>
      </w:pPr>
      <w:r>
        <w:rPr>
          <w:rFonts w:ascii="Times New Roman" w:cs="Times New Roman" w:eastAsia="Times New Roman" w:hAnsi="Times New Roman"/>
          <w:sz w:val="20"/>
          <w:szCs w:val="20"/>
        </w:rPr>
        <w:t xml:space="preserve">Each signal alone is defensible — a skinned theme, a re-signed enterprise build, a legitimate screen reader — which is why </w:t>
      </w:r>
      <w:r>
        <w:rPr>
          <w:rFonts w:ascii="Courier New" w:cs="Courier New" w:eastAsia="Courier New" w:hAnsi="Courier New"/>
          <w:sz w:val="18"/>
          <w:szCs w:val="18"/>
        </w:rPr>
        <w:t xml:space="preserve">Critical</w:t>
      </w:r>
      <w:r>
        <w:rPr>
          <w:rFonts w:ascii="Times New Roman" w:cs="Times New Roman" w:eastAsia="Times New Roman" w:hAnsi="Times New Roman"/>
          <w:sz w:val="20"/>
          <w:szCs w:val="20"/>
        </w:rPr>
        <w:t xml:space="preserve"> is reserved for the conjunction. Signer impersonation alone floors at 92.0; a critical visual cluster alone floors at 88.0.</w:t>
      </w:r>
    </w:p>
    <w:p>
      <w:pPr>
        <w:spacing w:after="120" w:before="240"/>
        <w:jc w:val="center"/>
      </w:pPr>
      <w:r>
        <w:rPr>
          <w:rFonts w:ascii="Times New Roman" w:cs="Times New Roman" w:eastAsia="Times New Roman" w:hAnsi="Times New Roman"/>
          <w:caps/>
          <w:sz w:val="20"/>
          <w:szCs w:val="20"/>
        </w:rPr>
        <w:t xml:space="preserve">IV.  DYNAMIC INSTRUMENTATION AND ANTI-EVASION</w:t>
      </w:r>
    </w:p>
    <w:p>
      <w:pPr>
        <w:spacing w:after="80" w:before="160"/>
      </w:pPr>
      <w:r>
        <w:rPr>
          <w:rFonts w:ascii="Times New Roman" w:cs="Times New Roman" w:eastAsia="Times New Roman" w:hAnsi="Times New Roman"/>
          <w:i/>
          <w:iCs/>
          <w:sz w:val="20"/>
          <w:szCs w:val="20"/>
        </w:rPr>
        <w:t xml:space="preserve">A. Hook surface</w:t>
      </w:r>
    </w:p>
    <w:p>
      <w:pPr>
        <w:spacing w:after="100" w:line="240"/>
        <w:jc w:val="both"/>
      </w:pPr>
      <w:r>
        <w:rPr>
          <w:rFonts w:ascii="Times New Roman" w:cs="Times New Roman" w:eastAsia="Times New Roman" w:hAnsi="Times New Roman"/>
          <w:sz w:val="20"/>
          <w:szCs w:val="20"/>
        </w:rPr>
        <w:t xml:space="preserve">The instrumentation agent (</w:t>
      </w:r>
      <w:r>
        <w:rPr>
          <w:rFonts w:ascii="Courier New" w:cs="Courier New" w:eastAsia="Courier New" w:hAnsi="Courier New"/>
          <w:sz w:val="18"/>
          <w:szCs w:val="18"/>
        </w:rPr>
        <w:t xml:space="preserve">engines/frida_hooks/banking_trojan.js</w:t>
      </w:r>
      <w:r>
        <w:rPr>
          <w:rFonts w:ascii="Times New Roman" w:cs="Times New Roman" w:eastAsia="Times New Roman" w:hAnsi="Times New Roman"/>
          <w:sz w:val="20"/>
          <w:szCs w:val="20"/>
        </w:rPr>
        <w:t xml:space="preserve">, 2,309 lines) installs 67 distinct Java hooks across 72 registration sites, grouped into scored and unscored evidence categories. The fraud-relevant coverage is shown in Table I.</w:t>
      </w:r>
    </w:p>
    <w:p>
      <w:pPr>
        <w:spacing w:after="80" w:before="80"/>
        <w:jc w:val="center"/>
      </w:pPr>
      <w:r>
        <w:rPr>
          <w:rFonts w:ascii="Times New Roman" w:cs="Times New Roman" w:eastAsia="Times New Roman" w:hAnsi="Times New Roman"/>
          <w:caps/>
          <w:sz w:val="16"/>
          <w:szCs w:val="16"/>
        </w:rPr>
        <w:t xml:space="preserve">TABLE I. </w:t>
      </w:r>
      <w:r>
        <w:rPr>
          <w:rFonts w:ascii="Times New Roman" w:cs="Times New Roman" w:eastAsia="Times New Roman" w:hAnsi="Times New Roman"/>
          <w:sz w:val="16"/>
          <w:szCs w:val="16"/>
        </w:rPr>
        <w:t xml:space="preserve">Instrumentation coverage by attack function (selected).</w:t>
      </w:r>
    </w:p>
    <w:tbl>
      <w:tblPr>
        <w:tblW w:type="dxa" w:w="5040"/>
        <w:tblBorders>
          <w:top w:val="single" w:color="000000" w:sz="4"/>
          <w:left w:val="none" w:color="FFFFFF" w:sz="0"/>
          <w:bottom w:val="single" w:color="000000" w:sz="4"/>
          <w:right w:val="none" w:color="FFFFFF" w:sz="0"/>
          <w:insideH w:val="single" w:color="BFBFBF" w:sz="2"/>
          <w:insideV w:val="none" w:color="FFFFFF" w:sz="0"/>
        </w:tblBorders>
      </w:tblPr>
      <w:tblGrid>
        <w:gridCol w:w="1400"/>
        <w:gridCol w:w="3640"/>
      </w:tblGrid>
      <w:tr>
        <w:trPr>
          <w:tblHeader/>
        </w:trPr>
        <w:tc>
          <w:tcPr>
            <w:tcW w:type="dxa" w:w="1400"/>
            <w:shd w:fill="F2F2F2" w:val="clear"/>
            <w:tcMar>
              <w:top w:type="dxa" w:w="40"/>
              <w:left w:type="dxa" w:w="60"/>
              <w:bottom w:type="dxa" w:w="40"/>
              <w:right w:type="dxa" w:w="60"/>
            </w:tcMar>
          </w:tcPr>
          <w:p>
            <w:pPr>
              <w:spacing w:after="0" w:line="200"/>
              <w:jc w:val="left"/>
            </w:pPr>
            <w:r>
              <w:rPr>
                <w:rFonts w:ascii="Times New Roman" w:cs="Times New Roman" w:eastAsia="Times New Roman" w:hAnsi="Times New Roman"/>
                <w:b/>
                <w:bCs/>
                <w:sz w:val="20"/>
                <w:szCs w:val="20"/>
              </w:rPr>
              <w:t xml:space="preserve">Function</w:t>
            </w:r>
          </w:p>
        </w:tc>
        <w:tc>
          <w:tcPr>
            <w:tcW w:type="dxa" w:w="3640"/>
            <w:shd w:fill="F2F2F2" w:val="clear"/>
            <w:tcMar>
              <w:top w:type="dxa" w:w="40"/>
              <w:left w:type="dxa" w:w="60"/>
              <w:bottom w:type="dxa" w:w="40"/>
              <w:right w:type="dxa" w:w="60"/>
            </w:tcMar>
          </w:tcPr>
          <w:p>
            <w:pPr>
              <w:spacing w:after="0" w:line="200"/>
              <w:jc w:val="left"/>
            </w:pPr>
            <w:r>
              <w:rPr>
                <w:rFonts w:ascii="Times New Roman" w:cs="Times New Roman" w:eastAsia="Times New Roman" w:hAnsi="Times New Roman"/>
                <w:b/>
                <w:bCs/>
                <w:sz w:val="20"/>
                <w:szCs w:val="20"/>
              </w:rPr>
              <w:t xml:space="preserve">Hooked members</w:t>
            </w:r>
          </w:p>
        </w:tc>
      </w:tr>
      <w:tr>
        <w:trPr>
          <w:tblHeader w:val="false"/>
        </w:trPr>
        <w:tc>
          <w:tcPr>
            <w:tcW w:type="dxa" w:w="14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Accessibility</w:t>
            </w:r>
          </w:p>
        </w:tc>
        <w:tc>
          <w:tcPr>
            <w:tcW w:type="dxa" w:w="364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AccessibilityService.onAccessibilityEvent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.dispatchGesture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AccessibilityNodeInfo.getText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.performAction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.findAccessibilityNodeInfosByText</w:t>
            </w:r>
          </w:p>
        </w:tc>
      </w:tr>
      <w:tr>
        <w:trPr>
          <w:tblHeader w:val="false"/>
        </w:trPr>
        <w:tc>
          <w:tcPr>
            <w:tcW w:type="dxa" w:w="14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SMS / OTP</w:t>
            </w:r>
          </w:p>
        </w:tc>
        <w:tc>
          <w:tcPr>
            <w:tcW w:type="dxa" w:w="364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SmsManager.sendTextMessage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.sendMultipartTextMessage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SmsMessage.getMessageBody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ContentResolver.query</w:t>
            </w:r>
            <w:r>
              <w:rPr>
                <w:rFonts w:ascii="Times New Roman" w:cs="Times New Roman" w:eastAsia="Times New Roman" w:hAnsi="Times New Roman"/>
                <w:sz w:val="20"/>
                <w:szCs w:val="20"/>
              </w:rPr>
              <w:t xml:space="preserve"> (sms/mms/contacts), </w:t>
            </w:r>
            <w:r>
              <w:rPr>
                <w:rFonts w:ascii="Courier New" w:cs="Courier New" w:eastAsia="Courier New" w:hAnsi="Courier New"/>
                <w:sz w:val="18"/>
                <w:szCs w:val="18"/>
              </w:rPr>
              <w:t xml:space="preserve">.insert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.delete</w:t>
            </w:r>
          </w:p>
        </w:tc>
      </w:tr>
      <w:tr>
        <w:trPr>
          <w:tblHeader w:val="false"/>
        </w:trPr>
        <w:tc>
          <w:tcPr>
            <w:tcW w:type="dxa" w:w="14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Overlay</w:t>
            </w:r>
          </w:p>
        </w:tc>
        <w:tc>
          <w:tcPr>
            <w:tcW w:type="dxa" w:w="364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WindowManager.addView</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.updateViewLayout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.removeView</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InputMethodManager.showSoftInput</w:t>
            </w:r>
          </w:p>
        </w:tc>
      </w:tr>
      <w:tr>
        <w:trPr>
          <w:tblHeader w:val="false"/>
        </w:trPr>
        <w:tc>
          <w:tcPr>
            <w:tcW w:type="dxa" w:w="14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Payload drop</w:t>
            </w:r>
          </w:p>
        </w:tc>
        <w:tc>
          <w:tcPr>
            <w:tcW w:type="dxa" w:w="364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DexClassLoader.&lt;init&gt;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PathClassLoader.&lt;init&gt;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InMemoryDexClassLoader.&lt;init&gt;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ClassLoader.loadClass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System.loadLibrary</w:t>
            </w:r>
          </w:p>
        </w:tc>
      </w:tr>
      <w:tr>
        <w:trPr>
          <w:tblHeader w:val="false"/>
        </w:trPr>
        <w:tc>
          <w:tcPr>
            <w:tcW w:type="dxa" w:w="14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Persistence</w:t>
            </w:r>
          </w:p>
        </w:tc>
        <w:tc>
          <w:tcPr>
            <w:tcW w:type="dxa" w:w="364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AlarmManager.setExact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JobScheduler.schedule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DevicePolicyManager.isAdminActive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.lockNow</w:t>
            </w:r>
          </w:p>
        </w:tc>
      </w:tr>
      <w:tr>
        <w:trPr>
          <w:tblHeader w:val="false"/>
        </w:trPr>
        <w:tc>
          <w:tcPr>
            <w:tcW w:type="dxa" w:w="14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C2 / exfil</w:t>
            </w:r>
          </w:p>
        </w:tc>
        <w:tc>
          <w:tcPr>
            <w:tcW w:type="dxa" w:w="364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HttpURLConnection.getInputStream</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HttpsURLConnection.connect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OkHttp.RealCall.execute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Retrofit.OkHttpCall.execute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Socket.connect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URL.openConnection</w:t>
            </w:r>
          </w:p>
        </w:tc>
      </w:tr>
      <w:tr>
        <w:trPr>
          <w:tblHeader w:val="false"/>
        </w:trPr>
        <w:tc>
          <w:tcPr>
            <w:tcW w:type="dxa" w:w="14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Evasion (unscored)</w:t>
            </w:r>
          </w:p>
        </w:tc>
        <w:tc>
          <w:tcPr>
            <w:tcW w:type="dxa" w:w="364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SystemProperties.get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Debug.isDebuggerConnected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Build.staticFields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BufferedReader.readLine</w:t>
            </w:r>
            <w:r>
              <w:rPr>
                <w:rFonts w:ascii="Times New Roman" w:cs="Times New Roman" w:eastAsia="Times New Roman" w:hAnsi="Times New Roman"/>
                <w:sz w:val="20"/>
                <w:szCs w:val="20"/>
              </w:rPr>
              <w:t xml:space="preserve"> (anti-Frida), </w:t>
            </w:r>
            <w:r>
              <w:rPr>
                <w:rFonts w:ascii="Courier New" w:cs="Courier New" w:eastAsia="Courier New" w:hAnsi="Courier New"/>
                <w:sz w:val="18"/>
                <w:szCs w:val="18"/>
              </w:rPr>
              <w:t xml:space="preserve">ActivityManager.getRunningTasks</w:t>
            </w:r>
          </w:p>
        </w:tc>
      </w:tr>
    </w:tbl>
    <w:p>
      <w:pPr>
        <w:spacing w:after="100"/>
      </w:pPr>
    </w:p>
    <w:p>
      <w:pPr>
        <w:spacing w:after="100" w:line="240"/>
        <w:jc w:val="both"/>
      </w:pPr>
      <w:r>
        <w:rPr>
          <w:rFonts w:ascii="Times New Roman" w:cs="Times New Roman" w:eastAsia="Times New Roman" w:hAnsi="Times New Roman"/>
          <w:sz w:val="20"/>
          <w:szCs w:val="20"/>
        </w:rPr>
        <w:t xml:space="preserve">Evasion hooks are deliberately placed in an </w:t>
      </w:r>
      <w:r>
        <w:rPr>
          <w:rFonts w:ascii="Times New Roman" w:cs="Times New Roman" w:eastAsia="Times New Roman" w:hAnsi="Times New Roman"/>
          <w:i/>
          <w:iCs/>
          <w:sz w:val="20"/>
          <w:szCs w:val="20"/>
        </w:rPr>
        <w:t xml:space="preserve">unscored</w:t>
      </w:r>
      <w:r>
        <w:rPr>
          <w:rFonts w:ascii="Times New Roman" w:cs="Times New Roman" w:eastAsia="Times New Roman" w:hAnsi="Times New Roman"/>
          <w:sz w:val="20"/>
          <w:szCs w:val="20"/>
        </w:rPr>
        <w:t xml:space="preserve"> category. A sample fingerprinting the sandbox has told us something important about itself, but it has not committed a fraud act, and scoring it as one would inflate every verdict against every sample that checks its environment — including legitimate applications with anti-tamper logic.</w:t>
      </w:r>
    </w:p>
    <w:p>
      <w:pPr>
        <w:spacing w:after="80" w:before="160"/>
      </w:pPr>
      <w:r>
        <w:rPr>
          <w:rFonts w:ascii="Times New Roman" w:cs="Times New Roman" w:eastAsia="Times New Roman" w:hAnsi="Times New Roman"/>
          <w:i/>
          <w:iCs/>
          <w:sz w:val="20"/>
          <w:szCs w:val="20"/>
        </w:rPr>
        <w:t xml:space="preserve">B. Time-warp clock control</w:t>
      </w:r>
    </w:p>
    <w:p>
      <w:pPr>
        <w:spacing w:after="100" w:line="240"/>
        <w:jc w:val="both"/>
      </w:pPr>
      <w:r>
        <w:rPr>
          <w:rFonts w:ascii="Times New Roman" w:cs="Times New Roman" w:eastAsia="Times New Roman" w:hAnsi="Times New Roman"/>
          <w:sz w:val="20"/>
          <w:szCs w:val="20"/>
        </w:rPr>
        <w:t xml:space="preserve">FluBot and SharkBot variants stall behind multi-minute sleeps and </w:t>
      </w:r>
      <w:r>
        <w:rPr>
          <w:rFonts w:ascii="Courier New" w:cs="Courier New" w:eastAsia="Courier New" w:hAnsi="Courier New"/>
          <w:sz w:val="18"/>
          <w:szCs w:val="18"/>
        </w:rPr>
        <w:t xml:space="preserve">AlarmManager</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WorkManager</w:t>
      </w:r>
      <w:r>
        <w:rPr>
          <w:rFonts w:ascii="Times New Roman" w:cs="Times New Roman" w:eastAsia="Times New Roman" w:hAnsi="Times New Roman"/>
          <w:sz w:val="20"/>
          <w:szCs w:val="20"/>
        </w:rPr>
        <w:t xml:space="preserve"> timers specifically to outlast a sandbox window. </w:t>
      </w:r>
      <w:r>
        <w:rPr>
          <w:rFonts w:ascii="Courier New" w:cs="Courier New" w:eastAsia="Courier New" w:hAnsi="Courier New"/>
          <w:sz w:val="18"/>
          <w:szCs w:val="18"/>
        </w:rPr>
        <w:t xml:space="preserve">engines/frida_hooks/time_warp.js</w:t>
      </w:r>
      <w:r>
        <w:rPr>
          <w:rFonts w:ascii="Times New Roman" w:cs="Times New Roman" w:eastAsia="Times New Roman" w:hAnsi="Times New Roman"/>
          <w:sz w:val="20"/>
          <w:szCs w:val="20"/>
        </w:rPr>
        <w:t xml:space="preserve"> addresses this by applying an in-process offset to every clock the process can read: </w:t>
      </w:r>
      <w:r>
        <w:rPr>
          <w:rFonts w:ascii="Courier New" w:cs="Courier New" w:eastAsia="Courier New" w:hAnsi="Courier New"/>
          <w:sz w:val="18"/>
          <w:szCs w:val="18"/>
        </w:rPr>
        <w:t xml:space="preserve">System.currentTimeMillis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SystemClock.elapsedRealtime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.uptimeMillis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.elapsedRealtimeNanos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java.util.Date.&lt;init&gt;()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Calendar.getInstance()</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java.time.Instant.now()</w:t>
      </w:r>
      <w:r>
        <w:rPr>
          <w:rFonts w:ascii="Times New Roman" w:cs="Times New Roman" w:eastAsia="Times New Roman" w:hAnsi="Times New Roman"/>
          <w:sz w:val="20"/>
          <w:szCs w:val="20"/>
        </w:rPr>
        <w:t xml:space="preserve">. The offset is controlled at runtime through the RPC surface </w:t>
      </w:r>
      <w:r>
        <w:rPr>
          <w:rFonts w:ascii="Courier New" w:cs="Courier New" w:eastAsia="Courier New" w:hAnsi="Courier New"/>
          <w:sz w:val="18"/>
          <w:szCs w:val="18"/>
        </w:rPr>
        <w:t xml:space="preserve">setTimeOffset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advanceHours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getTimeOffset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status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reset</w:t>
      </w:r>
      <w:r>
        <w:rPr>
          <w:rFonts w:ascii="Times New Roman" w:cs="Times New Roman" w:eastAsia="Times New Roman" w:hAnsi="Times New Roman"/>
          <w:sz w:val="20"/>
          <w:szCs w:val="20"/>
        </w:rPr>
        <w:t xml:space="preserve">.</w:t>
      </w:r>
    </w:p>
    <w:p>
      <w:pPr>
        <w:spacing w:after="80" w:line="240"/>
        <w:ind w:firstLine="288"/>
        <w:jc w:val="both"/>
      </w:pPr>
      <w:r>
        <w:rPr>
          <w:rFonts w:ascii="Times New Roman" w:cs="Times New Roman" w:eastAsia="Times New Roman" w:hAnsi="Times New Roman"/>
          <w:sz w:val="20"/>
          <w:szCs w:val="20"/>
        </w:rPr>
        <w:t xml:space="preserve">Three design points distinguish this from the obvious alternative of moving the device clock with </w:t>
      </w:r>
      <w:r>
        <w:rPr>
          <w:rFonts w:ascii="Courier New" w:cs="Courier New" w:eastAsia="Courier New" w:hAnsi="Courier New"/>
          <w:sz w:val="18"/>
          <w:szCs w:val="18"/>
        </w:rPr>
        <w:t xml:space="preserve">adb shell date</w:t>
      </w:r>
      <w:r>
        <w:rPr>
          <w:rFonts w:ascii="Times New Roman" w:cs="Times New Roman" w:eastAsia="Times New Roman" w:hAnsi="Times New Roman"/>
          <w:sz w:val="20"/>
          <w:szCs w:val="20"/>
        </w:rPr>
        <w:t xml:space="preserve">:</w:t>
      </w:r>
    </w:p>
    <w:p>
      <w:pPr>
        <w:pStyle w:val="ListParagraph"/>
        <w:numPr>
          <w:ilvl w:val="0"/>
          <w:numId w:val="3"/>
        </w:numPr>
        <w:spacing w:after="40" w:line="240"/>
        <w:jc w:val="both"/>
      </w:pPr>
      <w:r>
        <w:rPr>
          <w:rFonts w:ascii="Courier New" w:cs="Courier New" w:eastAsia="Courier New" w:hAnsi="Courier New"/>
          <w:sz w:val="18"/>
          <w:szCs w:val="18"/>
        </w:rPr>
        <w:t xml:space="preserve">elapsedRealtime()</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uptimeMillis()</w:t>
      </w:r>
      <w:r>
        <w:rPr>
          <w:rFonts w:ascii="Times New Roman" w:cs="Times New Roman" w:eastAsia="Times New Roman" w:hAnsi="Times New Roman"/>
          <w:sz w:val="20"/>
          <w:szCs w:val="20"/>
        </w:rPr>
        <w:t xml:space="preserve"> are monotonic since boot and do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move when the wall clock moves. A sample that measures a delay with them is entirely unaffected by any amount of </w:t>
      </w:r>
      <w:r>
        <w:rPr>
          <w:rFonts w:ascii="Courier New" w:cs="Courier New" w:eastAsia="Courier New" w:hAnsi="Courier New"/>
          <w:sz w:val="18"/>
          <w:szCs w:val="18"/>
        </w:rPr>
        <w:t xml:space="preserve">date</w:t>
      </w:r>
      <w:r>
        <w:rPr>
          <w:rFonts w:ascii="Times New Roman" w:cs="Times New Roman" w:eastAsia="Times New Roman" w:hAnsi="Times New Roman"/>
          <w:sz w:val="20"/>
          <w:szCs w:val="20"/>
        </w:rPr>
        <w:t xml:space="preserve"> manipulation. Hooking the accessors moves the monotonic clocks too.</w:t>
      </w:r>
    </w:p>
    <w:p>
      <w:pPr>
        <w:pStyle w:val="ListParagraph"/>
        <w:numPr>
          <w:ilvl w:val="0"/>
          <w:numId w:val="3"/>
        </w:numPr>
        <w:spacing w:after="40" w:line="240"/>
        <w:jc w:val="both"/>
      </w:pPr>
      <w:r>
        <w:rPr>
          <w:rFonts w:ascii="Times New Roman" w:cs="Times New Roman" w:eastAsia="Times New Roman" w:hAnsi="Times New Roman"/>
          <w:sz w:val="20"/>
          <w:szCs w:val="20"/>
        </w:rPr>
        <w:t xml:space="preserve">Setting the system clock is a device-wide, externally observable change. A sample that samples the clock twice per second sees it lurch — which is itself a sandbox tell. An in-process offset is visible only to the process under analysis and leaves the rest of the device self-consistent.</w:t>
      </w:r>
    </w:p>
    <w:p>
      <w:pPr>
        <w:pStyle w:val="ListParagraph"/>
        <w:numPr>
          <w:ilvl w:val="0"/>
          <w:numId w:val="3"/>
        </w:numPr>
        <w:spacing w:after="40" w:line="240"/>
        <w:jc w:val="both"/>
      </w:pPr>
      <w:r>
        <w:rPr>
          <w:rFonts w:ascii="Times New Roman" w:cs="Times New Roman" w:eastAsia="Times New Roman" w:hAnsi="Times New Roman"/>
          <w:sz w:val="20"/>
          <w:szCs w:val="20"/>
        </w:rPr>
        <w:t xml:space="preserve">Overloads taking an explicit timestamp are deliberately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shifted. </w:t>
      </w:r>
      <w:r>
        <w:rPr>
          <w:rFonts w:ascii="Courier New" w:cs="Courier New" w:eastAsia="Courier New" w:hAnsi="Courier New"/>
          <w:sz w:val="18"/>
          <w:szCs w:val="18"/>
        </w:rPr>
        <w:t xml:space="preserve">new Date(storedMillis)</w:t>
      </w:r>
      <w:r>
        <w:rPr>
          <w:rFonts w:ascii="Times New Roman" w:cs="Times New Roman" w:eastAsia="Times New Roman" w:hAnsi="Times New Roman"/>
          <w:sz w:val="20"/>
          <w:szCs w:val="20"/>
        </w:rPr>
        <w:t xml:space="preserve"> is the sample restating a value it already holds; offsetting it would corrupt the sample’s arithmetic rather than advance its timers.</w:t>
      </w:r>
    </w:p>
    <w:p>
      <w:pPr>
        <w:spacing w:after="100" w:line="240"/>
        <w:ind w:firstLine="288"/>
        <w:jc w:val="both"/>
      </w:pPr>
      <w:r>
        <w:rPr>
          <w:rFonts w:ascii="Times New Roman" w:cs="Times New Roman" w:eastAsia="Times New Roman" w:hAnsi="Times New Roman"/>
          <w:sz w:val="20"/>
          <w:szCs w:val="20"/>
        </w:rPr>
        <w:t xml:space="preserve">Every hook is installed inside an independent guard, because the overload sets of </w:t>
      </w:r>
      <w:r>
        <w:rPr>
          <w:rFonts w:ascii="Courier New" w:cs="Courier New" w:eastAsia="Courier New" w:hAnsi="Courier New"/>
          <w:sz w:val="18"/>
          <w:szCs w:val="18"/>
        </w:rPr>
        <w:t xml:space="preserve">Date</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Calendar</w:t>
      </w:r>
      <w:r>
        <w:rPr>
          <w:rFonts w:ascii="Times New Roman" w:cs="Times New Roman" w:eastAsia="Times New Roman" w:hAnsi="Times New Roman"/>
          <w:sz w:val="20"/>
          <w:szCs w:val="20"/>
        </w:rPr>
        <w:t xml:space="preserve"> vary across Android 7 through 15. A missing class degrades to “that one clock is unhooked”, never to “the script failed to load”, and the </w:t>
      </w:r>
      <w:r>
        <w:rPr>
          <w:rFonts w:ascii="Courier New" w:cs="Courier New" w:eastAsia="Courier New" w:hAnsi="Courier New"/>
          <w:sz w:val="18"/>
          <w:szCs w:val="18"/>
        </w:rPr>
        <w:t xml:space="preserve">status</w:t>
      </w:r>
      <w:r>
        <w:rPr>
          <w:rFonts w:ascii="Times New Roman" w:cs="Times New Roman" w:eastAsia="Times New Roman" w:hAnsi="Times New Roman"/>
          <w:sz w:val="20"/>
          <w:szCs w:val="20"/>
        </w:rPr>
        <w:t xml:space="preserve"> RPC reports exactly which clocks are under control on the current image. Unit coverage is at </w:t>
      </w:r>
      <w:r>
        <w:rPr>
          <w:rFonts w:ascii="Courier New" w:cs="Courier New" w:eastAsia="Courier New" w:hAnsi="Courier New"/>
          <w:sz w:val="18"/>
          <w:szCs w:val="18"/>
        </w:rPr>
        <w:t xml:space="preserve">tests/unit/test_time_warp.py</w:t>
      </w:r>
      <w:r>
        <w:rPr>
          <w:rFonts w:ascii="Times New Roman" w:cs="Times New Roman" w:eastAsia="Times New Roman" w:hAnsi="Times New Roman"/>
          <w:sz w:val="20"/>
          <w:szCs w:val="20"/>
        </w:rPr>
        <w:t xml:space="preserve">.</w:t>
      </w:r>
    </w:p>
    <w:p>
      <w:pPr>
        <w:spacing w:after="80" w:before="160"/>
      </w:pPr>
      <w:r>
        <w:rPr>
          <w:rFonts w:ascii="Times New Roman" w:cs="Times New Roman" w:eastAsia="Times New Roman" w:hAnsi="Times New Roman"/>
          <w:i/>
          <w:iCs/>
          <w:sz w:val="20"/>
          <w:szCs w:val="20"/>
        </w:rPr>
        <w:t xml:space="preserve">C. Synthetic persona seeding</w:t>
      </w:r>
    </w:p>
    <w:p>
      <w:pPr>
        <w:spacing w:after="100" w:line="240"/>
        <w:jc w:val="both"/>
      </w:pPr>
      <w:r>
        <w:rPr>
          <w:rFonts w:ascii="Times New Roman" w:cs="Times New Roman" w:eastAsia="Times New Roman" w:hAnsi="Times New Roman"/>
          <w:sz w:val="20"/>
          <w:szCs w:val="20"/>
        </w:rPr>
        <w:t xml:space="preserve">An out-of-the-box emulator has no contacts, no messages, and no call history. This is a stronger sandbox tell than any build property, because checking whether </w:t>
      </w:r>
      <w:r>
        <w:rPr>
          <w:rFonts w:ascii="Courier New" w:cs="Courier New" w:eastAsia="Courier New" w:hAnsi="Courier New"/>
          <w:sz w:val="18"/>
          <w:szCs w:val="18"/>
        </w:rPr>
        <w:t xml:space="preserve">ContactsContract</w:t>
      </w:r>
      <w:r>
        <w:rPr>
          <w:rFonts w:ascii="Times New Roman" w:cs="Times New Roman" w:eastAsia="Times New Roman" w:hAnsi="Times New Roman"/>
          <w:sz w:val="20"/>
          <w:szCs w:val="20"/>
        </w:rPr>
        <w:t xml:space="preserve"> returns zero rows costs one query and cannot be defeated by renaming a fingerprint.</w:t>
      </w:r>
    </w:p>
    <w:p>
      <w:pPr>
        <w:spacing w:after="100" w:line="240"/>
        <w:ind w:firstLine="288"/>
        <w:jc w:val="both"/>
      </w:pPr>
      <w:r>
        <w:rPr>
          <w:rFonts w:ascii="Courier New" w:cs="Courier New" w:eastAsia="Courier New" w:hAnsi="Courier New"/>
          <w:sz w:val="18"/>
          <w:szCs w:val="18"/>
        </w:rPr>
        <w:t xml:space="preserve">engines/persona.py</w:t>
      </w:r>
      <w:r>
        <w:rPr>
          <w:rFonts w:ascii="Times New Roman" w:cs="Times New Roman" w:eastAsia="Times New Roman" w:hAnsi="Times New Roman"/>
          <w:sz w:val="20"/>
          <w:szCs w:val="20"/>
        </w:rPr>
        <w:t xml:space="preserve"> expands operator-editable JSON templates (</w:t>
      </w:r>
      <w:r>
        <w:rPr>
          <w:rFonts w:ascii="Courier New" w:cs="Courier New" w:eastAsia="Courier New" w:hAnsi="Courier New"/>
          <w:sz w:val="18"/>
          <w:szCs w:val="18"/>
        </w:rPr>
        <w:t xml:space="preserve">config/personas/*.json</w:t>
      </w:r>
      <w:r>
        <w:rPr>
          <w:rFonts w:ascii="Times New Roman" w:cs="Times New Roman" w:eastAsia="Times New Roman" w:hAnsi="Times New Roman"/>
          <w:sz w:val="20"/>
          <w:szCs w:val="20"/>
        </w:rPr>
        <w:t xml:space="preserve">) into concrete provider rows. Two personas ship, shown in Table II.</w:t>
      </w:r>
    </w:p>
    <w:p>
      <w:pPr>
        <w:spacing w:after="80" w:before="80"/>
        <w:jc w:val="center"/>
      </w:pPr>
      <w:r>
        <w:rPr>
          <w:rFonts w:ascii="Times New Roman" w:cs="Times New Roman" w:eastAsia="Times New Roman" w:hAnsi="Times New Roman"/>
          <w:caps/>
          <w:sz w:val="16"/>
          <w:szCs w:val="16"/>
        </w:rPr>
        <w:t xml:space="preserve">TABLE II. </w:t>
      </w:r>
      <w:r>
        <w:rPr>
          <w:rFonts w:ascii="Times New Roman" w:cs="Times New Roman" w:eastAsia="Times New Roman" w:hAnsi="Times New Roman"/>
          <w:sz w:val="16"/>
          <w:szCs w:val="16"/>
        </w:rPr>
        <w:t xml:space="preserve">Shipped persona templates.</w:t>
      </w:r>
    </w:p>
    <w:tbl>
      <w:tblPr>
        <w:tblW w:type="dxa" w:w="5040"/>
        <w:tblBorders>
          <w:top w:val="single" w:color="000000" w:sz="4"/>
          <w:left w:val="none" w:color="FFFFFF" w:sz="0"/>
          <w:bottom w:val="single" w:color="000000" w:sz="4"/>
          <w:right w:val="none" w:color="FFFFFF" w:sz="0"/>
          <w:insideH w:val="single" w:color="BFBFBF" w:sz="2"/>
          <w:insideV w:val="none" w:color="FFFFFF" w:sz="0"/>
        </w:tblBorders>
      </w:tblPr>
      <w:tblGrid>
        <w:gridCol w:w="1680"/>
        <w:gridCol w:w="840"/>
        <w:gridCol w:w="840"/>
        <w:gridCol w:w="840"/>
        <w:gridCol w:w="840"/>
      </w:tblGrid>
      <w:tr>
        <w:trPr>
          <w:tblHeader/>
        </w:trPr>
        <w:tc>
          <w:tcPr>
            <w:tcW w:type="dxa" w:w="1680"/>
            <w:shd w:fill="F2F2F2" w:val="clear"/>
            <w:tcMar>
              <w:top w:type="dxa" w:w="40"/>
              <w:left w:type="dxa" w:w="60"/>
              <w:bottom w:type="dxa" w:w="40"/>
              <w:right w:type="dxa" w:w="60"/>
            </w:tcMar>
          </w:tcPr>
          <w:p>
            <w:pPr>
              <w:spacing w:after="0" w:line="200"/>
              <w:jc w:val="left"/>
            </w:pPr>
            <w:r>
              <w:rPr>
                <w:rFonts w:ascii="Times New Roman" w:cs="Times New Roman" w:eastAsia="Times New Roman" w:hAnsi="Times New Roman"/>
                <w:b/>
                <w:bCs/>
                <w:sz w:val="20"/>
                <w:szCs w:val="20"/>
              </w:rPr>
              <w:t xml:space="preserve">Persona</w:t>
            </w:r>
          </w:p>
        </w:tc>
        <w:tc>
          <w:tcPr>
            <w:tcW w:type="dxa" w:w="840"/>
            <w:shd w:fill="F2F2F2" w:val="clear"/>
            <w:tcMar>
              <w:top w:type="dxa" w:w="40"/>
              <w:left w:type="dxa" w:w="60"/>
              <w:bottom w:type="dxa" w:w="40"/>
              <w:right w:type="dxa" w:w="60"/>
            </w:tcMar>
          </w:tcPr>
          <w:p>
            <w:pPr>
              <w:spacing w:after="0" w:line="200"/>
              <w:jc w:val="right"/>
            </w:pPr>
            <w:r>
              <w:rPr>
                <w:rFonts w:ascii="Times New Roman" w:cs="Times New Roman" w:eastAsia="Times New Roman" w:hAnsi="Times New Roman"/>
                <w:b/>
                <w:bCs/>
                <w:sz w:val="20"/>
                <w:szCs w:val="20"/>
              </w:rPr>
              <w:t xml:space="preserve">Contacts</w:t>
            </w:r>
          </w:p>
        </w:tc>
        <w:tc>
          <w:tcPr>
            <w:tcW w:type="dxa" w:w="840"/>
            <w:shd w:fill="F2F2F2" w:val="clear"/>
            <w:tcMar>
              <w:top w:type="dxa" w:w="40"/>
              <w:left w:type="dxa" w:w="60"/>
              <w:bottom w:type="dxa" w:w="40"/>
              <w:right w:type="dxa" w:w="60"/>
            </w:tcMar>
          </w:tcPr>
          <w:p>
            <w:pPr>
              <w:spacing w:after="0" w:line="200"/>
              <w:jc w:val="right"/>
            </w:pPr>
            <w:r>
              <w:rPr>
                <w:rFonts w:ascii="Times New Roman" w:cs="Times New Roman" w:eastAsia="Times New Roman" w:hAnsi="Times New Roman"/>
                <w:b/>
                <w:bCs/>
                <w:sz w:val="20"/>
                <w:szCs w:val="20"/>
              </w:rPr>
              <w:t xml:space="preserve">SMS</w:t>
            </w:r>
          </w:p>
        </w:tc>
        <w:tc>
          <w:tcPr>
            <w:tcW w:type="dxa" w:w="840"/>
            <w:shd w:fill="F2F2F2" w:val="clear"/>
            <w:tcMar>
              <w:top w:type="dxa" w:w="40"/>
              <w:left w:type="dxa" w:w="60"/>
              <w:bottom w:type="dxa" w:w="40"/>
              <w:right w:type="dxa" w:w="60"/>
            </w:tcMar>
          </w:tcPr>
          <w:p>
            <w:pPr>
              <w:spacing w:after="0" w:line="200"/>
              <w:jc w:val="right"/>
            </w:pPr>
            <w:r>
              <w:rPr>
                <w:rFonts w:ascii="Times New Roman" w:cs="Times New Roman" w:eastAsia="Times New Roman" w:hAnsi="Times New Roman"/>
                <w:b/>
                <w:bCs/>
                <w:sz w:val="20"/>
                <w:szCs w:val="20"/>
              </w:rPr>
              <w:t xml:space="preserve">Calls</w:t>
            </w:r>
          </w:p>
        </w:tc>
        <w:tc>
          <w:tcPr>
            <w:tcW w:type="dxa" w:w="840"/>
            <w:shd w:fill="F2F2F2" w:val="clear"/>
            <w:tcMar>
              <w:top w:type="dxa" w:w="40"/>
              <w:left w:type="dxa" w:w="60"/>
              <w:bottom w:type="dxa" w:w="40"/>
              <w:right w:type="dxa" w:w="60"/>
            </w:tcMar>
          </w:tcPr>
          <w:p>
            <w:pPr>
              <w:spacing w:after="0" w:line="200"/>
              <w:jc w:val="right"/>
            </w:pPr>
            <w:r>
              <w:rPr>
                <w:rFonts w:ascii="Times New Roman" w:cs="Times New Roman" w:eastAsia="Times New Roman" w:hAnsi="Times New Roman"/>
                <w:b/>
                <w:bCs/>
                <w:sz w:val="20"/>
                <w:szCs w:val="20"/>
              </w:rPr>
              <w:t xml:space="preserve">Photos</w:t>
            </w:r>
          </w:p>
        </w:tc>
      </w:tr>
      <w:tr>
        <w:trPr>
          <w:tblHeader w:val="false"/>
        </w:trPr>
        <w:tc>
          <w:tcPr>
            <w:tcW w:type="dxa" w:w="168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default_retail_user</w:t>
            </w:r>
          </w:p>
        </w:tc>
        <w:tc>
          <w:tcPr>
            <w:tcW w:type="dxa" w:w="84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120</w:t>
            </w:r>
          </w:p>
        </w:tc>
        <w:tc>
          <w:tcPr>
            <w:tcW w:type="dxa" w:w="84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8</w:t>
            </w:r>
          </w:p>
        </w:tc>
        <w:tc>
          <w:tcPr>
            <w:tcW w:type="dxa" w:w="84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24</w:t>
            </w:r>
          </w:p>
        </w:tc>
        <w:tc>
          <w:tcPr>
            <w:tcW w:type="dxa" w:w="84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18</w:t>
            </w:r>
          </w:p>
        </w:tc>
      </w:tr>
      <w:tr>
        <w:trPr>
          <w:tblHeader w:val="false"/>
        </w:trPr>
        <w:tc>
          <w:tcPr>
            <w:tcW w:type="dxa" w:w="1680"/>
            <w:tcMar>
              <w:top w:type="dxa" w:w="40"/>
              <w:left w:type="dxa" w:w="60"/>
              <w:bottom w:type="dxa" w:w="40"/>
              <w:right w:type="dxa" w:w="60"/>
            </w:tcMar>
          </w:tcPr>
          <w:p>
            <w:pPr>
              <w:spacing w:after="0" w:line="200"/>
              <w:jc w:val="left"/>
            </w:pPr>
            <w:r>
              <w:rPr>
                <w:rFonts w:ascii="Courier New" w:cs="Courier New" w:eastAsia="Courier New" w:hAnsi="Courier New"/>
                <w:sz w:val="18"/>
                <w:szCs w:val="18"/>
              </w:rPr>
              <w:t xml:space="preserve">minimal_privacy_user</w:t>
            </w:r>
          </w:p>
        </w:tc>
        <w:tc>
          <w:tcPr>
            <w:tcW w:type="dxa" w:w="84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25</w:t>
            </w:r>
          </w:p>
        </w:tc>
        <w:tc>
          <w:tcPr>
            <w:tcW w:type="dxa" w:w="84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w:t>
            </w:r>
          </w:p>
        </w:tc>
        <w:tc>
          <w:tcPr>
            <w:tcW w:type="dxa" w:w="84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6</w:t>
            </w:r>
          </w:p>
        </w:tc>
        <w:tc>
          <w:tcPr>
            <w:tcW w:type="dxa" w:w="84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4</w:t>
            </w:r>
          </w:p>
        </w:tc>
      </w:tr>
    </w:tbl>
    <w:p>
      <w:pPr>
        <w:spacing w:after="100"/>
      </w:pPr>
    </w:p>
    <w:p>
      <w:pPr>
        <w:spacing w:after="100" w:line="240"/>
        <w:jc w:val="both"/>
      </w:pPr>
      <w:r>
        <w:rPr>
          <w:rFonts w:ascii="Times New Roman" w:cs="Times New Roman" w:eastAsia="Times New Roman" w:hAnsi="Times New Roman"/>
          <w:sz w:val="20"/>
          <w:szCs w:val="20"/>
        </w:rPr>
        <w:t xml:space="preserve">Names, family names and phone prefixes are drawn from India-localised pools, so the seeded state is consistent with the device locale a targeted sample expects. Expansion is deterministic — seeded from the persona identifier rather than the clock — so the same persona yields the same device state on every run. This is a forensic requirement, not a convenience: a re-executed run must land on identical device state for its result to be comparable, and the module performs no device I/O so that this property is unit-testable without an emulator. Row counts are bounded (500 contacts, 200 SMS, 300 calls, 100 photos) so that an operator typo cannot become a hanging insert loop.</w:t>
      </w:r>
    </w:p>
    <w:p>
      <w:pPr>
        <w:spacing w:after="80" w:before="160"/>
      </w:pPr>
      <w:r>
        <w:rPr>
          <w:rFonts w:ascii="Times New Roman" w:cs="Times New Roman" w:eastAsia="Times New Roman" w:hAnsi="Times New Roman"/>
          <w:i/>
          <w:iCs/>
          <w:sz w:val="20"/>
          <w:szCs w:val="20"/>
        </w:rPr>
        <w:t xml:space="preserve">D. Runtime payload interception</w:t>
      </w:r>
    </w:p>
    <w:p>
      <w:pPr>
        <w:spacing w:after="100" w:line="240"/>
        <w:jc w:val="both"/>
      </w:pPr>
      <w:r>
        <w:rPr>
          <w:rFonts w:ascii="Times New Roman" w:cs="Times New Roman" w:eastAsia="Times New Roman" w:hAnsi="Times New Roman"/>
          <w:sz w:val="20"/>
          <w:szCs w:val="20"/>
        </w:rPr>
        <w:t xml:space="preserve">Cerberus- and Octo-lineage droppers ship clean stub code and decrypt the real payload into memory at runtime. Sudarshan hooks all three loader paths — </w:t>
      </w:r>
      <w:r>
        <w:rPr>
          <w:rFonts w:ascii="Courier New" w:cs="Courier New" w:eastAsia="Courier New" w:hAnsi="Courier New"/>
          <w:sz w:val="18"/>
          <w:szCs w:val="18"/>
        </w:rPr>
        <w:t xml:space="preserve">DexClassLoader.&lt;init&gt;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PathClassLoader.&lt;init&gt;</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InMemoryDexClassLoader.&lt;init&gt;</w:t>
      </w:r>
      <w:r>
        <w:rPr>
          <w:rFonts w:ascii="Times New Roman" w:cs="Times New Roman" w:eastAsia="Times New Roman" w:hAnsi="Times New Roman"/>
          <w:sz w:val="20"/>
          <w:szCs w:val="20"/>
        </w:rPr>
        <w:t xml:space="preserve"> — capturing the loaded path or byte buffer at the moment of construction, together with </w:t>
      </w:r>
      <w:r>
        <w:rPr>
          <w:rFonts w:ascii="Courier New" w:cs="Courier New" w:eastAsia="Courier New" w:hAnsi="Courier New"/>
          <w:sz w:val="18"/>
          <w:szCs w:val="18"/>
        </w:rPr>
        <w:t xml:space="preserve">ClassLoader.loadClass</w:t>
      </w:r>
      <w:r>
        <w:rPr>
          <w:rFonts w:ascii="Times New Roman" w:cs="Times New Roman" w:eastAsia="Times New Roman" w:hAnsi="Times New Roman"/>
          <w:sz w:val="20"/>
          <w:szCs w:val="20"/>
        </w:rPr>
        <w:t xml:space="preserve"> for subsequent resolution. The static side of the same problem is handled by the concealed-payload detector, which contributes +60 to the obfuscation axis and, more importantly, arms the visibility floor described in Section V-D.</w:t>
      </w:r>
    </w:p>
    <w:p>
      <w:pPr>
        <w:spacing w:after="120" w:before="240"/>
        <w:jc w:val="center"/>
      </w:pPr>
      <w:r>
        <w:rPr>
          <w:rFonts w:ascii="Times New Roman" w:cs="Times New Roman" w:eastAsia="Times New Roman" w:hAnsi="Times New Roman"/>
          <w:caps/>
          <w:sz w:val="20"/>
          <w:szCs w:val="20"/>
        </w:rPr>
        <w:t xml:space="preserve">V.  DETERMINISTIC RISK FORMULATION</w:t>
      </w:r>
    </w:p>
    <w:p>
      <w:pPr>
        <w:spacing w:after="80" w:before="160"/>
      </w:pPr>
      <w:r>
        <w:rPr>
          <w:rFonts w:ascii="Times New Roman" w:cs="Times New Roman" w:eastAsia="Times New Roman" w:hAnsi="Times New Roman"/>
          <w:i/>
          <w:iCs/>
          <w:sz w:val="20"/>
          <w:szCs w:val="20"/>
        </w:rPr>
        <w:t xml:space="preserve">A. Static Threat and Environmental Index</w:t>
      </w:r>
    </w:p>
    <w:p>
      <w:pPr>
        <w:spacing w:after="60" w:line="240"/>
        <w:jc w:val="both"/>
      </w:pPr>
      <w:r>
        <w:rPr>
          <w:rFonts w:ascii="Times New Roman" w:cs="Times New Roman" w:eastAsia="Times New Roman" w:hAnsi="Times New Roman"/>
          <w:sz w:val="20"/>
          <w:szCs w:val="20"/>
        </w:rPr>
        <w:t xml:space="preserve">STEI aggregates five static axes, each normalised to [0,100]:</w:t>
      </w:r>
    </w:p>
    <w:p>
      <w:pPr>
        <w:spacing w:after="100" w:before="100"/>
        <w:jc w:val="center"/>
      </w:pPr>
      <w:r>
        <w:rPr>
          <w:rFonts w:ascii="Times New Roman" w:cs="Times New Roman" w:eastAsia="Times New Roman" w:hAnsi="Times New Roman"/>
          <w:i w:val="false"/>
          <w:iCs w:val="false"/>
          <w:sz w:val="20"/>
          <w:szCs w:val="20"/>
        </w:rPr>
        <w:t xml:space="preserve">STEI = 0.60·C + 0.20·B + 0.10·P + 0.05·O + 0.05·I</w:t>
      </w:r>
      <w:r>
        <w:ptab w:alignment="right" w:relativeTo="margin" w:leader="none"/>
      </w:r>
      <w:r>
        <w:rPr>
          <w:rFonts w:ascii="Times New Roman" w:cs="Times New Roman" w:eastAsia="Times New Roman" w:hAnsi="Times New Roman"/>
          <w:sz w:val="20"/>
          <w:szCs w:val="20"/>
        </w:rPr>
        <w:t xml:space="preserve">(8)</w:t>
      </w:r>
    </w:p>
    <w:p>
      <w:pPr>
        <w:spacing w:after="100" w:line="240"/>
        <w:ind w:firstLine="288"/>
        <w:jc w:val="both"/>
      </w:pPr>
      <w:r>
        <w:rPr>
          <w:rFonts w:ascii="Times New Roman" w:cs="Times New Roman" w:eastAsia="Times New Roman" w:hAnsi="Times New Roman"/>
          <w:sz w:val="20"/>
          <w:szCs w:val="20"/>
        </w:rPr>
        <w:t xml:space="preserve">where C is credential theft, B banking targeting, P permission risk, O obfuscation, and I infrastructure risk.</w:t>
      </w:r>
    </w:p>
    <w:p>
      <w:pPr>
        <w:spacing w:after="100" w:line="240"/>
        <w:ind w:firstLine="288"/>
        <w:jc w:val="both"/>
      </w:pPr>
      <w:r>
        <w:rPr>
          <w:rFonts w:ascii="Times New Roman" w:cs="Times New Roman" w:eastAsia="Times New Roman" w:hAnsi="Times New Roman"/>
          <w:sz w:val="20"/>
          <w:szCs w:val="20"/>
        </w:rPr>
        <w:t xml:space="preserve">The 0.60 mass on C is the central modelling assertion: for banking fraud specifically, the three credential-harvesting vectors are not merely the most common indicators, they are the mechanism by which money actually moves. C decomposes as </w:t>
      </w:r>
      <w:r>
        <w:rPr>
          <w:rFonts w:ascii="Courier New" w:cs="Courier New" w:eastAsia="Courier New" w:hAnsi="Courier New"/>
          <w:sz w:val="18"/>
          <w:szCs w:val="18"/>
        </w:rPr>
        <w:t xml:space="preserve">BIND_ACCESSIBILITY_SERVICE</w:t>
      </w:r>
      <w:r>
        <w:rPr>
          <w:rFonts w:ascii="Times New Roman" w:cs="Times New Roman" w:eastAsia="Times New Roman" w:hAnsi="Times New Roman"/>
          <w:sz w:val="20"/>
          <w:szCs w:val="20"/>
        </w:rPr>
        <w:t xml:space="preserve"> +40 (screen scraping and tap injection), SMS read/receive +35 (OTP interception), and </w:t>
      </w:r>
      <w:r>
        <w:rPr>
          <w:rFonts w:ascii="Courier New" w:cs="Courier New" w:eastAsia="Courier New" w:hAnsi="Courier New"/>
          <w:sz w:val="18"/>
          <w:szCs w:val="18"/>
        </w:rPr>
        <w:t xml:space="preserve">SYSTEM_ALERT_WINDOW</w:t>
      </w:r>
      <w:r>
        <w:rPr>
          <w:rFonts w:ascii="Times New Roman" w:cs="Times New Roman" w:eastAsia="Times New Roman" w:hAnsi="Times New Roman"/>
          <w:sz w:val="20"/>
          <w:szCs w:val="20"/>
        </w:rPr>
        <w:t xml:space="preserve"> +25 (phishing overlay) — the ordering reflects that accessibility subsumes the other two capabilities in practice, since a service that can read the screen and inject taps does not strictly need either of the others.</w:t>
      </w:r>
    </w:p>
    <w:p>
      <w:pPr>
        <w:spacing w:after="100" w:line="240"/>
        <w:ind w:firstLine="288"/>
        <w:jc w:val="both"/>
      </w:pPr>
      <w:r>
        <w:rPr>
          <w:rFonts w:ascii="Times New Roman" w:cs="Times New Roman" w:eastAsia="Times New Roman" w:hAnsi="Times New Roman"/>
          <w:sz w:val="20"/>
          <w:szCs w:val="20"/>
        </w:rPr>
        <w:t xml:space="preserve">B is driven by matched Indian banking package names (20 base, +10 per package) and is additionally satisfied by a VIDE visual finding at min(35 + 40·C</w:t>
      </w:r>
      <w:r>
        <w:rPr>
          <w:rFonts w:ascii="Times New Roman" w:cs="Times New Roman" w:eastAsia="Times New Roman" w:hAnsi="Times New Roman"/>
          <w:sz w:val="20"/>
          <w:szCs w:val="20"/>
          <w:vertAlign w:val="subscript"/>
        </w:rPr>
        <w:t xml:space="preserve">VIDE</w:t>
      </w:r>
      <w:r>
        <w:rPr>
          <w:rFonts w:ascii="Times New Roman" w:cs="Times New Roman" w:eastAsia="Times New Roman" w:hAnsi="Times New Roman"/>
          <w:sz w:val="20"/>
          <w:szCs w:val="20"/>
        </w:rPr>
        <w:t xml:space="preserve">, 85) — so an application that clones a bank’s interface scores as targeting that bank even when it references no banking package name at all, which is the dropper case.</w:t>
      </w:r>
    </w:p>
    <w:p>
      <w:pPr>
        <w:spacing w:after="100" w:line="240"/>
        <w:ind w:firstLine="288"/>
        <w:jc w:val="both"/>
      </w:pPr>
      <w:r>
        <w:rPr>
          <w:rFonts w:ascii="Times New Roman" w:cs="Times New Roman" w:eastAsia="Times New Roman" w:hAnsi="Times New Roman"/>
          <w:sz w:val="20"/>
          <w:szCs w:val="20"/>
        </w:rPr>
        <w:t xml:space="preserve">O is where the model deviates most from a naive capability count, and deliberately. A concealed executable payload contributes +60, dominating the axis, because it defeats static analysis outright: the manifest describes a stub, not the code that will run. The code comment records the empirical basis — Anubis, Hook and Drinik declared 4, 1 and 16 permissions respectively and scored below a file manager before this term existed.</w:t>
      </w:r>
    </w:p>
    <w:p>
      <w:pPr>
        <w:spacing w:after="80" w:before="160"/>
      </w:pPr>
      <w:r>
        <w:rPr>
          <w:rFonts w:ascii="Times New Roman" w:cs="Times New Roman" w:eastAsia="Times New Roman" w:hAnsi="Times New Roman"/>
          <w:i/>
          <w:iCs/>
          <w:sz w:val="20"/>
          <w:szCs w:val="20"/>
        </w:rPr>
        <w:t xml:space="preserve">B. Behavioural Fraud Confidence Index (v2)</w:t>
      </w:r>
    </w:p>
    <w:p>
      <w:pPr>
        <w:spacing w:after="60" w:line="240"/>
        <w:jc w:val="both"/>
      </w:pPr>
      <w:r>
        <w:rPr>
          <w:rFonts w:ascii="Times New Roman" w:cs="Times New Roman" w:eastAsia="Times New Roman" w:hAnsi="Times New Roman"/>
          <w:sz w:val="20"/>
          <w:szCs w:val="20"/>
        </w:rPr>
        <w:t xml:space="preserve">BFCI scores observed runtime behaviour over six weighted categories (</w:t>
      </w:r>
      <w:r>
        <w:rPr>
          <w:rFonts w:ascii="Courier New" w:cs="Courier New" w:eastAsia="Courier New" w:hAnsi="Courier New"/>
          <w:sz w:val="18"/>
          <w:szCs w:val="18"/>
        </w:rPr>
        <w:t xml:space="preserve">engines/bfci_scorer.py</w:t>
      </w:r>
      <w:r>
        <w:rPr>
          <w:rFonts w:ascii="Times New Roman" w:cs="Times New Roman" w:eastAsia="Times New Roman" w:hAnsi="Times New Roman"/>
          <w:sz w:val="20"/>
          <w:szCs w:val="20"/>
        </w:rPr>
        <w:t xml:space="preserve">):</w:t>
      </w:r>
    </w:p>
    <w:p>
      <w:pPr>
        <w:spacing w:after="100" w:before="100"/>
        <w:jc w:val="center"/>
      </w:pPr>
      <w:r>
        <w:rPr>
          <w:rFonts w:ascii="Times New Roman" w:cs="Times New Roman" w:eastAsia="Times New Roman" w:hAnsi="Times New Roman"/>
          <w:i w:val="false"/>
          <w:iCs w:val="false"/>
          <w:sz w:val="20"/>
          <w:szCs w:val="20"/>
        </w:rPr>
        <w:t xml:space="preserve">BFCI</w:t>
      </w:r>
      <w:r>
        <w:rPr>
          <w:rFonts w:ascii="Times New Roman" w:cs="Times New Roman" w:eastAsia="Times New Roman" w:hAnsi="Times New Roman"/>
          <w:i w:val="false"/>
          <w:iCs w:val="false"/>
          <w:sz w:val="20"/>
          <w:szCs w:val="20"/>
          <w:vertAlign w:val="subscript"/>
        </w:rPr>
        <w:t xml:space="preserve">raw</w:t>
      </w:r>
      <w:r>
        <w:rPr>
          <w:rFonts w:ascii="Times New Roman" w:cs="Times New Roman" w:eastAsia="Times New Roman" w:hAnsi="Times New Roman"/>
          <w:i w:val="false"/>
          <w:iCs w:val="false"/>
          <w:sz w:val="20"/>
          <w:szCs w:val="20"/>
        </w:rPr>
        <w:t xml:space="preserve"> = 0.35·A + 0.25·S + 0.20·W + 0.10·B</w:t>
      </w:r>
      <w:r>
        <w:rPr>
          <w:rFonts w:ascii="Times New Roman" w:cs="Times New Roman" w:eastAsia="Times New Roman" w:hAnsi="Times New Roman"/>
          <w:i w:val="false"/>
          <w:iCs w:val="false"/>
          <w:sz w:val="20"/>
          <w:szCs w:val="20"/>
          <w:vertAlign w:val="subscript"/>
        </w:rPr>
        <w:t xml:space="preserve">dyn</w:t>
      </w:r>
      <w:r>
        <w:rPr>
          <w:rFonts w:ascii="Times New Roman" w:cs="Times New Roman" w:eastAsia="Times New Roman" w:hAnsi="Times New Roman"/>
          <w:i w:val="false"/>
          <w:iCs w:val="false"/>
          <w:sz w:val="20"/>
          <w:szCs w:val="20"/>
        </w:rPr>
        <w:t xml:space="preserve"> + 0.05·N + 0.05·R</w:t>
      </w:r>
      <w:r>
        <w:ptab w:alignment="right" w:relativeTo="margin" w:leader="none"/>
      </w:r>
      <w:r>
        <w:rPr>
          <w:rFonts w:ascii="Times New Roman" w:cs="Times New Roman" w:eastAsia="Times New Roman" w:hAnsi="Times New Roman"/>
          <w:sz w:val="20"/>
          <w:szCs w:val="20"/>
        </w:rPr>
        <w:t xml:space="preserve">(9)</w:t>
      </w:r>
    </w:p>
    <w:p>
      <w:pPr>
        <w:spacing w:after="100" w:line="240"/>
        <w:ind w:firstLine="288"/>
        <w:jc w:val="both"/>
      </w:pPr>
      <w:r>
        <w:rPr>
          <w:rFonts w:ascii="Times New Roman" w:cs="Times New Roman" w:eastAsia="Times New Roman" w:hAnsi="Times New Roman"/>
          <w:sz w:val="20"/>
          <w:szCs w:val="20"/>
        </w:rPr>
        <w:t xml:space="preserve">with A accessibility, S SMS/OTP, W overlay window, B</w:t>
      </w:r>
      <w:r>
        <w:rPr>
          <w:rFonts w:ascii="Times New Roman" w:cs="Times New Roman" w:eastAsia="Times New Roman" w:hAnsi="Times New Roman"/>
          <w:sz w:val="20"/>
          <w:szCs w:val="20"/>
          <w:vertAlign w:val="subscript"/>
        </w:rPr>
        <w:t xml:space="preserve">dyn</w:t>
      </w:r>
      <w:r>
        <w:rPr>
          <w:rFonts w:ascii="Times New Roman" w:cs="Times New Roman" w:eastAsia="Times New Roman" w:hAnsi="Times New Roman"/>
          <w:sz w:val="20"/>
          <w:szCs w:val="20"/>
        </w:rPr>
        <w:t xml:space="preserve"> banking-app targeting, N C2 network, and R persistence.</w:t>
      </w:r>
    </w:p>
    <w:p>
      <w:pPr>
        <w:spacing w:after="60" w:line="240"/>
        <w:ind w:firstLine="288"/>
        <w:jc w:val="both"/>
      </w:pPr>
      <w:r>
        <w:rPr>
          <w:rFonts w:ascii="Times New Roman" w:cs="Times New Roman" w:eastAsia="Times New Roman" w:hAnsi="Times New Roman"/>
          <w:sz w:val="20"/>
          <w:szCs w:val="20"/>
        </w:rPr>
        <w:t xml:space="preserve">Version 2 replaced a distinct-hook-name count with a three-tier model, because v1 scored three unrelated accessibility events identically to a real OTP-theft chain. Each component is now volume-aware on a logarithmic scale:</w:t>
      </w:r>
    </w:p>
    <w:p>
      <w:pPr>
        <w:spacing w:after="100" w:before="100"/>
        <w:jc w:val="center"/>
      </w:pPr>
      <w:r>
        <w:rPr>
          <w:rFonts w:ascii="Times New Roman" w:cs="Times New Roman" w:eastAsia="Times New Roman" w:hAnsi="Times New Roman"/>
          <w:i w:val="false"/>
          <w:iCs w:val="false"/>
          <w:sz w:val="20"/>
          <w:szCs w:val="20"/>
        </w:rPr>
        <w:t xml:space="preserve">X</w:t>
      </w:r>
      <w:r>
        <w:rPr>
          <w:rFonts w:ascii="Times New Roman" w:cs="Times New Roman" w:eastAsia="Times New Roman" w:hAnsi="Times New Roman"/>
          <w:i w:val="false"/>
          <w:iCs w:val="false"/>
          <w:sz w:val="20"/>
          <w:szCs w:val="20"/>
          <w:vertAlign w:val="subscript"/>
        </w:rPr>
        <w:t xml:space="preserve">cat</w:t>
      </w:r>
      <w:r>
        <w:rPr>
          <w:rFonts w:ascii="Times New Roman" w:cs="Times New Roman" w:eastAsia="Times New Roman" w:hAnsi="Times New Roman"/>
          <w:i w:val="false"/>
          <w:iCs w:val="false"/>
          <w:sz w:val="20"/>
          <w:szCs w:val="20"/>
        </w:rPr>
        <w:t xml:space="preserve"> = 100 · min( ln(n+1) / ln(κ</w:t>
      </w:r>
      <w:r>
        <w:rPr>
          <w:rFonts w:ascii="Times New Roman" w:cs="Times New Roman" w:eastAsia="Times New Roman" w:hAnsi="Times New Roman"/>
          <w:i w:val="false"/>
          <w:iCs w:val="false"/>
          <w:sz w:val="20"/>
          <w:szCs w:val="20"/>
          <w:vertAlign w:val="subscript"/>
        </w:rPr>
        <w:t xml:space="preserve">cat</w:t>
      </w:r>
      <w:r>
        <w:rPr>
          <w:rFonts w:ascii="Times New Roman" w:cs="Times New Roman" w:eastAsia="Times New Roman" w:hAnsi="Times New Roman"/>
          <w:i w:val="false"/>
          <w:iCs w:val="false"/>
          <w:sz w:val="20"/>
          <w:szCs w:val="20"/>
        </w:rPr>
        <w:t xml:space="preserve">+1), 1 )</w:t>
      </w:r>
      <w:r>
        <w:ptab w:alignment="right" w:relativeTo="margin" w:leader="none"/>
      </w:r>
      <w:r>
        <w:rPr>
          <w:rFonts w:ascii="Times New Roman" w:cs="Times New Roman" w:eastAsia="Times New Roman" w:hAnsi="Times New Roman"/>
          <w:sz w:val="20"/>
          <w:szCs w:val="20"/>
        </w:rPr>
        <w:t xml:space="preserve">(10)</w:t>
      </w:r>
    </w:p>
    <w:p>
      <w:pPr>
        <w:spacing w:after="100" w:line="240"/>
        <w:ind w:firstLine="288"/>
        <w:jc w:val="both"/>
      </w:pPr>
      <w:r>
        <w:rPr>
          <w:rFonts w:ascii="Times New Roman" w:cs="Times New Roman" w:eastAsia="Times New Roman" w:hAnsi="Times New Roman"/>
          <w:sz w:val="20"/>
          <w:szCs w:val="20"/>
        </w:rPr>
        <w:t xml:space="preserve">where n is the event count and κ the per-category cap (κ</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3, κ</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2, κ</w:t>
      </w:r>
      <w:r>
        <w:rPr>
          <w:rFonts w:ascii="Times New Roman" w:cs="Times New Roman" w:eastAsia="Times New Roman" w:hAnsi="Times New Roman"/>
          <w:sz w:val="20"/>
          <w:szCs w:val="20"/>
          <w:vertAlign w:val="subscript"/>
        </w:rPr>
        <w:t xml:space="preserve">W</w:t>
      </w:r>
      <w:r>
        <w:rPr>
          <w:rFonts w:ascii="Times New Roman" w:cs="Times New Roman" w:eastAsia="Times New Roman" w:hAnsi="Times New Roman"/>
          <w:sz w:val="20"/>
          <w:szCs w:val="20"/>
        </w:rPr>
        <w:t xml:space="preserve"> = 2, κ</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 = 3, κ</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10, κ</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 2). The logarithm is chosen so a single event scores near 50 — sensitive enough that first activity registers — while repeated activity still separates from it, which a linear scale at these small caps cannot do.</w:t>
      </w:r>
    </w:p>
    <w:p>
      <w:pPr>
        <w:spacing w:after="60" w:line="240"/>
        <w:ind w:firstLine="288"/>
        <w:jc w:val="both"/>
      </w:pPr>
      <w:r>
        <w:rPr>
          <w:rFonts w:ascii="Times New Roman" w:cs="Times New Roman" w:eastAsia="Times New Roman" w:hAnsi="Times New Roman"/>
          <w:sz w:val="20"/>
          <w:szCs w:val="20"/>
        </w:rPr>
        <w:t xml:space="preserve">A temporal bonus is applied when events from a fraud-relevant set of categories co-occur within a 30-second window:</w:t>
      </w:r>
    </w:p>
    <w:p>
      <w:pPr>
        <w:spacing w:after="100" w:before="100"/>
        <w:jc w:val="center"/>
      </w:pPr>
      <w:r>
        <w:rPr>
          <w:rFonts w:ascii="Times New Roman" w:cs="Times New Roman" w:eastAsia="Times New Roman" w:hAnsi="Times New Roman"/>
          <w:i w:val="false"/>
          <w:iCs w:val="false"/>
          <w:sz w:val="20"/>
          <w:szCs w:val="20"/>
        </w:rPr>
        <w:t xml:space="preserve">BFCI = min( BFCI</w:t>
      </w:r>
      <w:r>
        <w:rPr>
          <w:rFonts w:ascii="Times New Roman" w:cs="Times New Roman" w:eastAsia="Times New Roman" w:hAnsi="Times New Roman"/>
          <w:i w:val="false"/>
          <w:iCs w:val="false"/>
          <w:sz w:val="20"/>
          <w:szCs w:val="20"/>
          <w:vertAlign w:val="subscript"/>
        </w:rPr>
        <w:t xml:space="preserve">raw</w:t>
      </w:r>
      <w:r>
        <w:rPr>
          <w:rFonts w:ascii="Times New Roman" w:cs="Times New Roman" w:eastAsia="Times New Roman" w:hAnsi="Times New Roman"/>
          <w:i w:val="false"/>
          <w:iCs w:val="false"/>
          <w:sz w:val="20"/>
          <w:szCs w:val="20"/>
        </w:rPr>
        <w:t xml:space="preserve"> · μ, 100 ),  μ = 1.25 if a chain fires</w:t>
      </w:r>
      <w:r>
        <w:ptab w:alignment="right" w:relativeTo="margin" w:leader="none"/>
      </w:r>
      <w:r>
        <w:rPr>
          <w:rFonts w:ascii="Times New Roman" w:cs="Times New Roman" w:eastAsia="Times New Roman" w:hAnsi="Times New Roman"/>
          <w:sz w:val="20"/>
          <w:szCs w:val="20"/>
        </w:rPr>
        <w:t xml:space="preserve">(11)</w:t>
      </w:r>
    </w:p>
    <w:p>
      <w:pPr>
        <w:spacing w:after="100" w:line="240"/>
        <w:ind w:firstLine="288"/>
        <w:jc w:val="both"/>
      </w:pPr>
      <w:r>
        <w:rPr>
          <w:rFonts w:ascii="Times New Roman" w:cs="Times New Roman" w:eastAsia="Times New Roman" w:hAnsi="Times New Roman"/>
          <w:sz w:val="20"/>
          <w:szCs w:val="20"/>
        </w:rPr>
        <w:t xml:space="preserve">Four chains are defined: </w:t>
      </w:r>
      <w:r>
        <w:rPr>
          <w:rFonts w:ascii="Courier New" w:cs="Courier New" w:eastAsia="Courier New" w:hAnsi="Courier New"/>
          <w:sz w:val="18"/>
          <w:szCs w:val="18"/>
        </w:rPr>
        <w:t xml:space="preserve">OTP_THEFT_CHAIN</w:t>
      </w:r>
      <w:r>
        <w:rPr>
          <w:rFonts w:ascii="Times New Roman" w:cs="Times New Roman" w:eastAsia="Times New Roman" w:hAnsi="Times New Roman"/>
          <w:sz w:val="20"/>
          <w:szCs w:val="20"/>
        </w:rPr>
        <w:t xml:space="preserve"> (A ∧ S ∧ N), </w:t>
      </w:r>
      <w:r>
        <w:rPr>
          <w:rFonts w:ascii="Courier New" w:cs="Courier New" w:eastAsia="Courier New" w:hAnsi="Courier New"/>
          <w:sz w:val="18"/>
          <w:szCs w:val="18"/>
        </w:rPr>
        <w:t xml:space="preserve">OVERLAY_BANKING_CHAIN</w:t>
      </w:r>
      <w:r>
        <w:rPr>
          <w:rFonts w:ascii="Times New Roman" w:cs="Times New Roman" w:eastAsia="Times New Roman" w:hAnsi="Times New Roman"/>
          <w:sz w:val="20"/>
          <w:szCs w:val="20"/>
        </w:rPr>
        <w:t xml:space="preserve"> (W ∧ B), </w:t>
      </w:r>
      <w:r>
        <w:rPr>
          <w:rFonts w:ascii="Courier New" w:cs="Courier New" w:eastAsia="Courier New" w:hAnsi="Courier New"/>
          <w:sz w:val="18"/>
          <w:szCs w:val="18"/>
        </w:rPr>
        <w:t xml:space="preserve">ACCOUNT_TAKEOVER_CHAIN</w:t>
      </w:r>
      <w:r>
        <w:rPr>
          <w:rFonts w:ascii="Times New Roman" w:cs="Times New Roman" w:eastAsia="Times New Roman" w:hAnsi="Times New Roman"/>
          <w:sz w:val="20"/>
          <w:szCs w:val="20"/>
        </w:rPr>
        <w:t xml:space="preserve"> (A ∧ W ∧ S), and </w:t>
      </w:r>
      <w:r>
        <w:rPr>
          <w:rFonts w:ascii="Courier New" w:cs="Courier New" w:eastAsia="Courier New" w:hAnsi="Courier New"/>
          <w:sz w:val="18"/>
          <w:szCs w:val="18"/>
        </w:rPr>
        <w:t xml:space="preserve">DROPPER_CHAIN</w:t>
      </w:r>
      <w:r>
        <w:rPr>
          <w:rFonts w:ascii="Times New Roman" w:cs="Times New Roman" w:eastAsia="Times New Roman" w:hAnsi="Times New Roman"/>
          <w:sz w:val="20"/>
          <w:szCs w:val="20"/>
        </w:rPr>
        <w:t xml:space="preserve"> (R ∧ N). Ordering in time is what distinguishes a fraud sequence from coincident API use.</w:t>
      </w:r>
    </w:p>
    <w:p>
      <w:pPr>
        <w:spacing w:after="100" w:line="240"/>
        <w:ind w:firstLine="288"/>
        <w:jc w:val="both"/>
      </w:pPr>
      <w:r>
        <w:rPr>
          <w:rFonts w:ascii="Times New Roman" w:cs="Times New Roman" w:eastAsia="Times New Roman" w:hAnsi="Times New Roman"/>
          <w:sz w:val="20"/>
          <w:szCs w:val="20"/>
        </w:rPr>
        <w:t xml:space="preserve">Six categories are collected as evidence but never scored: </w:t>
      </w:r>
      <w:r>
        <w:rPr>
          <w:rFonts w:ascii="Courier New" w:cs="Courier New" w:eastAsia="Courier New" w:hAnsi="Courier New"/>
          <w:sz w:val="18"/>
          <w:szCs w:val="18"/>
        </w:rPr>
        <w:t xml:space="preserve">dangerous_apis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files_accessed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anti_analysis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device_fingerprint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app_telemetry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notification</w:t>
      </w:r>
      <w:r>
        <w:rPr>
          <w:rFonts w:ascii="Times New Roman" w:cs="Times New Roman" w:eastAsia="Times New Roman" w:hAnsi="Times New Roman"/>
          <w:sz w:val="20"/>
          <w:szCs w:val="20"/>
        </w:rPr>
        <w:t xml:space="preserve">. The rationale is quantitative: given the caps above, a </w:t>
      </w:r>
      <w:r>
        <w:rPr>
          <w:rFonts w:ascii="Times New Roman" w:cs="Times New Roman" w:eastAsia="Times New Roman" w:hAnsi="Times New Roman"/>
          <w:i/>
          <w:iCs/>
          <w:sz w:val="20"/>
          <w:szCs w:val="20"/>
        </w:rPr>
        <w:t xml:space="preserve">single</w:t>
      </w:r>
      <w:r>
        <w:rPr>
          <w:rFonts w:ascii="Times New Roman" w:cs="Times New Roman" w:eastAsia="Times New Roman" w:hAnsi="Times New Roman"/>
          <w:sz w:val="20"/>
          <w:szCs w:val="20"/>
        </w:rPr>
        <w:t xml:space="preserve"> event scores 50–63 for its component, so a scored category that also matches ordinary application behaviour is not a weak signal — it is a constant, and it inflates every verdict equally. The module asserts at import that the scored and unscored sets are disjoint.</w:t>
      </w:r>
    </w:p>
    <w:p>
      <w:pPr>
        <w:spacing w:after="80" w:before="160"/>
      </w:pPr>
      <w:r>
        <w:rPr>
          <w:rFonts w:ascii="Times New Roman" w:cs="Times New Roman" w:eastAsia="Times New Roman" w:hAnsi="Times New Roman"/>
          <w:i/>
          <w:iCs/>
          <w:sz w:val="20"/>
          <w:szCs w:val="20"/>
        </w:rPr>
        <w:t xml:space="preserve">C. Fraud Risk Score and axis renormalisation</w:t>
      </w:r>
    </w:p>
    <w:p>
      <w:pPr>
        <w:spacing w:after="60" w:line="240"/>
        <w:jc w:val="both"/>
      </w:pPr>
      <w:r>
        <w:rPr>
          <w:rFonts w:ascii="Times New Roman" w:cs="Times New Roman" w:eastAsia="Times New Roman" w:hAnsi="Times New Roman"/>
          <w:sz w:val="20"/>
          <w:szCs w:val="20"/>
        </w:rPr>
        <w:t xml:space="preserve">The implemented top-level score (</w:t>
      </w:r>
      <w:r>
        <w:rPr>
          <w:rFonts w:ascii="Courier New" w:cs="Courier New" w:eastAsia="Courier New" w:hAnsi="Courier New"/>
          <w:sz w:val="18"/>
          <w:szCs w:val="18"/>
        </w:rPr>
        <w:t xml:space="preserve">engines/risk_engine.py</w:t>
      </w:r>
      <w:r>
        <w:rPr>
          <w:rFonts w:ascii="Times New Roman" w:cs="Times New Roman" w:eastAsia="Times New Roman" w:hAnsi="Times New Roman"/>
          <w:sz w:val="20"/>
          <w:szCs w:val="20"/>
        </w:rPr>
        <w:t xml:space="preserve">) is a four-axis weighted mean over the axes that carry data:</w:t>
      </w:r>
    </w:p>
    <w:p>
      <w:pPr>
        <w:spacing w:after="100" w:before="100"/>
        <w:jc w:val="center"/>
      </w:pPr>
      <w:r>
        <w:rPr>
          <w:rFonts w:ascii="Times New Roman" w:cs="Times New Roman" w:eastAsia="Times New Roman" w:hAnsi="Times New Roman"/>
          <w:i w:val="false"/>
          <w:iCs w:val="false"/>
          <w:sz w:val="20"/>
          <w:szCs w:val="20"/>
        </w:rPr>
        <w:t xml:space="preserve">FRS = M</w:t>
      </w:r>
      <w:r>
        <w:rPr>
          <w:rFonts w:ascii="Times New Roman" w:cs="Times New Roman" w:eastAsia="Times New Roman" w:hAnsi="Times New Roman"/>
          <w:i w:val="false"/>
          <w:iCs w:val="false"/>
          <w:sz w:val="20"/>
          <w:szCs w:val="20"/>
          <w:vertAlign w:val="subscript"/>
        </w:rPr>
        <w:t xml:space="preserve">AI</w:t>
      </w:r>
      <w:r>
        <w:rPr>
          <w:rFonts w:ascii="Times New Roman" w:cs="Times New Roman" w:eastAsia="Times New Roman" w:hAnsi="Times New Roman"/>
          <w:i w:val="false"/>
          <w:iCs w:val="false"/>
          <w:sz w:val="20"/>
          <w:szCs w:val="20"/>
        </w:rPr>
        <w:t xml:space="preserve"> · [ Σ</w:t>
      </w:r>
      <w:r>
        <w:rPr>
          <w:rFonts w:ascii="Times New Roman" w:cs="Times New Roman" w:eastAsia="Times New Roman" w:hAnsi="Times New Roman"/>
          <w:i w:val="false"/>
          <w:iCs w:val="false"/>
          <w:sz w:val="20"/>
          <w:szCs w:val="20"/>
          <w:vertAlign w:val="subscript"/>
        </w:rPr>
        <w:t xml:space="preserve">k∈L</w:t>
      </w:r>
      <w:r>
        <w:rPr>
          <w:rFonts w:ascii="Times New Roman" w:cs="Times New Roman" w:eastAsia="Times New Roman" w:hAnsi="Times New Roman"/>
          <w:i w:val="false"/>
          <w:iCs w:val="false"/>
          <w:sz w:val="20"/>
          <w:szCs w:val="20"/>
        </w:rPr>
        <w:t xml:space="preserve"> w</w:t>
      </w:r>
      <w:r>
        <w:rPr>
          <w:rFonts w:ascii="Times New Roman" w:cs="Times New Roman" w:eastAsia="Times New Roman" w:hAnsi="Times New Roman"/>
          <w:i w:val="false"/>
          <w:iCs w:val="false"/>
          <w:sz w:val="20"/>
          <w:szCs w:val="20"/>
          <w:vertAlign w:val="subscript"/>
        </w:rPr>
        <w:t xml:space="preserve">k</w:t>
      </w:r>
      <w:r>
        <w:rPr>
          <w:rFonts w:ascii="Times New Roman" w:cs="Times New Roman" w:eastAsia="Times New Roman" w:hAnsi="Times New Roman"/>
          <w:i w:val="false"/>
          <w:iCs w:val="false"/>
          <w:sz w:val="20"/>
          <w:szCs w:val="20"/>
        </w:rPr>
        <w:t xml:space="preserve">v</w:t>
      </w:r>
      <w:r>
        <w:rPr>
          <w:rFonts w:ascii="Times New Roman" w:cs="Times New Roman" w:eastAsia="Times New Roman" w:hAnsi="Times New Roman"/>
          <w:i w:val="false"/>
          <w:iCs w:val="false"/>
          <w:sz w:val="20"/>
          <w:szCs w:val="20"/>
          <w:vertAlign w:val="subscript"/>
        </w:rPr>
        <w:t xml:space="preserve">k</w:t>
      </w:r>
      <w:r>
        <w:rPr>
          <w:rFonts w:ascii="Times New Roman" w:cs="Times New Roman" w:eastAsia="Times New Roman" w:hAnsi="Times New Roman"/>
          <w:i w:val="false"/>
          <w:iCs w:val="false"/>
          <w:sz w:val="20"/>
          <w:szCs w:val="20"/>
        </w:rPr>
        <w:t xml:space="preserve"> ] / [ Σ</w:t>
      </w:r>
      <w:r>
        <w:rPr>
          <w:rFonts w:ascii="Times New Roman" w:cs="Times New Roman" w:eastAsia="Times New Roman" w:hAnsi="Times New Roman"/>
          <w:i w:val="false"/>
          <w:iCs w:val="false"/>
          <w:sz w:val="20"/>
          <w:szCs w:val="20"/>
          <w:vertAlign w:val="subscript"/>
        </w:rPr>
        <w:t xml:space="preserve">k∈L</w:t>
      </w:r>
      <w:r>
        <w:rPr>
          <w:rFonts w:ascii="Times New Roman" w:cs="Times New Roman" w:eastAsia="Times New Roman" w:hAnsi="Times New Roman"/>
          <w:i w:val="false"/>
          <w:iCs w:val="false"/>
          <w:sz w:val="20"/>
          <w:szCs w:val="20"/>
        </w:rPr>
        <w:t xml:space="preserve"> w</w:t>
      </w:r>
      <w:r>
        <w:rPr>
          <w:rFonts w:ascii="Times New Roman" w:cs="Times New Roman" w:eastAsia="Times New Roman" w:hAnsi="Times New Roman"/>
          <w:i w:val="false"/>
          <w:iCs w:val="false"/>
          <w:sz w:val="20"/>
          <w:szCs w:val="20"/>
          <w:vertAlign w:val="subscript"/>
        </w:rPr>
        <w:t xml:space="preserve">k</w:t>
      </w:r>
      <w:r>
        <w:rPr>
          <w:rFonts w:ascii="Times New Roman" w:cs="Times New Roman" w:eastAsia="Times New Roman" w:hAnsi="Times New Roman"/>
          <w:i w:val="false"/>
          <w:iCs w:val="false"/>
          <w:sz w:val="20"/>
          <w:szCs w:val="20"/>
        </w:rPr>
        <w:t xml:space="preserve"> ]</w:t>
      </w:r>
      <w:r>
        <w:ptab w:alignment="right" w:relativeTo="margin" w:leader="none"/>
      </w:r>
      <w:r>
        <w:rPr>
          <w:rFonts w:ascii="Times New Roman" w:cs="Times New Roman" w:eastAsia="Times New Roman" w:hAnsi="Times New Roman"/>
          <w:sz w:val="20"/>
          <w:szCs w:val="20"/>
        </w:rPr>
        <w:t xml:space="preserve">(12)</w:t>
      </w:r>
    </w:p>
    <w:p>
      <w:pPr>
        <w:spacing w:after="100" w:line="240"/>
        <w:ind w:firstLine="288"/>
        <w:jc w:val="both"/>
      </w:pPr>
      <w:r>
        <w:rPr>
          <w:rFonts w:ascii="Times New Roman" w:cs="Times New Roman" w:eastAsia="Times New Roman" w:hAnsi="Times New Roman"/>
          <w:sz w:val="20"/>
          <w:szCs w:val="20"/>
        </w:rPr>
        <w:t xml:space="preserve">with nominal weights w</w:t>
      </w:r>
      <w:r>
        <w:rPr>
          <w:rFonts w:ascii="Times New Roman" w:cs="Times New Roman" w:eastAsia="Times New Roman" w:hAnsi="Times New Roman"/>
          <w:sz w:val="20"/>
          <w:szCs w:val="20"/>
          <w:vertAlign w:val="subscript"/>
        </w:rPr>
        <w:t xml:space="preserve">STEI</w:t>
      </w:r>
      <w:r>
        <w:rPr>
          <w:rFonts w:ascii="Times New Roman" w:cs="Times New Roman" w:eastAsia="Times New Roman" w:hAnsi="Times New Roman"/>
          <w:sz w:val="20"/>
          <w:szCs w:val="20"/>
        </w:rPr>
        <w:t xml:space="preserve"> = 0.25, w</w:t>
      </w:r>
      <w:r>
        <w:rPr>
          <w:rFonts w:ascii="Times New Roman" w:cs="Times New Roman" w:eastAsia="Times New Roman" w:hAnsi="Times New Roman"/>
          <w:sz w:val="20"/>
          <w:szCs w:val="20"/>
          <w:vertAlign w:val="subscript"/>
        </w:rPr>
        <w:t xml:space="preserve">dyn</w:t>
      </w:r>
      <w:r>
        <w:rPr>
          <w:rFonts w:ascii="Times New Roman" w:cs="Times New Roman" w:eastAsia="Times New Roman" w:hAnsi="Times New Roman"/>
          <w:sz w:val="20"/>
          <w:szCs w:val="20"/>
        </w:rPr>
        <w:t xml:space="preserve"> = 0.35, w</w:t>
      </w:r>
      <w:r>
        <w:rPr>
          <w:rFonts w:ascii="Times New Roman" w:cs="Times New Roman" w:eastAsia="Times New Roman" w:hAnsi="Times New Roman"/>
          <w:sz w:val="20"/>
          <w:szCs w:val="20"/>
          <w:vertAlign w:val="subscript"/>
        </w:rPr>
        <w:t xml:space="preserve">corr</w:t>
      </w:r>
      <w:r>
        <w:rPr>
          <w:rFonts w:ascii="Times New Roman" w:cs="Times New Roman" w:eastAsia="Times New Roman" w:hAnsi="Times New Roman"/>
          <w:sz w:val="20"/>
          <w:szCs w:val="20"/>
        </w:rPr>
        <w:t xml:space="preserve"> = 0.20, w</w:t>
      </w:r>
      <w:r>
        <w:rPr>
          <w:rFonts w:ascii="Times New Roman" w:cs="Times New Roman" w:eastAsia="Times New Roman" w:hAnsi="Times New Roman"/>
          <w:sz w:val="20"/>
          <w:szCs w:val="20"/>
          <w:vertAlign w:val="subscript"/>
        </w:rPr>
        <w:t xml:space="preserve">bank</w:t>
      </w:r>
      <w:r>
        <w:rPr>
          <w:rFonts w:ascii="Times New Roman" w:cs="Times New Roman" w:eastAsia="Times New Roman" w:hAnsi="Times New Roman"/>
          <w:sz w:val="20"/>
          <w:szCs w:val="20"/>
        </w:rPr>
        <w:t xml:space="preserve"> = 0.20, and L the set of </w:t>
      </w:r>
      <w:r>
        <w:rPr>
          <w:rFonts w:ascii="Times New Roman" w:cs="Times New Roman" w:eastAsia="Times New Roman" w:hAnsi="Times New Roman"/>
          <w:i/>
          <w:iCs/>
          <w:sz w:val="20"/>
          <w:szCs w:val="20"/>
        </w:rPr>
        <w:t xml:space="preserve">live</w:t>
      </w:r>
      <w:r>
        <w:rPr>
          <w:rFonts w:ascii="Times New Roman" w:cs="Times New Roman" w:eastAsia="Times New Roman" w:hAnsi="Times New Roman"/>
          <w:sz w:val="20"/>
          <w:szCs w:val="20"/>
        </w:rPr>
        <w:t xml:space="preserve"> axes. M</w:t>
      </w:r>
      <w:r>
        <w:rPr>
          <w:rFonts w:ascii="Times New Roman" w:cs="Times New Roman" w:eastAsia="Times New Roman" w:hAnsi="Times New Roman"/>
          <w:sz w:val="20"/>
          <w:szCs w:val="20"/>
          <w:vertAlign w:val="subscript"/>
        </w:rPr>
        <w:t xml:space="preserve">AI</w:t>
      </w:r>
      <w:r>
        <w:rPr>
          <w:rFonts w:ascii="Times New Roman" w:cs="Times New Roman" w:eastAsia="Times New Roman" w:hAnsi="Times New Roman"/>
          <w:sz w:val="20"/>
          <w:szCs w:val="20"/>
        </w:rPr>
        <w:t xml:space="preserve"> is the classification confidence multiplier, clamped to [0.5, 1.5].</w:t>
      </w:r>
    </w:p>
    <w:p>
      <w:pPr>
        <w:spacing w:after="100" w:line="240"/>
        <w:ind w:firstLine="288"/>
        <w:jc w:val="both"/>
      </w:pPr>
      <w:r>
        <w:rPr>
          <w:rFonts w:ascii="Times New Roman" w:cs="Times New Roman" w:eastAsia="Times New Roman" w:hAnsi="Times New Roman"/>
          <w:sz w:val="20"/>
          <w:szCs w:val="20"/>
        </w:rPr>
        <w:t xml:space="preserve">Equation (12) is the Absence-of-Evidence guard, and the renormalising denominator is the whole of it. An axis with no data is removed from L rather than contributing w</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0. Two axes are gated.</w:t>
      </w:r>
    </w:p>
    <w:p>
      <w:pPr>
        <w:spacing w:after="100" w:line="240"/>
        <w:ind w:firstLine="288"/>
        <w:jc w:val="both"/>
      </w:pPr>
      <w:r>
        <w:rPr>
          <w:rFonts w:ascii="Times New Roman" w:cs="Times New Roman" w:eastAsia="Times New Roman" w:hAnsi="Times New Roman"/>
          <w:b/>
          <w:bCs/>
          <w:sz w:val="20"/>
          <w:szCs w:val="20"/>
        </w:rPr>
        <w:t xml:space="preserve">Correlation</w:t>
      </w:r>
      <w:r>
        <w:rPr>
          <w:rFonts w:ascii="Times New Roman" w:cs="Times New Roman" w:eastAsia="Times New Roman" w:hAnsi="Times New Roman"/>
          <w:sz w:val="20"/>
          <w:szCs w:val="20"/>
        </w:rPr>
        <w:t xml:space="preserve"> is live only when a threat-intelligence provider actually answered. Previously an unconfigured provider contributed 0.20 × 0.0, pinning 20–25% of every score at zero in any deployment without API keys. Measured on Teabot, that cost 10.3 FRS points — 30.8 with correlation forced to zero, against 41.1 with the axis correctly excluded.</w:t>
      </w:r>
    </w:p>
    <w:p>
      <w:pPr>
        <w:spacing w:after="100" w:line="240"/>
        <w:ind w:firstLine="288"/>
        <w:jc w:val="both"/>
      </w:pPr>
      <w:r>
        <w:rPr>
          <w:rFonts w:ascii="Times New Roman" w:cs="Times New Roman" w:eastAsia="Times New Roman" w:hAnsi="Times New Roman"/>
          <w:b/>
          <w:bCs/>
          <w:sz w:val="20"/>
          <w:szCs w:val="20"/>
        </w:rPr>
        <w:t xml:space="preserve">Dynamic</w:t>
      </w:r>
      <w:r>
        <w:rPr>
          <w:rFonts w:ascii="Times New Roman" w:cs="Times New Roman" w:eastAsia="Times New Roman" w:hAnsi="Times New Roman"/>
          <w:sz w:val="20"/>
          <w:szCs w:val="20"/>
        </w:rPr>
        <w:t xml:space="preserve"> is live only when the run was </w:t>
      </w:r>
      <w:r>
        <w:rPr>
          <w:rFonts w:ascii="Times New Roman" w:cs="Times New Roman" w:eastAsia="Times New Roman" w:hAnsi="Times New Roman"/>
          <w:i/>
          <w:iCs/>
          <w:sz w:val="20"/>
          <w:szCs w:val="20"/>
        </w:rPr>
        <w:t xml:space="preserve">conclusive</w:t>
      </w:r>
      <w:r>
        <w:rPr>
          <w:rFonts w:ascii="Times New Roman" w:cs="Times New Roman" w:eastAsia="Times New Roman" w:hAnsi="Times New Roman"/>
          <w:sz w:val="20"/>
          <w:szCs w:val="20"/>
        </w:rPr>
        <w:t xml:space="preserve">, defined as BFCI ≥ 20, or at least one hook-derived behavioural event, or at least one non-harness evidence record. Three things deliberately do not qualify: screenshot and harness records (which prove the sandbox acted, not that the sample did), anti-analysis events alone (evasion is resistance, not behaviour), and a run in which the process started but never rendered an Activity or window. The measured motivation is recorded in the source: Cerberus scored 38.74 (Suspicious) static-only; after a 30-second run that captured zero API calls and zero network events, the dynamic axis took 0.437 of the renormalised weight at a value of 5.0 and pulled the same binary to 23.98 — </w:t>
      </w:r>
      <w:r>
        <w:rPr>
          <w:rFonts w:ascii="Times New Roman" w:cs="Times New Roman" w:eastAsia="Times New Roman" w:hAnsi="Times New Roman"/>
          <w:i/>
          <w:iCs/>
          <w:sz w:val="20"/>
          <w:szCs w:val="20"/>
        </w:rPr>
        <w:t xml:space="preserve">Safe</w:t>
      </w:r>
      <w:r>
        <w:rPr>
          <w:rFonts w:ascii="Times New Roman" w:cs="Times New Roman" w:eastAsia="Times New Roman" w:hAnsi="Times New Roman"/>
          <w:sz w:val="20"/>
          <w:szCs w:val="20"/>
        </w:rPr>
        <w:t xml:space="preserve">. The better the evasion, the safer the engine rated it.</w:t>
      </w:r>
    </w:p>
    <w:p>
      <w:pPr>
        <w:spacing w:after="100" w:line="240"/>
        <w:ind w:firstLine="288"/>
        <w:jc w:val="both"/>
      </w:pPr>
      <w:r>
        <w:rPr>
          <w:rFonts w:ascii="Times New Roman" w:cs="Times New Roman" w:eastAsia="Times New Roman" w:hAnsi="Times New Roman"/>
          <w:sz w:val="20"/>
          <w:szCs w:val="20"/>
        </w:rPr>
        <w:t xml:space="preserve">This is not a rule that dynamic evidence may only raise a score. A run with real coverage that observes benign behaviour is legitimate evidence and still lowers the verdict. The distinction is solely whether the sandbox observed anything to reason about. The exclusion reason is preserved and surfaced (</w:t>
      </w:r>
      <w:r>
        <w:rPr>
          <w:rFonts w:ascii="Courier New" w:cs="Courier New" w:eastAsia="Courier New" w:hAnsi="Courier New"/>
          <w:sz w:val="18"/>
          <w:szCs w:val="18"/>
        </w:rPr>
        <w:t xml:space="preserve">DYNAMIC_UNAVAILABLE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NO_UI_RENDERED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EVASION_ONLY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INSTRUMENTATION_FAILED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NO_BEHAVIOR_OBSERVED</w:t>
      </w:r>
      <w:r>
        <w:rPr>
          <w:rFonts w:ascii="Times New Roman" w:cs="Times New Roman" w:eastAsia="Times New Roman" w:hAnsi="Times New Roman"/>
          <w:sz w:val="20"/>
          <w:szCs w:val="20"/>
        </w:rPr>
        <w:t xml:space="preserve">), because “nothing bad happened” and “we never got to look” are opposite claims that must not render identically.</w:t>
      </w:r>
    </w:p>
    <w:p>
      <w:pPr>
        <w:spacing w:after="80" w:before="160"/>
      </w:pPr>
      <w:r>
        <w:rPr>
          <w:rFonts w:ascii="Times New Roman" w:cs="Times New Roman" w:eastAsia="Times New Roman" w:hAnsi="Times New Roman"/>
          <w:i/>
          <w:iCs/>
          <w:sz w:val="20"/>
          <w:szCs w:val="20"/>
        </w:rPr>
        <w:t xml:space="preserve">D. Verdict floors</w:t>
      </w:r>
    </w:p>
    <w:p>
      <w:pPr>
        <w:spacing w:after="80" w:line="240"/>
        <w:jc w:val="both"/>
      </w:pPr>
      <w:r>
        <w:rPr>
          <w:rFonts w:ascii="Times New Roman" w:cs="Times New Roman" w:eastAsia="Times New Roman" w:hAnsi="Times New Roman"/>
          <w:sz w:val="20"/>
          <w:szCs w:val="20"/>
        </w:rPr>
        <w:t xml:space="preserve">Four floors refuse a </w:t>
      </w:r>
      <w:r>
        <w:rPr>
          <w:rFonts w:ascii="Courier New" w:cs="Courier New" w:eastAsia="Courier New" w:hAnsi="Courier New"/>
          <w:sz w:val="18"/>
          <w:szCs w:val="18"/>
        </w:rPr>
        <w:t xml:space="preserve">Safe</w:t>
      </w:r>
      <w:r>
        <w:rPr>
          <w:rFonts w:ascii="Times New Roman" w:cs="Times New Roman" w:eastAsia="Times New Roman" w:hAnsi="Times New Roman"/>
          <w:sz w:val="20"/>
          <w:szCs w:val="20"/>
        </w:rPr>
        <w:t xml:space="preserve"> certification without inventing a score. In every case the numeric FRS is left untouched and an explanatory evidence line is emitted; only the band changes.</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Visibility floor.</w:t>
      </w:r>
      <w:r>
        <w:rPr>
          <w:rFonts w:ascii="Times New Roman" w:cs="Times New Roman" w:eastAsia="Times New Roman" w:hAnsi="Times New Roman"/>
          <w:sz w:val="20"/>
          <w:szCs w:val="20"/>
        </w:rPr>
        <w:t xml:space="preserve"> Fires when a concealed payload was detected and the sandbox did not observe substantive payload behaviour. The threshold is deliberately a </w:t>
      </w:r>
      <w:r>
        <w:rPr>
          <w:rFonts w:ascii="Times New Roman" w:cs="Times New Roman" w:eastAsia="Times New Roman" w:hAnsi="Times New Roman"/>
          <w:i/>
          <w:iCs/>
          <w:sz w:val="20"/>
          <w:szCs w:val="20"/>
        </w:rPr>
        <w:t xml:space="preserve">substantive</w:t>
      </w:r>
      <w:r>
        <w:rPr>
          <w:rFonts w:ascii="Times New Roman" w:cs="Times New Roman" w:eastAsia="Times New Roman" w:hAnsi="Times New Roman"/>
          <w:sz w:val="20"/>
          <w:szCs w:val="20"/>
        </w:rPr>
        <w:t xml:space="preserve"> signal rather than any signal: Anubis produced one incidental API call — enough to mark a run conclusive — while BFCI stayed at 0.0 because the second stage never deployed, and a banking trojan scored 8.72 </w:t>
      </w:r>
      <w:r>
        <w:rPr>
          <w:rFonts w:ascii="Times New Roman" w:cs="Times New Roman" w:eastAsia="Times New Roman" w:hAnsi="Times New Roman"/>
          <w:i/>
          <w:iCs/>
          <w:sz w:val="20"/>
          <w:szCs w:val="20"/>
        </w:rPr>
        <w:t xml:space="preserve">Safe</w:t>
      </w:r>
      <w:r>
        <w:rPr>
          <w:rFonts w:ascii="Times New Roman" w:cs="Times New Roman" w:eastAsia="Times New Roman" w:hAnsi="Times New Roman"/>
          <w:sz w:val="20"/>
          <w:szCs w:val="20"/>
        </w:rPr>
        <w:t xml:space="preserve">. Octo scored BFCI 4.8 (its network component maxed at 96 but network carries weight 0.05) and that 4.8 was enough to lift the floor and certify a heavily obfuscated sample with 31 permissions as </w:t>
      </w:r>
      <w:r>
        <w:rPr>
          <w:rFonts w:ascii="Times New Roman" w:cs="Times New Roman" w:eastAsia="Times New Roman" w:hAnsi="Times New Roman"/>
          <w:i/>
          <w:iCs/>
          <w:sz w:val="20"/>
          <w:szCs w:val="20"/>
        </w:rPr>
        <w:t xml:space="preserve">Safe</w:t>
      </w:r>
      <w:r>
        <w:rPr>
          <w:rFonts w:ascii="Times New Roman" w:cs="Times New Roman" w:eastAsia="Times New Roman" w:hAnsi="Times New Roman"/>
          <w:sz w:val="20"/>
          <w:szCs w:val="20"/>
        </w:rPr>
        <w:t xml:space="preserve"> at 29.49. The bar is therefore BFCI ≥ 20.</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Static evidence floor.</w:t>
      </w:r>
      <w:r>
        <w:rPr>
          <w:rFonts w:ascii="Times New Roman" w:cs="Times New Roman" w:eastAsia="Times New Roman" w:hAnsi="Times New Roman"/>
          <w:sz w:val="20"/>
          <w:szCs w:val="20"/>
        </w:rPr>
        <w:t xml:space="preserve"> Fires when STEI ≥ 50 and the sandbox produced no fraud-relevant signal at all. A 90-second window that does not trigger SMS interception is not evidence that the interception is absent; the permissions remain declared.</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Evasion floor.</w:t>
      </w:r>
      <w:r>
        <w:rPr>
          <w:rFonts w:ascii="Times New Roman" w:cs="Times New Roman" w:eastAsia="Times New Roman" w:hAnsi="Times New Roman"/>
          <w:sz w:val="20"/>
          <w:szCs w:val="20"/>
        </w:rPr>
        <w:t xml:space="preserve"> Fires when anti-analysis events occurred and nothing else did. Because evasion carries no BFCI weight, the only observable act on such a run contributes exactly 0.0 — so without this floor, active counter-analysis working as designed produces a </w:t>
      </w:r>
      <w:r>
        <w:rPr>
          <w:rFonts w:ascii="Times New Roman" w:cs="Times New Roman" w:eastAsia="Times New Roman" w:hAnsi="Times New Roman"/>
          <w:i/>
          <w:iCs/>
          <w:sz w:val="20"/>
          <w:szCs w:val="20"/>
        </w:rPr>
        <w:t xml:space="preserve">Safe</w:t>
      </w:r>
      <w:r>
        <w:rPr>
          <w:rFonts w:ascii="Times New Roman" w:cs="Times New Roman" w:eastAsia="Times New Roman" w:hAnsi="Times New Roman"/>
          <w:sz w:val="20"/>
          <w:szCs w:val="20"/>
        </w:rPr>
        <w:t xml:space="preserve"> verdict.</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Incomplete-exercise floor.</w:t>
      </w:r>
      <w:r>
        <w:rPr>
          <w:rFonts w:ascii="Times New Roman" w:cs="Times New Roman" w:eastAsia="Times New Roman" w:hAnsi="Times New Roman"/>
          <w:sz w:val="20"/>
          <w:szCs w:val="20"/>
        </w:rPr>
        <w:t xml:space="preserve"> Fires per Section V-E.</w:t>
      </w:r>
    </w:p>
    <w:p>
      <w:pPr>
        <w:spacing w:after="80" w:before="160"/>
      </w:pPr>
      <w:r>
        <w:rPr>
          <w:rFonts w:ascii="Times New Roman" w:cs="Times New Roman" w:eastAsia="Times New Roman" w:hAnsi="Times New Roman"/>
          <w:i/>
          <w:iCs/>
          <w:sz w:val="20"/>
          <w:szCs w:val="20"/>
        </w:rPr>
        <w:t xml:space="preserve">E. The Execution Assertion Matrix</w:t>
      </w:r>
    </w:p>
    <w:p>
      <w:pPr>
        <w:spacing w:after="100" w:line="240"/>
        <w:jc w:val="both"/>
      </w:pPr>
      <w:r>
        <w:rPr>
          <w:rFonts w:ascii="Courier New" w:cs="Courier New" w:eastAsia="Courier New" w:hAnsi="Courier New"/>
          <w:sz w:val="18"/>
          <w:szCs w:val="18"/>
        </w:rPr>
        <w:t xml:space="preserve">engines/execution_assertions.py</w:t>
      </w:r>
      <w:r>
        <w:rPr>
          <w:rFonts w:ascii="Times New Roman" w:cs="Times New Roman" w:eastAsia="Times New Roman" w:hAnsi="Times New Roman"/>
          <w:sz w:val="20"/>
          <w:szCs w:val="20"/>
        </w:rPr>
        <w:t xml:space="preserve"> records, per run, which of six fraud preconditions were reached: targeted banking app opened, OTP/bank SMS delivered, accessibility service granted, overlay window drawn, contacts provider read, call log read. Each is derived from observed telemetry by regular expressions over Android framework identifiers — never from a curated bank list. The banking-app assertion is evaluated against the packages </w:t>
      </w:r>
      <w:r>
        <w:rPr>
          <w:rFonts w:ascii="Times New Roman" w:cs="Times New Roman" w:eastAsia="Times New Roman" w:hAnsi="Times New Roman"/>
          <w:i/>
          <w:iCs/>
          <w:sz w:val="20"/>
          <w:szCs w:val="20"/>
        </w:rPr>
        <w:t xml:space="preserve">this sample</w:t>
      </w:r>
      <w:r>
        <w:rPr>
          <w:rFonts w:ascii="Times New Roman" w:cs="Times New Roman" w:eastAsia="Times New Roman" w:hAnsi="Times New Roman"/>
          <w:sz w:val="20"/>
          <w:szCs w:val="20"/>
        </w:rPr>
        <w:t xml:space="preserve"> references, resolved from its own manifest and DEX constants, because passing a curated list would encode an assumption about which institutions matter.</w:t>
      </w:r>
    </w:p>
    <w:p>
      <w:pPr>
        <w:spacing w:after="60" w:line="240"/>
        <w:ind w:firstLine="288"/>
        <w:jc w:val="both"/>
      </w:pPr>
      <w:r>
        <w:rPr>
          <w:rFonts w:ascii="Times New Roman" w:cs="Times New Roman" w:eastAsia="Times New Roman" w:hAnsi="Times New Roman"/>
          <w:sz w:val="20"/>
          <w:szCs w:val="20"/>
        </w:rPr>
        <w:t xml:space="preserve">A run is </w:t>
      </w:r>
      <w:r>
        <w:rPr>
          <w:rFonts w:ascii="Courier New" w:cs="Courier New" w:eastAsia="Courier New" w:hAnsi="Courier New"/>
          <w:sz w:val="18"/>
          <w:szCs w:val="18"/>
        </w:rPr>
        <w:t xml:space="preserve">INCOMPLETE_EXERCISE</w:t>
      </w:r>
      <w:r>
        <w:rPr>
          <w:rFonts w:ascii="Times New Roman" w:cs="Times New Roman" w:eastAsia="Times New Roman" w:hAnsi="Times New Roman"/>
          <w:sz w:val="20"/>
          <w:szCs w:val="20"/>
        </w:rPr>
        <w:t xml:space="preserve"> when the sandbox ran, observed zero threat events, and reached zero assertions:</w:t>
      </w:r>
    </w:p>
    <w:p>
      <w:pPr>
        <w:spacing w:after="100" w:before="100"/>
        <w:jc w:val="center"/>
      </w:pPr>
      <w:r>
        <w:rPr>
          <w:rFonts w:ascii="Times New Roman" w:cs="Times New Roman" w:eastAsia="Times New Roman" w:hAnsi="Times New Roman"/>
          <w:i w:val="false"/>
          <w:iCs w:val="false"/>
          <w:sz w:val="20"/>
          <w:szCs w:val="20"/>
        </w:rPr>
        <w:t xml:space="preserve">IE = R</w:t>
      </w:r>
      <w:r>
        <w:rPr>
          <w:rFonts w:ascii="Times New Roman" w:cs="Times New Roman" w:eastAsia="Times New Roman" w:hAnsi="Times New Roman"/>
          <w:i w:val="false"/>
          <w:iCs w:val="false"/>
          <w:sz w:val="20"/>
          <w:szCs w:val="20"/>
          <w:vertAlign w:val="subscript"/>
        </w:rPr>
        <w:t xml:space="preserve">dyn</w:t>
      </w:r>
      <w:r>
        <w:rPr>
          <w:rFonts w:ascii="Times New Roman" w:cs="Times New Roman" w:eastAsia="Times New Roman" w:hAnsi="Times New Roman"/>
          <w:i w:val="false"/>
          <w:iCs w:val="false"/>
          <w:sz w:val="20"/>
          <w:szCs w:val="20"/>
        </w:rPr>
        <w:t xml:space="preserve"> ∧ (E = 0) ∧ ¬a</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i w:val="false"/>
          <w:iCs w:val="false"/>
          <w:sz w:val="20"/>
          <w:szCs w:val="20"/>
        </w:rPr>
        <w:t xml:space="preserve"> ∧ … ∧ ¬a</w:t>
      </w:r>
      <w:r>
        <w:rPr>
          <w:rFonts w:ascii="Times New Roman" w:cs="Times New Roman" w:eastAsia="Times New Roman" w:hAnsi="Times New Roman"/>
          <w:i w:val="false"/>
          <w:iCs w:val="false"/>
          <w:sz w:val="20"/>
          <w:szCs w:val="20"/>
          <w:vertAlign w:val="subscript"/>
        </w:rPr>
        <w:t xml:space="preserve">6</w:t>
      </w:r>
      <w:r>
        <w:ptab w:alignment="right" w:relativeTo="margin" w:leader="none"/>
      </w:r>
      <w:r>
        <w:rPr>
          <w:rFonts w:ascii="Times New Roman" w:cs="Times New Roman" w:eastAsia="Times New Roman" w:hAnsi="Times New Roman"/>
          <w:sz w:val="20"/>
          <w:szCs w:val="20"/>
        </w:rPr>
        <w:t xml:space="preserve">(13)</w:t>
      </w:r>
    </w:p>
    <w:p>
      <w:pPr>
        <w:spacing w:after="100" w:line="240"/>
        <w:ind w:firstLine="288"/>
        <w:jc w:val="both"/>
      </w:pPr>
      <w:r>
        <w:rPr>
          <w:rFonts w:ascii="Times New Roman" w:cs="Times New Roman" w:eastAsia="Times New Roman" w:hAnsi="Times New Roman"/>
          <w:sz w:val="20"/>
          <w:szCs w:val="20"/>
        </w:rPr>
        <w:t xml:space="preserve">The </w:t>
      </w:r>
      <w:r>
        <w:rPr>
          <w:rFonts w:ascii="Courier New" w:cs="Courier New" w:eastAsia="Courier New" w:hAnsi="Courier New"/>
          <w:sz w:val="18"/>
          <w:szCs w:val="18"/>
        </w:rPr>
        <w:t xml:space="preserve">dynamic_ran</w:t>
      </w:r>
      <w:r>
        <w:rPr>
          <w:rFonts w:ascii="Times New Roman" w:cs="Times New Roman" w:eastAsia="Times New Roman" w:hAnsi="Times New Roman"/>
          <w:sz w:val="20"/>
          <w:szCs w:val="20"/>
        </w:rPr>
        <w:t xml:space="preserve"> conjunct matters: a case with no sandbox run is already reported as </w:t>
      </w:r>
      <w:r>
        <w:rPr>
          <w:rFonts w:ascii="Times New Roman" w:cs="Times New Roman" w:eastAsia="Times New Roman" w:hAnsi="Times New Roman"/>
          <w:i/>
          <w:iCs/>
          <w:sz w:val="20"/>
          <w:szCs w:val="20"/>
        </w:rPr>
        <w:t xml:space="preserve">dynamic analysis unavailable</w:t>
      </w:r>
      <w:r>
        <w:rPr>
          <w:rFonts w:ascii="Times New Roman" w:cs="Times New Roman" w:eastAsia="Times New Roman" w:hAnsi="Times New Roman"/>
          <w:sz w:val="20"/>
          <w:szCs w:val="20"/>
        </w:rPr>
        <w:t xml:space="preserve">, and labelling it an incomplete </w:t>
      </w:r>
      <w:r>
        <w:rPr>
          <w:rFonts w:ascii="Times New Roman" w:cs="Times New Roman" w:eastAsia="Times New Roman" w:hAnsi="Times New Roman"/>
          <w:i/>
          <w:iCs/>
          <w:sz w:val="20"/>
          <w:szCs w:val="20"/>
        </w:rPr>
        <w:t xml:space="preserve">exercise</w:t>
      </w:r>
      <w:r>
        <w:rPr>
          <w:rFonts w:ascii="Times New Roman" w:cs="Times New Roman" w:eastAsia="Times New Roman" w:hAnsi="Times New Roman"/>
          <w:sz w:val="20"/>
          <w:szCs w:val="20"/>
        </w:rPr>
        <w:t xml:space="preserve"> would falsely claim we tried and the sample stayed quiet. When IE holds, reported confidence is multiplied by 0.50, each unreached assertion is emitted with a concrete remediation instruction, and a </w:t>
      </w:r>
      <w:r>
        <w:rPr>
          <w:rFonts w:ascii="Courier New" w:cs="Courier New" w:eastAsia="Courier New" w:hAnsi="Courier New"/>
          <w:sz w:val="18"/>
          <w:szCs w:val="18"/>
        </w:rPr>
        <w:t xml:space="preserve">Safe</w:t>
      </w:r>
      <w:r>
        <w:rPr>
          <w:rFonts w:ascii="Times New Roman" w:cs="Times New Roman" w:eastAsia="Times New Roman" w:hAnsi="Times New Roman"/>
          <w:sz w:val="20"/>
          <w:szCs w:val="20"/>
        </w:rPr>
        <w:t xml:space="preserve"> band is floored to </w:t>
      </w:r>
      <w:r>
        <w:rPr>
          <w:rFonts w:ascii="Courier New" w:cs="Courier New" w:eastAsia="Courier New" w:hAnsi="Courier New"/>
          <w:sz w:val="18"/>
          <w:szCs w:val="18"/>
        </w:rPr>
        <w:t xml:space="preserve">Suspicious</w:t>
      </w:r>
      <w:r>
        <w:rPr>
          <w:rFonts w:ascii="Times New Roman" w:cs="Times New Roman" w:eastAsia="Times New Roman" w:hAnsi="Times New Roman"/>
          <w:sz w:val="20"/>
          <w:szCs w:val="20"/>
        </w:rPr>
        <w:t xml:space="preserve">.</w:t>
      </w:r>
    </w:p>
    <w:p>
      <w:pPr>
        <w:spacing w:after="100" w:line="240"/>
        <w:ind w:firstLine="288"/>
        <w:jc w:val="both"/>
      </w:pPr>
      <w:r>
        <w:rPr>
          <w:rFonts w:ascii="Times New Roman" w:cs="Times New Roman" w:eastAsia="Times New Roman" w:hAnsi="Times New Roman"/>
          <w:sz w:val="20"/>
          <w:szCs w:val="20"/>
        </w:rPr>
        <w:t xml:space="preserve">This is the mechanism that converts the industry’s most common false negative — a clean-looking report from a run that never happened — into an actionable statement about the harness.</w:t>
      </w:r>
    </w:p>
    <w:p>
      <w:pPr>
        <w:spacing w:after="120" w:before="240"/>
        <w:jc w:val="center"/>
      </w:pPr>
      <w:r>
        <w:rPr>
          <w:rFonts w:ascii="Times New Roman" w:cs="Times New Roman" w:eastAsia="Times New Roman" w:hAnsi="Times New Roman"/>
          <w:caps/>
          <w:sz w:val="20"/>
          <w:szCs w:val="20"/>
        </w:rPr>
        <w:t xml:space="preserve">VI.  EVALUATION</w:t>
      </w:r>
    </w:p>
    <w:p>
      <w:pPr>
        <w:spacing w:after="80" w:before="160"/>
      </w:pPr>
      <w:r>
        <w:rPr>
          <w:rFonts w:ascii="Times New Roman" w:cs="Times New Roman" w:eastAsia="Times New Roman" w:hAnsi="Times New Roman"/>
          <w:i/>
          <w:iCs/>
          <w:sz w:val="20"/>
          <w:szCs w:val="20"/>
        </w:rPr>
        <w:t xml:space="preserve">A. Labelled corpus</w:t>
      </w:r>
    </w:p>
    <w:p>
      <w:pPr>
        <w:spacing w:after="100" w:line="240"/>
        <w:jc w:val="both"/>
      </w:pPr>
      <w:r>
        <w:rPr>
          <w:rFonts w:ascii="Times New Roman" w:cs="Times New Roman" w:eastAsia="Times New Roman" w:hAnsi="Times New Roman"/>
          <w:sz w:val="20"/>
          <w:szCs w:val="20"/>
        </w:rPr>
        <w:t xml:space="preserve">The primary evaluation is a machine-generated record over a 17-sample labelled corpus (</w:t>
      </w:r>
      <w:r>
        <w:rPr>
          <w:rFonts w:ascii="Courier New" w:cs="Courier New" w:eastAsia="Courier New" w:hAnsi="Courier New"/>
          <w:sz w:val="18"/>
          <w:szCs w:val="18"/>
        </w:rPr>
        <w:t xml:space="preserve">docs/evaluation/corpus_static_validation.json</w:t>
      </w:r>
      <w:r>
        <w:rPr>
          <w:rFonts w:ascii="Times New Roman" w:cs="Times New Roman" w:eastAsia="Times New Roman" w:hAnsi="Times New Roman"/>
          <w:sz w:val="20"/>
          <w:szCs w:val="20"/>
        </w:rPr>
        <w:t xml:space="preserve">, git commit </w:t>
      </w:r>
      <w:r>
        <w:rPr>
          <w:rFonts w:ascii="Courier New" w:cs="Courier New" w:eastAsia="Courier New" w:hAnsi="Courier New"/>
          <w:sz w:val="18"/>
          <w:szCs w:val="18"/>
        </w:rPr>
        <w:t xml:space="preserve">ce30610</w:t>
      </w:r>
      <w:r>
        <w:rPr>
          <w:rFonts w:ascii="Times New Roman" w:cs="Times New Roman" w:eastAsia="Times New Roman" w:hAnsi="Times New Roman"/>
          <w:sz w:val="20"/>
          <w:szCs w:val="20"/>
        </w:rPr>
        <w:t xml:space="preserve">, Androguard 4.1.4, results digest </w:t>
      </w:r>
      <w:r>
        <w:rPr>
          <w:rFonts w:ascii="Courier New" w:cs="Courier New" w:eastAsia="Courier New" w:hAnsi="Courier New"/>
          <w:sz w:val="18"/>
          <w:szCs w:val="18"/>
        </w:rPr>
        <w:t xml:space="preserve">1f9cd4c2…ea5f6e</w:t>
      </w:r>
      <w:r>
        <w:rPr>
          <w:rFonts w:ascii="Times New Roman" w:cs="Times New Roman" w:eastAsia="Times New Roman" w:hAnsi="Times New Roman"/>
          <w:sz w:val="20"/>
          <w:szCs w:val="20"/>
        </w:rPr>
        <w:t xml:space="preserve">). The run configuration is deliberately adversarial to Sudarshan’s own strengths: </w:t>
      </w:r>
      <w:r>
        <w:rPr>
          <w:rFonts w:ascii="Times New Roman" w:cs="Times New Roman" w:eastAsia="Times New Roman" w:hAnsi="Times New Roman"/>
          <w:b/>
          <w:bCs/>
          <w:sz w:val="20"/>
          <w:szCs w:val="20"/>
        </w:rPr>
        <w:t xml:space="preserve">dynamic analysis not run, correlation unavailable, VIDE not run</w:t>
      </w:r>
      <w:r>
        <w:rPr>
          <w:rFonts w:ascii="Times New Roman" w:cs="Times New Roman" w:eastAsia="Times New Roman" w:hAnsi="Times New Roman"/>
          <w:sz w:val="20"/>
          <w:szCs w:val="20"/>
        </w:rPr>
        <w:t xml:space="preserve">. Only the static and banking-impact axes were live, at renormalised weights 0.556 and 0.444.</w:t>
      </w:r>
    </w:p>
    <w:p>
      <w:pPr>
        <w:spacing w:after="100" w:line="240"/>
        <w:ind w:firstLine="288"/>
        <w:jc w:val="both"/>
      </w:pPr>
      <w:r>
        <w:rPr>
          <w:rFonts w:ascii="Times New Roman" w:cs="Times New Roman" w:eastAsia="Times New Roman" w:hAnsi="Times New Roman"/>
          <w:sz w:val="20"/>
          <w:szCs w:val="20"/>
        </w:rPr>
        <w:t xml:space="preserve">The decision rule is the product’s own deployment gate rather than a threshold chosen for the paper: </w:t>
      </w:r>
      <w:r>
        <w:rPr>
          <w:rFonts w:ascii="Courier New" w:cs="Courier New" w:eastAsia="Courier New" w:hAnsi="Courier New"/>
          <w:sz w:val="18"/>
          <w:szCs w:val="18"/>
        </w:rPr>
        <w:t xml:space="preserve">Safe</w:t>
      </w:r>
      <w:r>
        <w:rPr>
          <w:rFonts w:ascii="Times New Roman" w:cs="Times New Roman" w:eastAsia="Times New Roman" w:hAnsi="Times New Roman"/>
          <w:sz w:val="20"/>
          <w:szCs w:val="20"/>
        </w:rPr>
        <w:t xml:space="preserve"> yields “approved for deployment” and any higher band yields “quarantine”, so the band boundary is what a consumer acts on. Deliberately-insecure applications (</w:t>
      </w:r>
      <w:r>
        <w:rPr>
          <w:rFonts w:ascii="Courier New" w:cs="Courier New" w:eastAsia="Courier New" w:hAnsi="Courier New"/>
          <w:sz w:val="18"/>
          <w:szCs w:val="18"/>
        </w:rPr>
        <w:t xml:space="preserve">InsecureBankv2</w:t>
      </w:r>
      <w:r>
        <w:rPr>
          <w:rFonts w:ascii="Times New Roman" w:cs="Times New Roman" w:eastAsia="Times New Roman" w:hAnsi="Times New Roman"/>
          <w:sz w:val="20"/>
          <w:szCs w:val="20"/>
        </w:rPr>
        <w:t xml:space="preserve">) are counted as benign, since insecure is not malicious.</w:t>
      </w:r>
    </w:p>
    <w:p>
      <w:pPr>
        <w:spacing w:after="80" w:before="80"/>
        <w:jc w:val="center"/>
      </w:pPr>
      <w:r>
        <w:rPr>
          <w:rFonts w:ascii="Times New Roman" w:cs="Times New Roman" w:eastAsia="Times New Roman" w:hAnsi="Times New Roman"/>
          <w:caps/>
          <w:sz w:val="16"/>
          <w:szCs w:val="16"/>
        </w:rPr>
        <w:t xml:space="preserve">TABLE III. </w:t>
      </w:r>
      <w:r>
        <w:rPr>
          <w:rFonts w:ascii="Times New Roman" w:cs="Times New Roman" w:eastAsia="Times New Roman" w:hAnsi="Times New Roman"/>
          <w:sz w:val="16"/>
          <w:szCs w:val="16"/>
        </w:rPr>
        <w:t xml:space="preserve">Corpus results. Static-only configuration; dynamic, correlation and VIDE axes all excluded.</w:t>
      </w:r>
    </w:p>
    <w:tbl>
      <w:tblPr>
        <w:tblW w:type="dxa" w:w="5040"/>
        <w:tblBorders>
          <w:top w:val="single" w:color="000000" w:sz="4"/>
          <w:left w:val="none" w:color="FFFFFF" w:sz="0"/>
          <w:bottom w:val="single" w:color="000000" w:sz="4"/>
          <w:right w:val="none" w:color="FFFFFF" w:sz="0"/>
          <w:insideH w:val="single" w:color="BFBFBF" w:sz="2"/>
          <w:insideV w:val="none" w:color="FFFFFF" w:sz="0"/>
        </w:tblBorders>
      </w:tblPr>
      <w:tblGrid>
        <w:gridCol w:w="1520"/>
        <w:gridCol w:w="900"/>
        <w:gridCol w:w="880"/>
        <w:gridCol w:w="880"/>
        <w:gridCol w:w="860"/>
      </w:tblGrid>
      <w:tr>
        <w:trPr>
          <w:tblHeader/>
        </w:trPr>
        <w:tc>
          <w:tcPr>
            <w:tcW w:type="dxa" w:w="1520"/>
            <w:shd w:fill="F2F2F2" w:val="clear"/>
            <w:tcMar>
              <w:top w:type="dxa" w:w="40"/>
              <w:left w:type="dxa" w:w="60"/>
              <w:bottom w:type="dxa" w:w="40"/>
              <w:right w:type="dxa" w:w="60"/>
            </w:tcMar>
          </w:tcPr>
          <w:p>
            <w:pPr>
              <w:spacing w:after="0" w:line="200"/>
              <w:jc w:val="left"/>
            </w:pPr>
            <w:r>
              <w:rPr>
                <w:rFonts w:ascii="Times New Roman" w:cs="Times New Roman" w:eastAsia="Times New Roman" w:hAnsi="Times New Roman"/>
                <w:b/>
                <w:bCs/>
                <w:sz w:val="20"/>
                <w:szCs w:val="20"/>
              </w:rPr>
              <w:t xml:space="preserve">Sample</w:t>
            </w:r>
          </w:p>
        </w:tc>
        <w:tc>
          <w:tcPr>
            <w:tcW w:type="dxa" w:w="900"/>
            <w:shd w:fill="F2F2F2" w:val="clear"/>
            <w:tcMar>
              <w:top w:type="dxa" w:w="40"/>
              <w:left w:type="dxa" w:w="60"/>
              <w:bottom w:type="dxa" w:w="40"/>
              <w:right w:type="dxa" w:w="60"/>
            </w:tcMar>
          </w:tcPr>
          <w:p>
            <w:pPr>
              <w:spacing w:after="0" w:line="200"/>
              <w:jc w:val="left"/>
            </w:pPr>
            <w:r>
              <w:rPr>
                <w:rFonts w:ascii="Times New Roman" w:cs="Times New Roman" w:eastAsia="Times New Roman" w:hAnsi="Times New Roman"/>
                <w:b/>
                <w:bCs/>
                <w:sz w:val="20"/>
                <w:szCs w:val="20"/>
              </w:rPr>
              <w:t xml:space="preserve">Class</w:t>
            </w:r>
          </w:p>
        </w:tc>
        <w:tc>
          <w:tcPr>
            <w:tcW w:type="dxa" w:w="880"/>
            <w:shd w:fill="F2F2F2" w:val="clear"/>
            <w:tcMar>
              <w:top w:type="dxa" w:w="40"/>
              <w:left w:type="dxa" w:w="60"/>
              <w:bottom w:type="dxa" w:w="40"/>
              <w:right w:type="dxa" w:w="60"/>
            </w:tcMar>
          </w:tcPr>
          <w:p>
            <w:pPr>
              <w:spacing w:after="0" w:line="200"/>
              <w:jc w:val="right"/>
            </w:pPr>
            <w:r>
              <w:rPr>
                <w:rFonts w:ascii="Times New Roman" w:cs="Times New Roman" w:eastAsia="Times New Roman" w:hAnsi="Times New Roman"/>
                <w:b/>
                <w:bCs/>
                <w:sz w:val="20"/>
                <w:szCs w:val="20"/>
              </w:rPr>
              <w:t xml:space="preserve">STEI</w:t>
            </w:r>
          </w:p>
        </w:tc>
        <w:tc>
          <w:tcPr>
            <w:tcW w:type="dxa" w:w="880"/>
            <w:shd w:fill="F2F2F2" w:val="clear"/>
            <w:tcMar>
              <w:top w:type="dxa" w:w="40"/>
              <w:left w:type="dxa" w:w="60"/>
              <w:bottom w:type="dxa" w:w="40"/>
              <w:right w:type="dxa" w:w="60"/>
            </w:tcMar>
          </w:tcPr>
          <w:p>
            <w:pPr>
              <w:spacing w:after="0" w:line="200"/>
              <w:jc w:val="right"/>
            </w:pPr>
            <w:r>
              <w:rPr>
                <w:rFonts w:ascii="Times New Roman" w:cs="Times New Roman" w:eastAsia="Times New Roman" w:hAnsi="Times New Roman"/>
                <w:b/>
                <w:bCs/>
                <w:sz w:val="20"/>
                <w:szCs w:val="20"/>
              </w:rPr>
              <w:t xml:space="preserve">FRS</w:t>
            </w:r>
          </w:p>
        </w:tc>
        <w:tc>
          <w:tcPr>
            <w:tcW w:type="dxa" w:w="860"/>
            <w:shd w:fill="F2F2F2" w:val="clear"/>
            <w:tcMar>
              <w:top w:type="dxa" w:w="40"/>
              <w:left w:type="dxa" w:w="60"/>
              <w:bottom w:type="dxa" w:w="40"/>
              <w:right w:type="dxa" w:w="60"/>
            </w:tcMar>
          </w:tcPr>
          <w:p>
            <w:pPr>
              <w:spacing w:after="0" w:line="200"/>
              <w:jc w:val="left"/>
            </w:pPr>
            <w:r>
              <w:rPr>
                <w:rFonts w:ascii="Times New Roman" w:cs="Times New Roman" w:eastAsia="Times New Roman" w:hAnsi="Times New Roman"/>
                <w:b/>
                <w:bCs/>
                <w:sz w:val="20"/>
                <w:szCs w:val="20"/>
              </w:rPr>
              <w:t xml:space="preserve">Band</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Teabot</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malware</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76.59</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70.26</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High Risk</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FluBot</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malware</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61.20</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60.00</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Suspicious</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Octo</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malware</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57.20</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57.33</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Suspicious</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SharkBot</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malware</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52.98</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53.45</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Suspicious</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Cerberus</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malware</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53.73</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38.74</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Suspicious</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Drinik</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malware</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22.82</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21.57</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Suspicious †</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Hook</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malware</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11.57</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15.32</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Suspicious †</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Anubis</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malware</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9.20</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14.00</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Suspicious †</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InsecureBankv2</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benign</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30.71</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25.95</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Safe</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VLC</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benign</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25.42</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23.01</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Safe</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NewPipe</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benign</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24.64</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22.58</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Safe</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Amaze File Mgr</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benign</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9.70</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14.28</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Safe</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KeePassDX</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benign</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7.53</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13.07</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Safe</w:t>
            </w:r>
          </w:p>
        </w:tc>
      </w:tr>
      <w:tr>
        <w:trPr>
          <w:tblHeader w:val="false"/>
        </w:trPr>
        <w:tc>
          <w:tcPr>
            <w:tcW w:type="dxa" w:w="152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UnCrackable 1–4</w:t>
            </w:r>
          </w:p>
        </w:tc>
        <w:tc>
          <w:tcPr>
            <w:tcW w:type="dxa" w:w="9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benign</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≤3.3</w:t>
            </w:r>
          </w:p>
        </w:tc>
        <w:tc>
          <w:tcPr>
            <w:tcW w:type="dxa" w:w="880"/>
            <w:tcMar>
              <w:top w:type="dxa" w:w="40"/>
              <w:left w:type="dxa" w:w="60"/>
              <w:bottom w:type="dxa" w:w="40"/>
              <w:right w:type="dxa" w:w="60"/>
            </w:tcMar>
          </w:tcPr>
          <w:p>
            <w:pPr>
              <w:spacing w:after="0" w:line="200"/>
              <w:jc w:val="right"/>
            </w:pPr>
            <w:r>
              <w:rPr>
                <w:rFonts w:ascii="Times New Roman" w:cs="Times New Roman" w:eastAsia="Times New Roman" w:hAnsi="Times New Roman"/>
                <w:sz w:val="20"/>
                <w:szCs w:val="20"/>
              </w:rPr>
              <w:t xml:space="preserve">≤10.7</w:t>
            </w:r>
          </w:p>
        </w:tc>
        <w:tc>
          <w:tcPr>
            <w:tcW w:type="dxa" w:w="86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Safe</w:t>
            </w:r>
          </w:p>
        </w:tc>
      </w:tr>
    </w:tbl>
    <w:p>
      <w:pPr>
        <w:spacing w:after="100"/>
      </w:pPr>
      <w:r>
        <w:rPr>
          <w:rFonts w:ascii="Times New Roman" w:cs="Times New Roman" w:eastAsia="Times New Roman" w:hAnsi="Times New Roman"/>
          <w:sz w:val="16"/>
          <w:szCs w:val="16"/>
        </w:rPr>
        <w:t xml:space="preserve">† Band produced by the visibility floor (Section V-D), not by the numeric score.</w:t>
      </w:r>
    </w:p>
    <w:p>
      <w:pPr>
        <w:spacing w:after="100" w:line="240"/>
        <w:jc w:val="both"/>
      </w:pPr>
      <w:r>
        <w:rPr>
          <w:rFonts w:ascii="Times New Roman" w:cs="Times New Roman" w:eastAsia="Times New Roman" w:hAnsi="Times New Roman"/>
          <w:sz w:val="20"/>
          <w:szCs w:val="20"/>
        </w:rPr>
        <w:t xml:space="preserve">At the deployment gate the result is TP = 8, FP = 0, FN = 0, TN = 9: precision 1.00, recall 1.00, F₁ 1.00, specificity 1.00.</w:t>
      </w:r>
    </w:p>
    <w:p>
      <w:pPr>
        <w:spacing w:after="100" w:line="240"/>
        <w:ind w:firstLine="288"/>
        <w:jc w:val="both"/>
      </w:pPr>
      <w:r>
        <w:rPr>
          <w:rFonts w:ascii="Times New Roman" w:cs="Times New Roman" w:eastAsia="Times New Roman" w:hAnsi="Times New Roman"/>
          <w:b/>
          <w:bCs/>
          <w:sz w:val="20"/>
          <w:szCs w:val="20"/>
        </w:rPr>
        <w:t xml:space="preserve">This number must be read with its stated caveat, which the record itself publishes.</w:t>
      </w:r>
      <w:r>
        <w:rPr>
          <w:rFonts w:ascii="Times New Roman" w:cs="Times New Roman" w:eastAsia="Times New Roman" w:hAnsi="Times New Roman"/>
          <w:sz w:val="20"/>
          <w:szCs w:val="20"/>
        </w:rPr>
        <w:t xml:space="preserve"> The malware FRS range is [14.00, 70.26] and the benign range is [9.16, 25.95]. </w:t>
      </w:r>
      <w:r>
        <w:rPr>
          <w:rFonts w:ascii="Times New Roman" w:cs="Times New Roman" w:eastAsia="Times New Roman" w:hAnsi="Times New Roman"/>
          <w:i/>
          <w:iCs/>
          <w:sz w:val="20"/>
          <w:szCs w:val="20"/>
        </w:rPr>
        <w:t xml:space="preserve">These ranges overlap.</w:t>
      </w:r>
      <w:r>
        <w:rPr>
          <w:rFonts w:ascii="Times New Roman" w:cs="Times New Roman" w:eastAsia="Times New Roman" w:hAnsi="Times New Roman"/>
          <w:sz w:val="20"/>
          <w:szCs w:val="20"/>
        </w:rPr>
        <w:t xml:space="preserve"> Anubis (14.00) scores below VLC (23.01) and well below InsecureBankv2 (25.95). The corpus record’s own </w:t>
      </w:r>
      <w:r>
        <w:rPr>
          <w:rFonts w:ascii="Courier New" w:cs="Courier New" w:eastAsia="Courier New" w:hAnsi="Courier New"/>
          <w:sz w:val="18"/>
          <w:szCs w:val="18"/>
        </w:rPr>
        <w:t xml:space="preserve">score_separable</w:t>
      </w:r>
      <w:r>
        <w:rPr>
          <w:rFonts w:ascii="Times New Roman" w:cs="Times New Roman" w:eastAsia="Times New Roman" w:hAnsi="Times New Roman"/>
          <w:sz w:val="20"/>
          <w:szCs w:val="20"/>
        </w:rPr>
        <w:t xml:space="preserve"> field reads </w:t>
      </w:r>
      <w:r>
        <w:rPr>
          <w:rFonts w:ascii="Courier New" w:cs="Courier New" w:eastAsia="Courier New" w:hAnsi="Courier New"/>
          <w:sz w:val="18"/>
          <w:szCs w:val="18"/>
        </w:rPr>
        <w:t xml:space="preserve">false</w:t>
      </w:r>
      <w:r>
        <w:rPr>
          <w:rFonts w:ascii="Times New Roman" w:cs="Times New Roman" w:eastAsia="Times New Roman" w:hAnsi="Times New Roman"/>
          <w:sz w:val="20"/>
          <w:szCs w:val="20"/>
        </w:rPr>
        <w:t xml:space="preserve">, with </w:t>
      </w:r>
      <w:r>
        <w:rPr>
          <w:rFonts w:ascii="Courier New" w:cs="Courier New" w:eastAsia="Courier New" w:hAnsi="Courier New"/>
          <w:sz w:val="18"/>
          <w:szCs w:val="18"/>
        </w:rPr>
        <w:t xml:space="preserve">separation_source: "risk_band floors, not numeric FRS"</w:t>
      </w:r>
      <w:r>
        <w:rPr>
          <w:rFonts w:ascii="Times New Roman" w:cs="Times New Roman" w:eastAsia="Times New Roman" w:hAnsi="Times New Roman"/>
          <w:sz w:val="20"/>
          <w:szCs w:val="20"/>
        </w:rPr>
        <w:t xml:space="preserve">. Three of the eight true positives — Anubis, Drinik, Hook — are caught </w:t>
      </w:r>
      <w:r>
        <w:rPr>
          <w:rFonts w:ascii="Times New Roman" w:cs="Times New Roman" w:eastAsia="Times New Roman" w:hAnsi="Times New Roman"/>
          <w:i/>
          <w:iCs/>
          <w:sz w:val="20"/>
          <w:szCs w:val="20"/>
        </w:rPr>
        <w:t xml:space="preserve">only</w:t>
      </w:r>
      <w:r>
        <w:rPr>
          <w:rFonts w:ascii="Times New Roman" w:cs="Times New Roman" w:eastAsia="Times New Roman" w:hAnsi="Times New Roman"/>
          <w:sz w:val="20"/>
          <w:szCs w:val="20"/>
        </w:rPr>
        <w:t xml:space="preserve"> by the visibility floor, which fired on exactly those three and on no benign sample. Concealment detection was the discriminator: 6 of 8 malware carried a concealed payload against 0 of 9 benign samples.</w:t>
      </w:r>
    </w:p>
    <w:p>
      <w:pPr>
        <w:spacing w:after="100" w:line="240"/>
        <w:ind w:firstLine="288"/>
        <w:jc w:val="both"/>
      </w:pPr>
      <w:r>
        <w:rPr>
          <w:rFonts w:ascii="Times New Roman" w:cs="Times New Roman" w:eastAsia="Times New Roman" w:hAnsi="Times New Roman"/>
          <w:sz w:val="20"/>
          <w:szCs w:val="20"/>
        </w:rPr>
        <w:t xml:space="preserve">The honest statement of this result is therefore: </w:t>
      </w:r>
      <w:r>
        <w:rPr>
          <w:rFonts w:ascii="Times New Roman" w:cs="Times New Roman" w:eastAsia="Times New Roman" w:hAnsi="Times New Roman"/>
          <w:i/>
          <w:iCs/>
          <w:sz w:val="20"/>
          <w:szCs w:val="20"/>
        </w:rPr>
        <w:t xml:space="preserve">the evidence-gating rules classify this corpus perfectly; the underlying continuous score does not.</w:t>
      </w:r>
      <w:r>
        <w:rPr>
          <w:rFonts w:ascii="Times New Roman" w:cs="Times New Roman" w:eastAsia="Times New Roman" w:hAnsi="Times New Roman"/>
          <w:sz w:val="20"/>
          <w:szCs w:val="20"/>
        </w:rPr>
        <w:t xml:space="preserve"> Under the stricter secondary rule (band ≥ High Risk) recall collapses to 0.125 — only Teabot clears it. A production deployment would run at the Suspicious gate and accept the resulting triage volume.</w:t>
      </w:r>
    </w:p>
    <w:p>
      <w:pPr>
        <w:spacing w:after="100" w:line="240"/>
        <w:ind w:firstLine="288"/>
        <w:jc w:val="both"/>
      </w:pPr>
      <w:r>
        <w:rPr>
          <w:rFonts w:ascii="Times New Roman" w:cs="Times New Roman" w:eastAsia="Times New Roman" w:hAnsi="Times New Roman"/>
          <w:sz w:val="20"/>
          <w:szCs w:val="20"/>
        </w:rPr>
        <w:t xml:space="preserve">Family attribution is the weakest subsystem measured: 4 of 8 malware samples returned </w:t>
      </w:r>
      <w:r>
        <w:rPr>
          <w:rFonts w:ascii="Courier New" w:cs="Courier New" w:eastAsia="Courier New" w:hAnsi="Courier New"/>
          <w:sz w:val="18"/>
          <w:szCs w:val="18"/>
        </w:rPr>
        <w:t xml:space="preserve">Unknown</w:t>
      </w:r>
      <w:r>
        <w:rPr>
          <w:rFonts w:ascii="Times New Roman" w:cs="Times New Roman" w:eastAsia="Times New Roman" w:hAnsi="Times New Roman"/>
          <w:sz w:val="20"/>
          <w:szCs w:val="20"/>
        </w:rPr>
        <w:t xml:space="preserve">, and of the four that resolved, three were labelled </w:t>
      </w:r>
      <w:r>
        <w:rPr>
          <w:rFonts w:ascii="Times New Roman" w:cs="Times New Roman" w:eastAsia="Times New Roman" w:hAnsi="Times New Roman"/>
          <w:i/>
          <w:iCs/>
          <w:sz w:val="20"/>
          <w:szCs w:val="20"/>
        </w:rPr>
        <w:t xml:space="preserve">Anubis</w:t>
      </w:r>
      <w:r>
        <w:rPr>
          <w:rFonts w:ascii="Times New Roman" w:cs="Times New Roman" w:eastAsia="Times New Roman" w:hAnsi="Times New Roman"/>
          <w:sz w:val="20"/>
          <w:szCs w:val="20"/>
        </w:rPr>
        <w:t xml:space="preserve"> (FluBot, Octo, Teabot) and one </w:t>
      </w:r>
      <w:r>
        <w:rPr>
          <w:rFonts w:ascii="Times New Roman" w:cs="Times New Roman" w:eastAsia="Times New Roman" w:hAnsi="Times New Roman"/>
          <w:i/>
          <w:iCs/>
          <w:sz w:val="20"/>
          <w:szCs w:val="20"/>
        </w:rPr>
        <w:t xml:space="preserve">Hydra</w:t>
      </w:r>
      <w:r>
        <w:rPr>
          <w:rFonts w:ascii="Times New Roman" w:cs="Times New Roman" w:eastAsia="Times New Roman" w:hAnsi="Times New Roman"/>
          <w:sz w:val="20"/>
          <w:szCs w:val="20"/>
        </w:rPr>
        <w:t xml:space="preserve"> (SharkBot) — pattern matches on shared lineage rather than correct family names.</w:t>
      </w:r>
    </w:p>
    <w:p>
      <w:pPr>
        <w:spacing w:after="80" w:before="160"/>
      </w:pPr>
      <w:r>
        <w:rPr>
          <w:rFonts w:ascii="Times New Roman" w:cs="Times New Roman" w:eastAsia="Times New Roman" w:hAnsi="Times New Roman"/>
          <w:i/>
          <w:iCs/>
          <w:sz w:val="20"/>
          <w:szCs w:val="20"/>
        </w:rPr>
        <w:t xml:space="preserve">B. Third-party cross-validation: Teabot</w:t>
      </w:r>
    </w:p>
    <w:p>
      <w:pPr>
        <w:spacing w:after="100" w:line="240"/>
        <w:jc w:val="both"/>
      </w:pPr>
      <w:r>
        <w:rPr>
          <w:rFonts w:ascii="Times New Roman" w:cs="Times New Roman" w:eastAsia="Times New Roman" w:hAnsi="Times New Roman"/>
          <w:sz w:val="20"/>
          <w:szCs w:val="20"/>
        </w:rPr>
        <w:t xml:space="preserve">The sample </w:t>
      </w:r>
      <w:r>
        <w:rPr>
          <w:rFonts w:ascii="Courier New" w:cs="Courier New" w:eastAsia="Courier New" w:hAnsi="Courier New"/>
          <w:sz w:val="18"/>
          <w:szCs w:val="18"/>
        </w:rPr>
        <w:t xml:space="preserve">com.lbugkgtau.iuzdlpqzr</w:t>
      </w:r>
      <w:r>
        <w:rPr>
          <w:rFonts w:ascii="Times New Roman" w:cs="Times New Roman" w:eastAsia="Times New Roman" w:hAnsi="Times New Roman"/>
          <w:sz w:val="20"/>
          <w:szCs w:val="20"/>
        </w:rPr>
        <w:t xml:space="preserve">, SHA-256 </w:t>
      </w:r>
      <w:r>
        <w:rPr>
          <w:rFonts w:ascii="Courier New" w:cs="Courier New" w:eastAsia="Courier New" w:hAnsi="Courier New"/>
          <w:sz w:val="18"/>
          <w:szCs w:val="18"/>
        </w:rPr>
        <w:t xml:space="preserve">554e71b4…c47e1ef</w:t>
      </w:r>
      <w:r>
        <w:rPr>
          <w:rFonts w:ascii="Times New Roman" w:cs="Times New Roman" w:eastAsia="Times New Roman" w:hAnsi="Times New Roman"/>
          <w:sz w:val="20"/>
          <w:szCs w:val="20"/>
        </w:rPr>
        <w:t xml:space="preserve">, was analysed independently by a VirusTotal/Zenbox dynamic sandbox and by Dr.Web vxCube. Binary identity is confirmed across all three: the SHA-256 matches exactly between Sudarshan and vxCube, and SHA-1/MD5 match between Zenbox and vxCube.</w:t>
      </w:r>
    </w:p>
    <w:p>
      <w:pPr>
        <w:spacing w:after="80" w:before="80"/>
        <w:jc w:val="center"/>
      </w:pPr>
      <w:r>
        <w:rPr>
          <w:rFonts w:ascii="Times New Roman" w:cs="Times New Roman" w:eastAsia="Times New Roman" w:hAnsi="Times New Roman"/>
          <w:caps/>
          <w:sz w:val="16"/>
          <w:szCs w:val="16"/>
        </w:rPr>
        <w:t xml:space="preserve">TABLE IV. </w:t>
      </w:r>
      <w:r>
        <w:rPr>
          <w:rFonts w:ascii="Times New Roman" w:cs="Times New Roman" w:eastAsia="Times New Roman" w:hAnsi="Times New Roman"/>
          <w:sz w:val="16"/>
          <w:szCs w:val="16"/>
        </w:rPr>
        <w:t xml:space="preserve">Cross-tool agreement, sample 554e71b4.</w:t>
      </w:r>
    </w:p>
    <w:tbl>
      <w:tblPr>
        <w:tblW w:type="dxa" w:w="5040"/>
        <w:tblBorders>
          <w:top w:val="single" w:color="000000" w:sz="4"/>
          <w:left w:val="none" w:color="FFFFFF" w:sz="0"/>
          <w:bottom w:val="single" w:color="000000" w:sz="4"/>
          <w:right w:val="none" w:color="FFFFFF" w:sz="0"/>
          <w:insideH w:val="single" w:color="BFBFBF" w:sz="2"/>
          <w:insideV w:val="none" w:color="FFFFFF" w:sz="0"/>
        </w:tblBorders>
      </w:tblPr>
      <w:tblGrid>
        <w:gridCol w:w="1600"/>
        <w:gridCol w:w="3440"/>
      </w:tblGrid>
      <w:tr>
        <w:trPr>
          <w:tblHeader/>
        </w:trPr>
        <w:tc>
          <w:tcPr>
            <w:tcW w:type="dxa" w:w="1600"/>
            <w:shd w:fill="F2F2F2" w:val="clear"/>
            <w:tcMar>
              <w:top w:type="dxa" w:w="40"/>
              <w:left w:type="dxa" w:w="60"/>
              <w:bottom w:type="dxa" w:w="40"/>
              <w:right w:type="dxa" w:w="60"/>
            </w:tcMar>
          </w:tcPr>
          <w:p>
            <w:pPr>
              <w:spacing w:after="0" w:line="200"/>
              <w:jc w:val="left"/>
            </w:pPr>
            <w:r>
              <w:rPr>
                <w:rFonts w:ascii="Times New Roman" w:cs="Times New Roman" w:eastAsia="Times New Roman" w:hAnsi="Times New Roman"/>
                <w:b/>
                <w:bCs/>
                <w:sz w:val="20"/>
                <w:szCs w:val="20"/>
              </w:rPr>
              <w:t xml:space="preserve">Dimension</w:t>
            </w:r>
          </w:p>
        </w:tc>
        <w:tc>
          <w:tcPr>
            <w:tcW w:type="dxa" w:w="3440"/>
            <w:shd w:fill="F2F2F2" w:val="clear"/>
            <w:tcMar>
              <w:top w:type="dxa" w:w="40"/>
              <w:left w:type="dxa" w:w="60"/>
              <w:bottom w:type="dxa" w:w="40"/>
              <w:right w:type="dxa" w:w="60"/>
            </w:tcMar>
          </w:tcPr>
          <w:p>
            <w:pPr>
              <w:spacing w:after="0" w:line="200"/>
              <w:jc w:val="left"/>
            </w:pPr>
            <w:r>
              <w:rPr>
                <w:rFonts w:ascii="Times New Roman" w:cs="Times New Roman" w:eastAsia="Times New Roman" w:hAnsi="Times New Roman"/>
                <w:b/>
                <w:bCs/>
                <w:sz w:val="20"/>
                <w:szCs w:val="20"/>
              </w:rPr>
              <w:t xml:space="preserve">Result</w:t>
            </w:r>
          </w:p>
        </w:tc>
      </w:tr>
      <w:tr>
        <w:trPr>
          <w:tblHeader w:val="false"/>
        </w:trPr>
        <w:tc>
          <w:tcPr>
            <w:tcW w:type="dxa" w:w="16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Permission extraction</w:t>
            </w:r>
          </w:p>
        </w:tc>
        <w:tc>
          <w:tcPr>
            <w:tcW w:type="dxa" w:w="344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14 / 14 of the Zenbox-published set reproduced; Sudarshan additionally surfaced </w:t>
            </w:r>
            <w:r>
              <w:rPr>
                <w:rFonts w:ascii="Courier New" w:cs="Courier New" w:eastAsia="Courier New" w:hAnsi="Courier New"/>
                <w:sz w:val="18"/>
                <w:szCs w:val="18"/>
              </w:rPr>
              <w:t xml:space="preserve">RECEIVE_BOOT_COMPLETED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REQUEST_PASSWORD_COMPLEXITY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REQUEST_IGNORE_BATTERY_OPTIMIZATIONS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100% overlap.</w:t>
            </w:r>
          </w:p>
        </w:tc>
      </w:tr>
      <w:tr>
        <w:trPr>
          <w:tblHeader w:val="false"/>
        </w:trPr>
        <w:tc>
          <w:tcPr>
            <w:tcW w:type="dxa" w:w="16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Obfuscation technique</w:t>
            </w:r>
          </w:p>
        </w:tc>
        <w:tc>
          <w:tcPr>
            <w:tcW w:type="dxa" w:w="344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3 / 3 of vxCube’s obfuscation indicators (method-name obfuscation, very long method strings, reflection) corroborated by Sudarshan’s OB axis at 93.9. </w:t>
            </w:r>
            <w:r>
              <w:rPr>
                <w:rFonts w:ascii="Times New Roman" w:cs="Times New Roman" w:eastAsia="Times New Roman" w:hAnsi="Times New Roman"/>
                <w:b/>
                <w:bCs/>
                <w:sz w:val="20"/>
                <w:szCs w:val="20"/>
              </w:rPr>
              <w:t xml:space="preserve">100% agreement.</w:t>
            </w:r>
          </w:p>
        </w:tc>
      </w:tr>
      <w:tr>
        <w:trPr>
          <w:tblHeader w:val="false"/>
        </w:trPr>
        <w:tc>
          <w:tcPr>
            <w:tcW w:type="dxa" w:w="16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Dynamic behaviour</w:t>
            </w:r>
          </w:p>
        </w:tc>
        <w:tc>
          <w:tcPr>
            <w:tcW w:type="dxa" w:w="344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Zenbox observed accessibility interaction, SMS interception, DEX drop (</w:t>
            </w:r>
            <w:r>
              <w:rPr>
                <w:rFonts w:ascii="Courier New" w:cs="Courier New" w:eastAsia="Courier New" w:hAnsi="Courier New"/>
                <w:sz w:val="18"/>
                <w:szCs w:val="18"/>
              </w:rPr>
              <w:t xml:space="preserve">mimlwef.dex</w:t>
            </w:r>
            <w:r>
              <w:rPr>
                <w:rFonts w:ascii="Times New Roman" w:cs="Times New Roman" w:eastAsia="Times New Roman" w:hAnsi="Times New Roman"/>
                <w:sz w:val="20"/>
                <w:szCs w:val="20"/>
              </w:rPr>
              <w:t xml:space="preserve">) and live C2. Sudarshan’s own run reached 0/6 assertions and captured 0 hooks. </w:t>
            </w:r>
            <w:r>
              <w:rPr>
                <w:rFonts w:ascii="Times New Roman" w:cs="Times New Roman" w:eastAsia="Times New Roman" w:hAnsi="Times New Roman"/>
                <w:b/>
                <w:bCs/>
                <w:sz w:val="20"/>
                <w:szCs w:val="20"/>
              </w:rPr>
              <w:t xml:space="preserve">Divergent runtime depth.</w:t>
            </w:r>
          </w:p>
        </w:tc>
      </w:tr>
      <w:tr>
        <w:trPr>
          <w:tblHeader w:val="false"/>
        </w:trPr>
        <w:tc>
          <w:tcPr>
            <w:tcW w:type="dxa" w:w="16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C2 indicator</w:t>
            </w:r>
          </w:p>
        </w:tc>
        <w:tc>
          <w:tcPr>
            <w:tcW w:type="dxa" w:w="344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Zenbox: </w:t>
            </w:r>
            <w:r>
              <w:rPr>
                <w:rFonts w:ascii="Courier New" w:cs="Courier New" w:eastAsia="Courier New" w:hAnsi="Courier New"/>
                <w:sz w:val="18"/>
                <w:szCs w:val="18"/>
              </w:rPr>
              <w:t xml:space="preserve">185.215.113.31:85</w:t>
            </w:r>
            <w:r>
              <w:rPr>
                <w:rFonts w:ascii="Times New Roman" w:cs="Times New Roman" w:eastAsia="Times New Roman" w:hAnsi="Times New Roman"/>
                <w:sz w:val="20"/>
                <w:szCs w:val="20"/>
              </w:rPr>
              <w:t xml:space="preserve"> with </w:t>
            </w:r>
            <w:r>
              <w:rPr>
                <w:rFonts w:ascii="Courier New" w:cs="Courier New" w:eastAsia="Courier New" w:hAnsi="Courier New"/>
                <w:sz w:val="18"/>
                <w:szCs w:val="18"/>
              </w:rPr>
              <w:t xml:space="preserve">/api/botupdate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/api/getbotinjects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/api/getkeyloggers</w:t>
            </w:r>
            <w:r>
              <w:rPr>
                <w:rFonts w:ascii="Times New Roman" w:cs="Times New Roman" w:eastAsia="Times New Roman" w:hAnsi="Times New Roman"/>
                <w:sz w:val="20"/>
                <w:szCs w:val="20"/>
              </w:rPr>
              <w:t xml:space="preserve">. Sudarshan: a different, malformed value. </w:t>
            </w:r>
            <w:r>
              <w:rPr>
                <w:rFonts w:ascii="Times New Roman" w:cs="Times New Roman" w:eastAsia="Times New Roman" w:hAnsi="Times New Roman"/>
                <w:b/>
                <w:bCs/>
                <w:sz w:val="20"/>
                <w:szCs w:val="20"/>
              </w:rPr>
              <w:t xml:space="preserve">No overlap.</w:t>
            </w:r>
          </w:p>
        </w:tc>
      </w:tr>
      <w:tr>
        <w:trPr>
          <w:tblHeader w:val="false"/>
        </w:trPr>
        <w:tc>
          <w:tcPr>
            <w:tcW w:type="dxa" w:w="160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Launcher-icon removal</w:t>
            </w:r>
          </w:p>
        </w:tc>
        <w:tc>
          <w:tcPr>
            <w:tcW w:type="dxa" w:w="3440"/>
            <w:tcMar>
              <w:top w:type="dxa" w:w="40"/>
              <w:left w:type="dxa" w:w="60"/>
              <w:bottom w:type="dxa" w:w="40"/>
              <w:right w:type="dxa" w:w="60"/>
            </w:tcMar>
          </w:tcPr>
          <w:p>
            <w:pPr>
              <w:spacing w:after="0" w:line="200"/>
              <w:jc w:val="left"/>
            </w:pPr>
            <w:r>
              <w:rPr>
                <w:rFonts w:ascii="Times New Roman" w:cs="Times New Roman" w:eastAsia="Times New Roman" w:hAnsi="Times New Roman"/>
                <w:sz w:val="20"/>
                <w:szCs w:val="20"/>
              </w:rPr>
              <w:t xml:space="preserve">Confirmed by both Zenbox and vxCube; </w:t>
            </w:r>
            <w:r>
              <w:rPr>
                <w:rFonts w:ascii="Times New Roman" w:cs="Times New Roman" w:eastAsia="Times New Roman" w:hAnsi="Times New Roman"/>
                <w:b/>
                <w:bCs/>
                <w:sz w:val="20"/>
                <w:szCs w:val="20"/>
              </w:rPr>
              <w:t xml:space="preserve">not itemised by Sudarshan</w:t>
            </w:r>
            <w:r>
              <w:rPr>
                <w:rFonts w:ascii="Times New Roman" w:cs="Times New Roman" w:eastAsia="Times New Roman" w:hAnsi="Times New Roman"/>
                <w:sz w:val="20"/>
                <w:szCs w:val="20"/>
              </w:rPr>
              <w:t xml:space="preserve"> — a coverage gap.</w:t>
            </w:r>
          </w:p>
        </w:tc>
      </w:tr>
    </w:tbl>
    <w:p>
      <w:pPr>
        <w:spacing w:after="100"/>
      </w:pPr>
    </w:p>
    <w:p>
      <w:pPr>
        <w:spacing w:after="100" w:line="240"/>
        <w:jc w:val="both"/>
      </w:pPr>
      <w:r>
        <w:rPr>
          <w:rFonts w:ascii="Times New Roman" w:cs="Times New Roman" w:eastAsia="Times New Roman" w:hAnsi="Times New Roman"/>
          <w:sz w:val="20"/>
          <w:szCs w:val="20"/>
        </w:rPr>
        <w:t xml:space="preserve">The comparison is instructive precisely because Sudarshan’s own dynamic run failed. Zenbox reached a materially deeper execution state and observed the behaviours Sudarshan only inferred. Sudarshan’s Execution Assertion Matrix recorded 0/6 preconditions and labelled the run accordingly, rather than reporting a low behavioural score — which is the designed behaviour, and the reason the sample was still escalated.</w:t>
      </w:r>
    </w:p>
    <w:p>
      <w:pPr>
        <w:spacing w:after="100" w:line="240"/>
        <w:ind w:firstLine="288"/>
        <w:jc w:val="both"/>
      </w:pPr>
      <w:r>
        <w:rPr>
          <w:rFonts w:ascii="Times New Roman" w:cs="Times New Roman" w:eastAsia="Times New Roman" w:hAnsi="Times New Roman"/>
          <w:sz w:val="20"/>
          <w:szCs w:val="20"/>
        </w:rPr>
        <w:t xml:space="preserve">Numeric verdicts across the three tools (Sudarshan FRS 46.3; vxCube “Zenbox Android Verdict” 52/100 carrying a </w:t>
      </w:r>
      <w:r>
        <w:rPr>
          <w:rFonts w:ascii="Times New Roman" w:cs="Times New Roman" w:eastAsia="Times New Roman" w:hAnsi="Times New Roman"/>
          <w:i/>
          <w:iCs/>
          <w:sz w:val="20"/>
          <w:szCs w:val="20"/>
        </w:rPr>
        <w:t xml:space="preserve">Non Malicious</w:t>
      </w:r>
      <w:r>
        <w:rPr>
          <w:rFonts w:ascii="Times New Roman" w:cs="Times New Roman" w:eastAsia="Times New Roman" w:hAnsi="Times New Roman"/>
          <w:sz w:val="20"/>
          <w:szCs w:val="20"/>
        </w:rPr>
        <w:t xml:space="preserve"> label) are </w:t>
      </w:r>
      <w:r>
        <w:rPr>
          <w:rFonts w:ascii="Times New Roman" w:cs="Times New Roman" w:eastAsia="Times New Roman" w:hAnsi="Times New Roman"/>
          <w:b/>
          <w:bCs/>
          <w:sz w:val="20"/>
          <w:szCs w:val="20"/>
        </w:rPr>
        <w:t xml:space="preserve">not comparable</w:t>
      </w:r>
      <w:r>
        <w:rPr>
          <w:rFonts w:ascii="Times New Roman" w:cs="Times New Roman" w:eastAsia="Times New Roman" w:hAnsi="Times New Roman"/>
          <w:sz w:val="20"/>
          <w:szCs w:val="20"/>
        </w:rPr>
        <w:t xml:space="preserve">: they are different formulae over different evidence, and no accuracy figure is derived from their relationship anywhere in this report.</w:t>
      </w:r>
    </w:p>
    <w:p>
      <w:pPr>
        <w:spacing w:after="80" w:before="160"/>
      </w:pPr>
      <w:r>
        <w:rPr>
          <w:rFonts w:ascii="Times New Roman" w:cs="Times New Roman" w:eastAsia="Times New Roman" w:hAnsi="Times New Roman"/>
          <w:i/>
          <w:iCs/>
          <w:sz w:val="20"/>
          <w:szCs w:val="20"/>
        </w:rPr>
        <w:t xml:space="preserve">C. Arithmetic verification of the renormalisation</w:t>
      </w:r>
    </w:p>
    <w:p>
      <w:pPr>
        <w:spacing w:after="60" w:line="240"/>
        <w:jc w:val="both"/>
      </w:pPr>
      <w:r>
        <w:rPr>
          <w:rFonts w:ascii="Times New Roman" w:cs="Times New Roman" w:eastAsia="Times New Roman" w:hAnsi="Times New Roman"/>
          <w:sz w:val="20"/>
          <w:szCs w:val="20"/>
        </w:rPr>
        <w:t xml:space="preserve">The two independently produced Teabot scores validate the FRS equation numerically. In the case-report run, the dynamic axis was excluded and correlation was live at 18.67 with banking impact 36.00:</w:t>
      </w:r>
    </w:p>
    <w:p>
      <w:pPr>
        <w:spacing w:after="100" w:before="100"/>
        <w:jc w:val="center"/>
      </w:pPr>
      <w:r>
        <w:rPr>
          <w:rFonts w:ascii="Times New Roman" w:cs="Times New Roman" w:eastAsia="Times New Roman" w:hAnsi="Times New Roman"/>
          <w:i w:val="false"/>
          <w:iCs w:val="false"/>
          <w:sz w:val="20"/>
          <w:szCs w:val="20"/>
        </w:rPr>
        <w:t xml:space="preserve">[ 0.25(76.59) + 0.20(18.67) + 0.20(36.00) ] / 0.65 = 46.28</w:t>
      </w:r>
      <w:r>
        <w:ptab w:alignment="right" w:relativeTo="margin" w:leader="none"/>
      </w:r>
      <w:r>
        <w:rPr>
          <w:rFonts w:ascii="Times New Roman" w:cs="Times New Roman" w:eastAsia="Times New Roman" w:hAnsi="Times New Roman"/>
          <w:sz w:val="20"/>
          <w:szCs w:val="20"/>
        </w:rPr>
        <w:t xml:space="preserve">(14)</w:t>
      </w:r>
    </w:p>
    <w:p>
      <w:pPr>
        <w:spacing w:after="60" w:line="240"/>
        <w:ind w:firstLine="288"/>
        <w:jc w:val="both"/>
      </w:pPr>
      <w:r>
        <w:rPr>
          <w:rFonts w:ascii="Times New Roman" w:cs="Times New Roman" w:eastAsia="Times New Roman" w:hAnsi="Times New Roman"/>
          <w:sz w:val="20"/>
          <w:szCs w:val="20"/>
        </w:rPr>
        <w:t xml:space="preserve">In the corpus run, correlation was </w:t>
      </w:r>
      <w:r>
        <w:rPr>
          <w:rFonts w:ascii="Times New Roman" w:cs="Times New Roman" w:eastAsia="Times New Roman" w:hAnsi="Times New Roman"/>
          <w:i/>
          <w:iCs/>
          <w:sz w:val="20"/>
          <w:szCs w:val="20"/>
        </w:rPr>
        <w:t xml:space="preserve">also</w:t>
      </w:r>
      <w:r>
        <w:rPr>
          <w:rFonts w:ascii="Times New Roman" w:cs="Times New Roman" w:eastAsia="Times New Roman" w:hAnsi="Times New Roman"/>
          <w:sz w:val="20"/>
          <w:szCs w:val="20"/>
        </w:rPr>
        <w:t xml:space="preserve"> excluded:</w:t>
      </w:r>
    </w:p>
    <w:p>
      <w:pPr>
        <w:spacing w:after="100" w:before="100"/>
        <w:jc w:val="center"/>
      </w:pPr>
      <w:r>
        <w:rPr>
          <w:rFonts w:ascii="Times New Roman" w:cs="Times New Roman" w:eastAsia="Times New Roman" w:hAnsi="Times New Roman"/>
          <w:i w:val="false"/>
          <w:iCs w:val="false"/>
          <w:sz w:val="20"/>
          <w:szCs w:val="20"/>
        </w:rPr>
        <w:t xml:space="preserve">[ 0.25(76.59) + 0.20(62.35) ] / 0.45 = 70.26</w:t>
      </w:r>
      <w:r>
        <w:ptab w:alignment="right" w:relativeTo="margin" w:leader="none"/>
      </w:r>
      <w:r>
        <w:rPr>
          <w:rFonts w:ascii="Times New Roman" w:cs="Times New Roman" w:eastAsia="Times New Roman" w:hAnsi="Times New Roman"/>
          <w:sz w:val="20"/>
          <w:szCs w:val="20"/>
        </w:rPr>
        <w:t xml:space="preserve">(15)</w:t>
      </w:r>
    </w:p>
    <w:p>
      <w:pPr>
        <w:spacing w:after="100" w:line="240"/>
        <w:ind w:firstLine="288"/>
        <w:jc w:val="both"/>
      </w:pPr>
      <w:r>
        <w:rPr>
          <w:rFonts w:ascii="Times New Roman" w:cs="Times New Roman" w:eastAsia="Times New Roman" w:hAnsi="Times New Roman"/>
          <w:sz w:val="20"/>
          <w:szCs w:val="20"/>
        </w:rPr>
        <w:t xml:space="preserve">Both reproduce the published values exactly, from the same STEI of 76.59.</w:t>
      </w:r>
    </w:p>
    <w:p>
      <w:pPr>
        <w:spacing w:after="100" w:line="240"/>
        <w:ind w:firstLine="288"/>
        <w:jc w:val="both"/>
      </w:pPr>
      <w:r>
        <w:rPr>
          <w:rFonts w:ascii="Times New Roman" w:cs="Times New Roman" w:eastAsia="Times New Roman" w:hAnsi="Times New Roman"/>
          <w:sz w:val="20"/>
          <w:szCs w:val="20"/>
        </w:rPr>
        <w:t xml:space="preserve">This also exposes a genuine reporting defect worth stating plainly: the case report renders its working as 0.25 × 76.59 + 0.35 × 0.00 + 0.20 × 18.67 + 0.20 × 36.00 = 46.28, which does not evaluate to 46.28 — it evaluates to 30.08. The </w:t>
      </w:r>
      <w:r>
        <w:rPr>
          <w:rFonts w:ascii="Times New Roman" w:cs="Times New Roman" w:eastAsia="Times New Roman" w:hAnsi="Times New Roman"/>
          <w:i/>
          <w:iCs/>
          <w:sz w:val="20"/>
          <w:szCs w:val="20"/>
        </w:rPr>
        <w:t xml:space="preserve">engine</w:t>
      </w:r>
      <w:r>
        <w:rPr>
          <w:rFonts w:ascii="Times New Roman" w:cs="Times New Roman" w:eastAsia="Times New Roman" w:hAnsi="Times New Roman"/>
          <w:sz w:val="20"/>
          <w:szCs w:val="20"/>
        </w:rPr>
        <w:t xml:space="preserve"> performed the renormalisation correctly; the report template prints the nominal weights without the denominator. The arithmetic shown to an analyst must match the arithmetic performed.</w:t>
      </w:r>
    </w:p>
    <w:p>
      <w:pPr>
        <w:spacing w:after="100" w:line="240"/>
        <w:ind w:firstLine="288"/>
        <w:jc w:val="both"/>
      </w:pPr>
      <w:r>
        <w:rPr>
          <w:rFonts w:ascii="Times New Roman" w:cs="Times New Roman" w:eastAsia="Times New Roman" w:hAnsi="Times New Roman"/>
          <w:sz w:val="20"/>
          <w:szCs w:val="20"/>
        </w:rPr>
        <w:t xml:space="preserve">The comparison of equations (14) and (15) is the clearest available demonstration of what the guard is worth: the same binary, with the same static evidence, moves from 46.28 (</w:t>
      </w:r>
      <w:r>
        <w:rPr>
          <w:rFonts w:ascii="Times New Roman" w:cs="Times New Roman" w:eastAsia="Times New Roman" w:hAnsi="Times New Roman"/>
          <w:i/>
          <w:iCs/>
          <w:sz w:val="20"/>
          <w:szCs w:val="20"/>
        </w:rPr>
        <w:t xml:space="preserve">Suspicious</w:t>
      </w:r>
      <w:r>
        <w:rPr>
          <w:rFonts w:ascii="Times New Roman" w:cs="Times New Roman" w:eastAsia="Times New Roman" w:hAnsi="Times New Roman"/>
          <w:sz w:val="20"/>
          <w:szCs w:val="20"/>
        </w:rPr>
        <w:t xml:space="preserve">) to 70.26 (</w:t>
      </w:r>
      <w:r>
        <w:rPr>
          <w:rFonts w:ascii="Times New Roman" w:cs="Times New Roman" w:eastAsia="Times New Roman" w:hAnsi="Times New Roman"/>
          <w:i/>
          <w:iCs/>
          <w:sz w:val="20"/>
          <w:szCs w:val="20"/>
        </w:rPr>
        <w:t xml:space="preserve">High Risk</w:t>
      </w:r>
      <w:r>
        <w:rPr>
          <w:rFonts w:ascii="Times New Roman" w:cs="Times New Roman" w:eastAsia="Times New Roman" w:hAnsi="Times New Roman"/>
          <w:sz w:val="20"/>
          <w:szCs w:val="20"/>
        </w:rPr>
        <w:t xml:space="preserve">) purely by declining to average an empty axis into the result.</w:t>
      </w:r>
    </w:p>
    <w:p>
      <w:pPr>
        <w:spacing w:after="120" w:before="240"/>
        <w:jc w:val="center"/>
      </w:pPr>
      <w:r>
        <w:rPr>
          <w:rFonts w:ascii="Times New Roman" w:cs="Times New Roman" w:eastAsia="Times New Roman" w:hAnsi="Times New Roman"/>
          <w:caps/>
          <w:sz w:val="20"/>
          <w:szCs w:val="20"/>
        </w:rPr>
        <w:t xml:space="preserve">VII.  ADVERSARIAL REVIEW: DISCREPANCIES AND LIMITATIONS</w:t>
      </w:r>
    </w:p>
    <w:p>
      <w:pPr>
        <w:spacing w:after="100" w:line="240"/>
        <w:jc w:val="both"/>
      </w:pPr>
      <w:r>
        <w:rPr>
          <w:rFonts w:ascii="Times New Roman" w:cs="Times New Roman" w:eastAsia="Times New Roman" w:hAnsi="Times New Roman"/>
          <w:sz w:val="20"/>
          <w:szCs w:val="20"/>
        </w:rPr>
        <w:t xml:space="preserve">The following were identified by reviewing the project’s own design notes against the implemented code. In each case the code is authoritative and the design note is wrong. They are reported here rather than omitted because a prototype report that overstates its own mechanisms is not usable as an engineering baseline.</w:t>
      </w:r>
    </w:p>
    <w:p>
      <w:pPr>
        <w:spacing w:after="100" w:line="240"/>
        <w:ind w:firstLine="288"/>
        <w:jc w:val="both"/>
      </w:pPr>
      <w:r>
        <w:rPr>
          <w:rFonts w:ascii="Times New Roman" w:cs="Times New Roman" w:eastAsia="Times New Roman" w:hAnsi="Times New Roman"/>
          <w:b/>
          <w:bCs/>
          <w:sz w:val="20"/>
          <w:szCs w:val="20"/>
        </w:rPr>
        <w:t xml:space="preserve">1. The published two-axis FRS formula is not what runs.</w:t>
      </w:r>
      <w:r>
        <w:rPr>
          <w:rFonts w:ascii="Times New Roman" w:cs="Times New Roman" w:eastAsia="Times New Roman" w:hAnsi="Times New Roman"/>
          <w:sz w:val="20"/>
          <w:szCs w:val="20"/>
        </w:rPr>
        <w:t xml:space="preserve"> Design notes state FRS = (0.65·STEI + 0.35·BFCI) · M</w:t>
      </w:r>
      <w:r>
        <w:rPr>
          <w:rFonts w:ascii="Times New Roman" w:cs="Times New Roman" w:eastAsia="Times New Roman" w:hAnsi="Times New Roman"/>
          <w:sz w:val="20"/>
          <w:szCs w:val="20"/>
          <w:vertAlign w:val="subscript"/>
        </w:rPr>
        <w:t xml:space="preserve">AI</w:t>
      </w:r>
      <w:r>
        <w:rPr>
          <w:rFonts w:ascii="Times New Roman" w:cs="Times New Roman" w:eastAsia="Times New Roman" w:hAnsi="Times New Roman"/>
          <w:sz w:val="20"/>
          <w:szCs w:val="20"/>
        </w:rPr>
        <w:t xml:space="preserve"> with a static fallback of 1.0 × STEI. The implementation is the four-axis renormalised mean of equation (12), and the static-only case renormalises STEI to 0.556 and banking impact to 0.444 — not to 1.0. This is verifiable in the corpus record’s </w:t>
      </w:r>
      <w:r>
        <w:rPr>
          <w:rFonts w:ascii="Courier New" w:cs="Courier New" w:eastAsia="Courier New" w:hAnsi="Courier New"/>
          <w:sz w:val="18"/>
          <w:szCs w:val="18"/>
        </w:rPr>
        <w:t xml:space="preserve">axes_used</w:t>
      </w:r>
      <w:r>
        <w:rPr>
          <w:rFonts w:ascii="Times New Roman" w:cs="Times New Roman" w:eastAsia="Times New Roman" w:hAnsi="Times New Roman"/>
          <w:sz w:val="20"/>
          <w:szCs w:val="20"/>
        </w:rPr>
        <w:t xml:space="preserve"> field on every sample. The implemented form is the stronger design; the notes should be corrected to match it.</w:t>
      </w:r>
    </w:p>
    <w:p>
      <w:pPr>
        <w:spacing w:after="100" w:line="240"/>
        <w:ind w:firstLine="288"/>
        <w:jc w:val="both"/>
      </w:pPr>
      <w:r>
        <w:rPr>
          <w:rFonts w:ascii="Times New Roman" w:cs="Times New Roman" w:eastAsia="Times New Roman" w:hAnsi="Times New Roman"/>
          <w:b/>
          <w:bCs/>
          <w:sz w:val="20"/>
          <w:szCs w:val="20"/>
        </w:rPr>
        <w:t xml:space="preserve">2. Time Warp is a clock offset, not a 100× accelerator.</w:t>
      </w:r>
      <w:r>
        <w:rPr>
          <w:rFonts w:ascii="Times New Roman" w:cs="Times New Roman" w:eastAsia="Times New Roman" w:hAnsi="Times New Roman"/>
          <w:sz w:val="20"/>
          <w:szCs w:val="20"/>
        </w:rPr>
        <w:t xml:space="preserve"> Design notes describe hooking </w:t>
      </w:r>
      <w:r>
        <w:rPr>
          <w:rFonts w:ascii="Courier New" w:cs="Courier New" w:eastAsia="Courier New" w:hAnsi="Courier New"/>
          <w:sz w:val="18"/>
          <w:szCs w:val="18"/>
        </w:rPr>
        <w:t xml:space="preserve">Thread.sleep</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SystemClock.sleep</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Handler.postDelayed</w:t>
      </w:r>
      <w:r>
        <w:rPr>
          <w:rFonts w:ascii="Times New Roman" w:cs="Times New Roman" w:eastAsia="Times New Roman" w:hAnsi="Times New Roman"/>
          <w:sz w:val="20"/>
          <w:szCs w:val="20"/>
        </w:rPr>
        <w:t xml:space="preserve"> with a 100× multiplier. No such hook exists: </w:t>
      </w:r>
      <w:r>
        <w:rPr>
          <w:rFonts w:ascii="Courier New" w:cs="Courier New" w:eastAsia="Courier New" w:hAnsi="Courier New"/>
          <w:sz w:val="18"/>
          <w:szCs w:val="18"/>
        </w:rPr>
        <w:t xml:space="preserve">time_warp.js</w:t>
      </w:r>
      <w:r>
        <w:rPr>
          <w:rFonts w:ascii="Times New Roman" w:cs="Times New Roman" w:eastAsia="Times New Roman" w:hAnsi="Times New Roman"/>
          <w:sz w:val="20"/>
          <w:szCs w:val="20"/>
        </w:rPr>
        <w:t xml:space="preserve"> hooks clock </w:t>
      </w:r>
      <w:r>
        <w:rPr>
          <w:rFonts w:ascii="Times New Roman" w:cs="Times New Roman" w:eastAsia="Times New Roman" w:hAnsi="Times New Roman"/>
          <w:i/>
          <w:iCs/>
          <w:sz w:val="20"/>
          <w:szCs w:val="20"/>
        </w:rPr>
        <w:t xml:space="preserve">accessors</w:t>
      </w:r>
      <w:r>
        <w:rPr>
          <w:rFonts w:ascii="Times New Roman" w:cs="Times New Roman" w:eastAsia="Times New Roman" w:hAnsi="Times New Roman"/>
          <w:sz w:val="20"/>
          <w:szCs w:val="20"/>
        </w:rPr>
        <w:t xml:space="preserve"> and applies an additive offset. A sample that calls </w:t>
      </w:r>
      <w:r>
        <w:rPr>
          <w:rFonts w:ascii="Courier New" w:cs="Courier New" w:eastAsia="Courier New" w:hAnsi="Courier New"/>
          <w:sz w:val="18"/>
          <w:szCs w:val="18"/>
        </w:rPr>
        <w:t xml:space="preserve">Thread.sleep(300000)</w:t>
      </w:r>
      <w:r>
        <w:rPr>
          <w:rFonts w:ascii="Times New Roman" w:cs="Times New Roman" w:eastAsia="Times New Roman" w:hAnsi="Times New Roman"/>
          <w:sz w:val="20"/>
          <w:szCs w:val="20"/>
        </w:rPr>
        <w:t xml:space="preserve"> directly still blocks for five real minutes. The offset defeats </w:t>
      </w:r>
      <w:r>
        <w:rPr>
          <w:rFonts w:ascii="Times New Roman" w:cs="Times New Roman" w:eastAsia="Times New Roman" w:hAnsi="Times New Roman"/>
          <w:i/>
          <w:iCs/>
          <w:sz w:val="20"/>
          <w:szCs w:val="20"/>
        </w:rPr>
        <w:t xml:space="preserve">elapsed-time comparisons</w:t>
      </w:r>
      <w:r>
        <w:rPr>
          <w:rFonts w:ascii="Times New Roman" w:cs="Times New Roman" w:eastAsia="Times New Roman" w:hAnsi="Times New Roman"/>
          <w:sz w:val="20"/>
          <w:szCs w:val="20"/>
        </w:rPr>
        <w:t xml:space="preserve">, which is the more common dormancy pattern, but the gap is real and sleep interception is genuine future work.</w:t>
      </w:r>
    </w:p>
    <w:p>
      <w:pPr>
        <w:spacing w:after="100" w:line="240"/>
        <w:ind w:firstLine="288"/>
        <w:jc w:val="both"/>
      </w:pPr>
      <w:r>
        <w:rPr>
          <w:rFonts w:ascii="Times New Roman" w:cs="Times New Roman" w:eastAsia="Times New Roman" w:hAnsi="Times New Roman"/>
          <w:b/>
          <w:bCs/>
          <w:sz w:val="20"/>
          <w:szCs w:val="20"/>
        </w:rPr>
        <w:t xml:space="preserve">3. The colour threshold is not ΔE &lt; 10.</w:t>
      </w:r>
      <w:r>
        <w:rPr>
          <w:rFonts w:ascii="Times New Roman" w:cs="Times New Roman" w:eastAsia="Times New Roman" w:hAnsi="Times New Roman"/>
          <w:sz w:val="20"/>
          <w:szCs w:val="20"/>
        </w:rPr>
        <w:t xml:space="preserve"> The implemented band is a graded decay from τ</w:t>
      </w:r>
      <w:r>
        <w:rPr>
          <w:rFonts w:ascii="Times New Roman" w:cs="Times New Roman" w:eastAsia="Times New Roman" w:hAnsi="Times New Roman"/>
          <w:sz w:val="20"/>
          <w:szCs w:val="20"/>
          <w:vertAlign w:val="subscript"/>
        </w:rPr>
        <w:t xml:space="preserve">id</w:t>
      </w:r>
      <w:r>
        <w:rPr>
          <w:rFonts w:ascii="Times New Roman" w:cs="Times New Roman" w:eastAsia="Times New Roman" w:hAnsi="Times New Roman"/>
          <w:sz w:val="20"/>
          <w:szCs w:val="20"/>
        </w:rPr>
        <w:t xml:space="preserve"> = 3.5 to τ</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 18.0 over CIEDE2000, not a hard cut at 10 over an unspecified ΔE variant (equation 2).</w:t>
      </w:r>
    </w:p>
    <w:p>
      <w:pPr>
        <w:spacing w:after="100" w:line="240"/>
        <w:ind w:firstLine="288"/>
        <w:jc w:val="both"/>
      </w:pPr>
      <w:r>
        <w:rPr>
          <w:rFonts w:ascii="Times New Roman" w:cs="Times New Roman" w:eastAsia="Times New Roman" w:hAnsi="Times New Roman"/>
          <w:b/>
          <w:bCs/>
          <w:sz w:val="20"/>
          <w:szCs w:val="20"/>
        </w:rPr>
        <w:t xml:space="preserve">4. The MITRE identifiers in the design notes are deprecated.</w:t>
      </w:r>
      <w:r>
        <w:rPr>
          <w:rFonts w:ascii="Times New Roman" w:cs="Times New Roman" w:eastAsia="Times New Roman" w:hAnsi="Times New Roman"/>
          <w:sz w:val="20"/>
          <w:szCs w:val="20"/>
        </w:rPr>
        <w:t xml:space="preserve"> Notes cite T1412 (SMS capture), T1444 (masquerade), T1411 (input prompt) — all retired from ATT&amp;CK for Mobile in v9. The implemented mapper (</w:t>
      </w:r>
      <w:r>
        <w:rPr>
          <w:rFonts w:ascii="Courier New" w:cs="Courier New" w:eastAsia="Courier New" w:hAnsi="Courier New"/>
          <w:sz w:val="18"/>
          <w:szCs w:val="18"/>
        </w:rPr>
        <w:t xml:space="preserve">engines/mitre_mapper.py</w:t>
      </w:r>
      <w:r>
        <w:rPr>
          <w:rFonts w:ascii="Times New Roman" w:cs="Times New Roman" w:eastAsia="Times New Roman" w:hAnsi="Times New Roman"/>
          <w:sz w:val="20"/>
          <w:szCs w:val="20"/>
        </w:rPr>
        <w:t xml:space="preserve">) uses current identifiers and emits a valid Navigator v4.5 layer against ATT&amp;CK v14: T1417.001 (Input Capture: GUI), T1417.002 (Input Injection), T1582 (SMS Control), T1636.004 (Protected User Data: SMS), T1407 (Download New Code at Runtime), T1626.001 (Device Admin), T1437.001 (Web Protocols), T1634 (Credentials from Password Store), T1497.001 (Sandbox Evasion: System Checks). Two entries carry acknowledged in-code caveats: </w:t>
      </w:r>
      <w:r>
        <w:rPr>
          <w:rFonts w:ascii="Courier New" w:cs="Courier New" w:eastAsia="Courier New" w:hAnsi="Courier New"/>
          <w:sz w:val="18"/>
          <w:szCs w:val="18"/>
        </w:rPr>
        <w:t xml:space="preserve">WindowManager.addView</w:t>
      </w:r>
      <w:r>
        <w:rPr>
          <w:rFonts w:ascii="Times New Roman" w:cs="Times New Roman" w:eastAsia="Times New Roman" w:hAnsi="Times New Roman"/>
          <w:sz w:val="20"/>
          <w:szCs w:val="20"/>
        </w:rPr>
        <w:t xml:space="preserve"> is mapped to T1416, which is a defensible but not exact fit for overlay abuse, and </w:t>
      </w:r>
      <w:r>
        <w:rPr>
          <w:rFonts w:ascii="Courier New" w:cs="Courier New" w:eastAsia="Courier New" w:hAnsi="Courier New"/>
          <w:sz w:val="18"/>
          <w:szCs w:val="18"/>
        </w:rPr>
        <w:t xml:space="preserve">lockNow</w:t>
      </w:r>
      <w:r>
        <w:rPr>
          <w:rFonts w:ascii="Times New Roman" w:cs="Times New Roman" w:eastAsia="Times New Roman" w:hAnsi="Times New Roman"/>
          <w:sz w:val="20"/>
          <w:szCs w:val="20"/>
        </w:rPr>
        <w:t xml:space="preserve"> is filed under device-admin abuse rather than a ransomware technique.</w:t>
      </w:r>
    </w:p>
    <w:p>
      <w:pPr>
        <w:spacing w:after="100" w:line="240"/>
        <w:ind w:firstLine="288"/>
        <w:jc w:val="both"/>
      </w:pPr>
      <w:r>
        <w:rPr>
          <w:rFonts w:ascii="Times New Roman" w:cs="Times New Roman" w:eastAsia="Times New Roman" w:hAnsi="Times New Roman"/>
          <w:b/>
          <w:bCs/>
          <w:sz w:val="20"/>
          <w:szCs w:val="20"/>
        </w:rPr>
        <w:t xml:space="preserve">5. CH06 is fail-closed but not yet fingerprint-verifying.</w:t>
      </w:r>
      <w:r>
        <w:rPr>
          <w:rFonts w:ascii="Times New Roman" w:cs="Times New Roman" w:eastAsia="Times New Roman" w:hAnsi="Times New Roman"/>
          <w:sz w:val="20"/>
          <w:szCs w:val="20"/>
        </w:rPr>
        <w:t xml:space="preserve"> All 12 registry entries hold zero provisioned canonical signers. The rule therefore rejects any APK claiming a protected package name, which is correct fail-closed behaviour but is not the certificate comparison the design describes. Provisioning the 12 release fingerprints is the single highest-value outstanding task, and it is a data task, not an engineering one.</w:t>
      </w:r>
    </w:p>
    <w:p>
      <w:pPr>
        <w:spacing w:after="100" w:line="240"/>
        <w:ind w:firstLine="288"/>
        <w:jc w:val="both"/>
      </w:pPr>
      <w:r>
        <w:rPr>
          <w:rFonts w:ascii="Times New Roman" w:cs="Times New Roman" w:eastAsia="Times New Roman" w:hAnsi="Times New Roman"/>
          <w:b/>
          <w:bCs/>
          <w:sz w:val="20"/>
          <w:szCs w:val="20"/>
        </w:rPr>
        <w:t xml:space="preserve">6. VIDE baselines are three lab fixtures.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data/ui_baselines/</w:t>
      </w:r>
      <w:r>
        <w:rPr>
          <w:rFonts w:ascii="Times New Roman" w:cs="Times New Roman" w:eastAsia="Times New Roman" w:hAnsi="Times New Roman"/>
          <w:sz w:val="20"/>
          <w:szCs w:val="20"/>
        </w:rPr>
        <w:t xml:space="preserve"> contains </w:t>
      </w:r>
      <w:r>
        <w:rPr>
          <w:rFonts w:ascii="Courier New" w:cs="Courier New" w:eastAsia="Courier New" w:hAnsi="Courier New"/>
          <w:sz w:val="18"/>
          <w:szCs w:val="18"/>
        </w:rPr>
        <w:t xml:space="preserve">demo_sbi_yono</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demo_hdfc_mobile</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demo_icici_imobile</w:t>
      </w:r>
      <w:r>
        <w:rPr>
          <w:rFonts w:ascii="Times New Roman" w:cs="Times New Roman" w:eastAsia="Times New Roman" w:hAnsi="Times New Roman"/>
          <w:sz w:val="20"/>
          <w:szCs w:val="20"/>
        </w:rPr>
        <w:t xml:space="preserve">, each versioned </w:t>
      </w:r>
      <w:r>
        <w:rPr>
          <w:rFonts w:ascii="Courier New" w:cs="Courier New" w:eastAsia="Courier New" w:hAnsi="Courier New"/>
          <w:sz w:val="18"/>
          <w:szCs w:val="18"/>
        </w:rPr>
        <w:t xml:space="preserve">1.0.0-hackathon</w:t>
      </w:r>
      <w:r>
        <w:rPr>
          <w:rFonts w:ascii="Times New Roman" w:cs="Times New Roman" w:eastAsia="Times New Roman" w:hAnsi="Times New Roman"/>
          <w:sz w:val="20"/>
          <w:szCs w:val="20"/>
        </w:rPr>
        <w:t xml:space="preserve"> with roughly ten strings, a seven-node view sequence, and a three-colour palette. They are sufficient to exercise the engine end-to-end and to demonstrate the mathematics, and they are not a production baseline corpus. Notably BOI is present in the </w:t>
      </w:r>
      <w:r>
        <w:rPr>
          <w:rFonts w:ascii="Times New Roman" w:cs="Times New Roman" w:eastAsia="Times New Roman" w:hAnsi="Times New Roman"/>
          <w:i/>
          <w:iCs/>
          <w:sz w:val="20"/>
          <w:szCs w:val="20"/>
        </w:rPr>
        <w:t xml:space="preserve">signer</w:t>
      </w:r>
      <w:r>
        <w:rPr>
          <w:rFonts w:ascii="Times New Roman" w:cs="Times New Roman" w:eastAsia="Times New Roman" w:hAnsi="Times New Roman"/>
          <w:sz w:val="20"/>
          <w:szCs w:val="20"/>
        </w:rPr>
        <w:t xml:space="preserve"> registry but has no </w:t>
      </w:r>
      <w:r>
        <w:rPr>
          <w:rFonts w:ascii="Times New Roman" w:cs="Times New Roman" w:eastAsia="Times New Roman" w:hAnsi="Times New Roman"/>
          <w:i/>
          <w:iCs/>
          <w:sz w:val="20"/>
          <w:szCs w:val="20"/>
        </w:rPr>
        <w:t xml:space="preserve">UI</w:t>
      </w:r>
      <w:r>
        <w:rPr>
          <w:rFonts w:ascii="Times New Roman" w:cs="Times New Roman" w:eastAsia="Times New Roman" w:hAnsi="Times New Roman"/>
          <w:sz w:val="20"/>
          <w:szCs w:val="20"/>
        </w:rPr>
        <w:t xml:space="preserve"> baseline. VIDE was not exercised in the corpus run, so no measured VIDE detection rate is claimed anywhere in this report.</w:t>
      </w:r>
    </w:p>
    <w:p>
      <w:pPr>
        <w:spacing w:after="100" w:line="240"/>
        <w:ind w:firstLine="288"/>
        <w:jc w:val="both"/>
      </w:pPr>
      <w:r>
        <w:rPr>
          <w:rFonts w:ascii="Times New Roman" w:cs="Times New Roman" w:eastAsia="Times New Roman" w:hAnsi="Times New Roman"/>
          <w:b/>
          <w:bCs/>
          <w:sz w:val="20"/>
          <w:szCs w:val="20"/>
        </w:rPr>
        <w:t xml:space="preserve">7. Score separability is unproven.</w:t>
      </w:r>
      <w:r>
        <w:rPr>
          <w:rFonts w:ascii="Times New Roman" w:cs="Times New Roman" w:eastAsia="Times New Roman" w:hAnsi="Times New Roman"/>
          <w:sz w:val="20"/>
          <w:szCs w:val="20"/>
        </w:rPr>
        <w:t xml:space="preserve"> Restated from Section VI-A because it is the most consequential limitation: the perfect corpus result rests on evidence-gating floors, not on the continuous score, and the class score ranges overlap. Corpus size (n = 17) is also small enough that the confidence interval around a 1.00 precision estimate is wide.</w:t>
      </w:r>
    </w:p>
    <w:p>
      <w:pPr>
        <w:spacing w:after="100" w:line="240"/>
        <w:ind w:firstLine="288"/>
        <w:jc w:val="both"/>
      </w:pPr>
      <w:r>
        <w:rPr>
          <w:rFonts w:ascii="Times New Roman" w:cs="Times New Roman" w:eastAsia="Times New Roman" w:hAnsi="Times New Roman"/>
          <w:b/>
          <w:bCs/>
          <w:sz w:val="20"/>
          <w:szCs w:val="20"/>
        </w:rPr>
        <w:t xml:space="preserve">8. Published latency figures are unverified.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BENCHMARKS.md</w:t>
      </w:r>
      <w:r>
        <w:rPr>
          <w:rFonts w:ascii="Times New Roman" w:cs="Times New Roman" w:eastAsia="Times New Roman" w:hAnsi="Times New Roman"/>
          <w:sz w:val="20"/>
          <w:szCs w:val="20"/>
        </w:rPr>
        <w:t xml:space="preserve"> carries an explicit warning that its latency, RAM and CPU figures were not re-measured in the 2026-08-11 audit. No performance figure from that document is cited as verified in this report.</w:t>
      </w:r>
    </w:p>
    <w:p>
      <w:pPr>
        <w:spacing w:after="80" w:before="160"/>
      </w:pPr>
      <w:r>
        <w:rPr>
          <w:rFonts w:ascii="Times New Roman" w:cs="Times New Roman" w:eastAsia="Times New Roman" w:hAnsi="Times New Roman"/>
          <w:i/>
          <w:iCs/>
          <w:sz w:val="20"/>
          <w:szCs w:val="20"/>
        </w:rPr>
        <w:t xml:space="preserve">A. What the review confirms</w:t>
      </w:r>
    </w:p>
    <w:p>
      <w:pPr>
        <w:spacing w:after="100" w:line="240"/>
        <w:jc w:val="both"/>
      </w:pPr>
      <w:r>
        <w:rPr>
          <w:rFonts w:ascii="Times New Roman" w:cs="Times New Roman" w:eastAsia="Times New Roman" w:hAnsi="Times New Roman"/>
          <w:sz w:val="20"/>
          <w:szCs w:val="20"/>
        </w:rPr>
        <w:t xml:space="preserve">Set against those eight items, the following are implemented as described and were verified directly in code and in machine-generated output: the five-axis STEI and its weights; the six-category BFCI with logarithmic volume scaling and temporal chain detection; axis exclusion and renormalisation with preserved exclusion reasons; all four verdict floors; the six-assertion Execution Assertion Matrix with per-assertion remediation text; CIEDE2000 colour distance; role-normalised view-hierarchy similarity; the 67-hook instrumentation surface including all three DEX loader paths; deterministic persona expansion; the 12-entry signer registry with fail-closed semantics; and the three-provider threat correlator with cache and unavailability signalling.</w:t>
      </w:r>
    </w:p>
    <w:p>
      <w:pPr>
        <w:spacing w:after="120" w:before="240"/>
        <w:jc w:val="center"/>
      </w:pPr>
      <w:r>
        <w:rPr>
          <w:rFonts w:ascii="Times New Roman" w:cs="Times New Roman" w:eastAsia="Times New Roman" w:hAnsi="Times New Roman"/>
          <w:caps/>
          <w:sz w:val="20"/>
          <w:szCs w:val="20"/>
        </w:rPr>
        <w:t xml:space="preserve">VIII.  REGULATORY ALIGNMENT</w:t>
      </w:r>
    </w:p>
    <w:p>
      <w:pPr>
        <w:spacing w:after="100" w:line="240"/>
        <w:jc w:val="both"/>
      </w:pPr>
      <w:r>
        <w:rPr>
          <w:rFonts w:ascii="Times New Roman" w:cs="Times New Roman" w:eastAsia="Times New Roman" w:hAnsi="Times New Roman"/>
          <w:sz w:val="20"/>
          <w:szCs w:val="20"/>
        </w:rPr>
        <w:t xml:space="preserve">The engine emits banded actions mapped to Indian regulatory expectations (</w:t>
      </w:r>
      <w:r>
        <w:rPr>
          <w:rFonts w:ascii="Courier New" w:cs="Courier New" w:eastAsia="Courier New" w:hAnsi="Courier New"/>
          <w:sz w:val="18"/>
          <w:szCs w:val="18"/>
        </w:rPr>
        <w:t xml:space="preserve">_get_recommended_action</w:t>
      </w:r>
      <w:r>
        <w:rPr>
          <w:rFonts w:ascii="Times New Roman" w:cs="Times New Roman" w:eastAsia="Times New Roman" w:hAnsi="Times New Roman"/>
          <w:sz w:val="20"/>
          <w:szCs w:val="20"/>
        </w:rPr>
        <w:t xml:space="preserve">). A </w:t>
      </w:r>
      <w:r>
        <w:rPr>
          <w:rFonts w:ascii="Courier New" w:cs="Courier New" w:eastAsia="Courier New" w:hAnsi="Courier New"/>
          <w:sz w:val="18"/>
          <w:szCs w:val="18"/>
        </w:rPr>
        <w:t xml:space="preserve">Critical</w:t>
      </w:r>
      <w:r>
        <w:rPr>
          <w:rFonts w:ascii="Times New Roman" w:cs="Times New Roman" w:eastAsia="Times New Roman" w:hAnsi="Times New Roman"/>
          <w:sz w:val="20"/>
          <w:szCs w:val="20"/>
        </w:rPr>
        <w:t xml:space="preserve"> verdict with a named family returns an immediate-block action citing customer advisory obligations under RBI CPG-2022; OTP interception combined with confirmed Indian bank targeting contributes an explicit RBI MDS-2021 regulatory-risk term to the banking-impact axis. Case records carry a chain-of-custody block and an integrity hash, which is the property a CERT-In incident submission requires: not that the verdict be correct, but that it be reproducible from preserved evidence. The determinism of the scoring path is what makes this possible — every score in this report can be recomputed by hand from its published axes.</w:t>
      </w:r>
    </w:p>
    <w:p>
      <w:pPr>
        <w:spacing w:after="120" w:before="240"/>
        <w:jc w:val="center"/>
      </w:pPr>
      <w:r>
        <w:rPr>
          <w:rFonts w:ascii="Times New Roman" w:cs="Times New Roman" w:eastAsia="Times New Roman" w:hAnsi="Times New Roman"/>
          <w:caps/>
          <w:sz w:val="20"/>
          <w:szCs w:val="20"/>
        </w:rPr>
        <w:t xml:space="preserve">IX.  CONCLUSION AND ROADMAP</w:t>
      </w:r>
    </w:p>
    <w:p>
      <w:pPr>
        <w:spacing w:after="100" w:line="240"/>
        <w:jc w:val="both"/>
      </w:pPr>
      <w:r>
        <w:rPr>
          <w:rFonts w:ascii="Times New Roman" w:cs="Times New Roman" w:eastAsia="Times New Roman" w:hAnsi="Times New Roman"/>
          <w:sz w:val="20"/>
          <w:szCs w:val="20"/>
        </w:rPr>
        <w:t xml:space="preserve">Sudarshan is a working prototype whose distinguishing contribution is methodological rather than merely functional. Commercial multi-engine scanners converge with it on static extraction — 100% permission overlap with Zenbox and 100% obfuscation-technique agreement with vxCube on the cross-validated sample — and exceed it on runtime depth when their sandbox reaches a deeper execution state. Where Sudarshan differs is in what it does with an empty result. An axis with no data is excluded and the remaining weights renormalised; a sandbox run that reached no trigger is labelled </w:t>
      </w:r>
      <w:r>
        <w:rPr>
          <w:rFonts w:ascii="Courier New" w:cs="Courier New" w:eastAsia="Courier New" w:hAnsi="Courier New"/>
          <w:sz w:val="18"/>
          <w:szCs w:val="18"/>
        </w:rPr>
        <w:t xml:space="preserve">INCOMPLETE_EXERCISE</w:t>
      </w:r>
      <w:r>
        <w:rPr>
          <w:rFonts w:ascii="Times New Roman" w:cs="Times New Roman" w:eastAsia="Times New Roman" w:hAnsi="Times New Roman"/>
          <w:sz w:val="20"/>
          <w:szCs w:val="20"/>
        </w:rPr>
        <w:t xml:space="preserve"> with per-precondition remediation; a concealed payload that never deployed floors the verdict rather than certifying it. On the labelled corpus these rules are what separate the classes — the continuous score alone does not.</w:t>
      </w:r>
    </w:p>
    <w:p>
      <w:pPr>
        <w:spacing w:after="100" w:line="240"/>
        <w:ind w:firstLine="288"/>
        <w:jc w:val="both"/>
      </w:pPr>
      <w:r>
        <w:rPr>
          <w:rFonts w:ascii="Times New Roman" w:cs="Times New Roman" w:eastAsia="Times New Roman" w:hAnsi="Times New Roman"/>
          <w:sz w:val="20"/>
          <w:szCs w:val="20"/>
        </w:rPr>
        <w:t xml:space="preserve">The prototype is honest about its incompleteness. Eight discrepancies between design intent and implementation are enumerated in Section VII, including two — unprovisioned signer fingerprints and three lab-fixture UI baselines — that gate the VIDE engine’s real-world detection rate, which is consequently not claimed.</w:t>
      </w:r>
    </w:p>
    <w:p>
      <w:pPr>
        <w:spacing w:after="100" w:line="240"/>
        <w:ind w:firstLine="288"/>
        <w:jc w:val="both"/>
      </w:pPr>
      <w:r>
        <w:rPr>
          <w:rFonts w:ascii="Times New Roman" w:cs="Times New Roman" w:eastAsia="Times New Roman" w:hAnsi="Times New Roman"/>
          <w:sz w:val="20"/>
          <w:szCs w:val="20"/>
        </w:rPr>
        <w:t xml:space="preserve">Ordered by value delivered per unit of remaining work, the roadmap is: (i) provision the 12 canonical bank signing fingerprints, converting CH06 from fail-closed rejection to true certificate verification; (ii) build production UI baselines from official Play Store releases, including BOI, and measure a real VIDE detection rate against held-out clones; (iii) add </w:t>
      </w:r>
      <w:r>
        <w:rPr>
          <w:rFonts w:ascii="Courier New" w:cs="Courier New" w:eastAsia="Courier New" w:hAnsi="Courier New"/>
          <w:sz w:val="18"/>
          <w:szCs w:val="18"/>
        </w:rPr>
        <w:t xml:space="preserve">Thread.sleep</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postDelayed</w:t>
      </w:r>
      <w:r>
        <w:rPr>
          <w:rFonts w:ascii="Times New Roman" w:cs="Times New Roman" w:eastAsia="Times New Roman" w:hAnsi="Times New Roman"/>
          <w:sz w:val="20"/>
          <w:szCs w:val="20"/>
        </w:rPr>
        <w:t xml:space="preserve"> interception to close the dormancy gap identified in item 2; (iv) expand the labelled corpus and re-measure with dynamic and VIDE axes live, to establish whether the continuous score becomes separable once the axes that were excluded are actually populated; and (v) fix the report template so the arithmetic shown to an analyst matches the arithmetic the engine performs.</w:t>
      </w:r>
    </w:p>
    <w:p>
      <w:pPr>
        <w:spacing w:after="120" w:before="240"/>
        <w:jc w:val="center"/>
      </w:pPr>
      <w:r>
        <w:rPr>
          <w:rFonts w:ascii="Times New Roman" w:cs="Times New Roman" w:eastAsia="Times New Roman" w:hAnsi="Times New Roman"/>
          <w:sz w:val="20"/>
          <w:szCs w:val="20"/>
        </w:rPr>
        <w:t xml:space="preserve">REFERENCES</w:t>
      </w:r>
    </w:p>
    <w:p>
      <w:pPr>
        <w:spacing w:after="40" w:line="200"/>
        <w:ind w:left="320" w:hanging="320"/>
        <w:jc w:val="both"/>
      </w:pPr>
      <w:r>
        <w:rPr>
          <w:rFonts w:ascii="Times New Roman" w:cs="Times New Roman" w:eastAsia="Times New Roman" w:hAnsi="Times New Roman"/>
          <w:sz w:val="16"/>
          <w:szCs w:val="16"/>
        </w:rPr>
        <w:t xml:space="preserve">[1]	CIE Technical Committee 1-47, “Improvement to Industrial Colour-Difference Evaluation,” CIE Publication 142-2001, Vienna, 2001.</w:t>
      </w:r>
    </w:p>
    <w:p>
      <w:pPr>
        <w:spacing w:after="40" w:line="200"/>
        <w:ind w:left="320" w:hanging="320"/>
        <w:jc w:val="both"/>
      </w:pPr>
      <w:r>
        <w:rPr>
          <w:rFonts w:ascii="Times New Roman" w:cs="Times New Roman" w:eastAsia="Times New Roman" w:hAnsi="Times New Roman"/>
          <w:sz w:val="16"/>
          <w:szCs w:val="16"/>
        </w:rPr>
        <w:t xml:space="preserve">[2]	G. Sharma, W. Wu, and E. N. Dalal, “The CIEDE2000 color-difference formula: Implementation notes, supplementary test data, and mathematical observations,” Color Research and Application, vol. 30, no. 1, pp. 21–30, 2005.</w:t>
      </w:r>
    </w:p>
    <w:p>
      <w:pPr>
        <w:spacing w:after="40" w:line="200"/>
        <w:ind w:left="320" w:hanging="320"/>
        <w:jc w:val="both"/>
      </w:pPr>
      <w:r>
        <w:rPr>
          <w:rFonts w:ascii="Times New Roman" w:cs="Times New Roman" w:eastAsia="Times New Roman" w:hAnsi="Times New Roman"/>
          <w:sz w:val="16"/>
          <w:szCs w:val="16"/>
        </w:rPr>
        <w:t xml:space="preserve">[3]	MITRE Corporation, “ATT&amp;CK for Mobile, Version 14,” https://attack.mitre.org/matrices/mobile/, 2023.</w:t>
      </w:r>
    </w:p>
    <w:p>
      <w:pPr>
        <w:spacing w:after="40" w:line="200"/>
        <w:ind w:left="320" w:hanging="320"/>
        <w:jc w:val="both"/>
      </w:pPr>
      <w:r>
        <w:rPr>
          <w:rFonts w:ascii="Times New Roman" w:cs="Times New Roman" w:eastAsia="Times New Roman" w:hAnsi="Times New Roman"/>
          <w:sz w:val="16"/>
          <w:szCs w:val="16"/>
        </w:rPr>
        <w:t xml:space="preserve">[4]	ThreatFabric, “Mobile Banking Malware Landscape,” Amsterdam, 2024.</w:t>
      </w:r>
    </w:p>
    <w:p>
      <w:pPr>
        <w:spacing w:after="40" w:line="200"/>
        <w:ind w:left="320" w:hanging="320"/>
        <w:jc w:val="both"/>
      </w:pPr>
      <w:r>
        <w:rPr>
          <w:rFonts w:ascii="Times New Roman" w:cs="Times New Roman" w:eastAsia="Times New Roman" w:hAnsi="Times New Roman"/>
          <w:sz w:val="16"/>
          <w:szCs w:val="16"/>
        </w:rPr>
        <w:t xml:space="preserve">[5]	O. A. V. Ravnås, “Frida: Dynamic instrumentation toolkit,” https://frida.re.</w:t>
      </w:r>
    </w:p>
    <w:p>
      <w:pPr>
        <w:spacing w:after="40" w:line="200"/>
        <w:ind w:left="320" w:hanging="320"/>
        <w:jc w:val="both"/>
      </w:pPr>
      <w:r>
        <w:rPr>
          <w:rFonts w:ascii="Times New Roman" w:cs="Times New Roman" w:eastAsia="Times New Roman" w:hAnsi="Times New Roman"/>
          <w:sz w:val="16"/>
          <w:szCs w:val="16"/>
        </w:rPr>
        <w:t xml:space="preserve">[6]	A. Desnos et al., “Androguard: Reverse engineering and analysis of Android applications,” v4.1.4.</w:t>
      </w:r>
    </w:p>
    <w:p>
      <w:pPr>
        <w:spacing w:after="40" w:line="200"/>
        <w:ind w:left="320" w:hanging="320"/>
        <w:jc w:val="both"/>
      </w:pPr>
      <w:r>
        <w:rPr>
          <w:rFonts w:ascii="Times New Roman" w:cs="Times New Roman" w:eastAsia="Times New Roman" w:hAnsi="Times New Roman"/>
          <w:sz w:val="16"/>
          <w:szCs w:val="16"/>
        </w:rPr>
        <w:t xml:space="preserve">[7]	A. Abraham et al., “Mobile Security Framework (MobSF),” OWASP Mobile Security Testing Guide project.</w:t>
      </w:r>
    </w:p>
    <w:p>
      <w:pPr>
        <w:spacing w:after="40" w:line="200"/>
        <w:ind w:left="320" w:hanging="320"/>
        <w:jc w:val="both"/>
      </w:pPr>
      <w:r>
        <w:rPr>
          <w:rFonts w:ascii="Times New Roman" w:cs="Times New Roman" w:eastAsia="Times New Roman" w:hAnsi="Times New Roman"/>
          <w:sz w:val="16"/>
          <w:szCs w:val="16"/>
        </w:rPr>
        <w:t xml:space="preserve">[8]	Reserve Bank of India, “Master Direction on Digital Payment Security Controls,” 2021.</w:t>
      </w:r>
    </w:p>
    <w:p>
      <w:pPr>
        <w:spacing w:after="40" w:line="200"/>
        <w:ind w:left="320" w:hanging="320"/>
        <w:jc w:val="both"/>
      </w:pPr>
      <w:r>
        <w:rPr>
          <w:rFonts w:ascii="Times New Roman" w:cs="Times New Roman" w:eastAsia="Times New Roman" w:hAnsi="Times New Roman"/>
          <w:sz w:val="16"/>
          <w:szCs w:val="16"/>
        </w:rPr>
        <w:t xml:space="preserve">[9]	Indian Computer Emergency Response Team (CERT-In), “Directions under sub-section (6) of section 70B of the Information Technology Act, 2000,” 2022.</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4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Sudarshan Prototype Progress and Engineering Benchmark Report</dc:title>
  <dc:creator>Project Sudarshan</dc:creator>
  <cp:lastModifiedBy>Un-named</cp:lastModifiedBy>
  <cp:revision>1</cp:revision>
  <dcterms:created xsi:type="dcterms:W3CDTF">2026-08-16T14:09:17.110Z</dcterms:created>
  <dcterms:modified xsi:type="dcterms:W3CDTF">2026-08-16T14:09:17.111Z</dcterms:modified>
</cp:coreProperties>
</file>

<file path=docProps/custom.xml><?xml version="1.0" encoding="utf-8"?>
<Properties xmlns="http://schemas.openxmlformats.org/officeDocument/2006/custom-properties" xmlns:vt="http://schemas.openxmlformats.org/officeDocument/2006/docPropsVTypes"/>
</file>