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2F5496"/>
          <w:sz w:val="64"/>
          <w:szCs w:val="64"/>
        </w:rPr>
        <w:t xml:space="preserve">PABIANICE COMMS</w:t>
      </w:r>
    </w:p>
    <w:p>
      <w:pPr>
        <w:spacing w:after="100"/>
        <w:jc w:val="center"/>
      </w:pPr>
      <w:r>
        <w:rPr>
          <w:sz w:val="28"/>
          <w:szCs w:val="28"/>
        </w:rPr>
        <w:t xml:space="preserve">Prywatna, szyfrowana sieć komunikacji radiowej mesh</w:t>
      </w:r>
    </w:p>
    <w:p>
      <w:pPr>
        <w:spacing w:after="1200"/>
        <w:jc w:val="center"/>
      </w:pPr>
      <w:r>
        <w:rPr>
          <w:i/>
          <w:iCs/>
          <w:color w:val="555555"/>
          <w:sz w:val="24"/>
          <w:szCs w:val="24"/>
        </w:rPr>
        <w:t xml:space="preserve">Kompletny plan techniczny, prawny i biznesowy budowy systemu</w:t>
      </w:r>
    </w:p>
    <w:p>
      <w:pPr>
        <w:spacing w:after="100"/>
        <w:jc w:val="center"/>
      </w:pPr>
      <w:r>
        <w:rPr>
          <w:sz w:val="22"/>
          <w:szCs w:val="22"/>
        </w:rPr>
        <w:t xml:space="preserve">Dokument roboczy — wersja 1.0</w:t>
      </w:r>
    </w:p>
    <w:p>
      <w:pPr>
        <w:spacing w:after="2000"/>
        <w:jc w:val="center"/>
      </w:pPr>
      <w:r>
        <w:rPr>
          <w:sz w:val="22"/>
          <w:szCs w:val="22"/>
        </w:rPr>
        <w:t xml:space="preserve">Lipiec 2026</w:t>
      </w:r>
    </w:p>
    <w:p>
      <w:pPr>
        <w:jc w:val="center"/>
      </w:pPr>
      <w:r>
        <w:rPr>
          <w:i/>
          <w:iCs/>
          <w:color w:val="777777"/>
          <w:sz w:val="18"/>
          <w:szCs w:val="18"/>
        </w:rPr>
        <w:t xml:space="preserve">Ten dokument ma charakter planistyczny i edukacyjny. Nie stanowi porady prawnej. Przed rozpoczęciem sprzedaży, publicznego udostępniania urządzeń radiowych lub przetwarzania danych osób trzecich należy skonsultować się z prawnikiem specjalizującym się w RODO, prawie telekomunikacyjnym i prawie gospodarczym.</w:t>
      </w:r>
    </w:p>
    <w:p>
      <w:r>
        <w:br w:type="page"/>
      </w:r>
    </w:p>
    <w:p>
      <w:pPr>
        <w:pStyle w:val="Heading1"/>
        <w:spacing w:after="200" w:before="400"/>
      </w:pPr>
      <w:r>
        <w:t xml:space="preserve">Spis treści</w:t>
      </w:r>
    </w:p>
    <w:sdt>
      <w:sdtPr>
        <w:alias w:val="Spis treśc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Streszczenie wykonawcze</w:t>
      </w:r>
    </w:p>
    <w:p>
      <w:pPr>
        <w:spacing w:after="160"/>
        <w:jc w:val="both"/>
      </w:pPr>
      <w:r>
        <w:t xml:space="preserve">Pabianice Comms to projekt prywatnej, zdecentralizowanej sieci komunikacyjnej opartej na radiowych nadajnikach pracujących w bezlicencyjnym paśmie ISM (433/868 MHz), łączących się w sieć kratową (mesh), z opcjonalnym centralnym serwerem do przechowywania wiadomości dla użytkowników chwilowo poza zasięgiem. System ma zapewniać komunikację niezależną od operatorów telekomunikacyjnych i internetu, z pełnym szyfrowaniem end-to-end, tak aby nawet administrator systemu nie miał technicznej możliwości odczytania treści wiadomości.</w:t>
      </w:r>
    </w:p>
    <w:p>
      <w:pPr>
        <w:spacing w:after="160"/>
        <w:jc w:val="both"/>
      </w:pPr>
      <w:r>
        <w:t xml:space="preserve">Dokument ten podsumowuje całą dotychczasową dyskusję projektową i przedstawia realistyczny plan wdrożenia w czterech fazach: (1) prototyp dla wąskiego grona znajomych, (2) publikacja projektu jako open source, (3) opcjonalny tryb scentralizowany z pełną zgodnością z RODO, (4) ewentualna sprzedaż gotowych zestawów z pełną certyfikacją CE/RED. Każda faza ma jasno określone wymogi prawne i techniczne, a przejście do kolejnej fazy jest opcjonalne — projekt jest zaprojektowany tak, by być w pełni legalny i użyteczny już na etapie fazy 1.</w:t>
      </w:r>
    </w:p>
    <w:p>
      <w:pPr>
        <w:spacing w:after="160"/>
        <w:jc w:val="both"/>
      </w:pPr>
      <w:r>
        <w:t xml:space="preserve">Kluczowe wnioski z analizy:</w:t>
      </w:r>
    </w:p>
    <w:p>
      <w:pPr>
        <w:pStyle w:val="ListParagraph"/>
        <w:numPr>
          <w:ilvl w:val="0"/>
          <w:numId w:val="2"/>
        </w:numPr>
        <w:spacing w:after="100"/>
      </w:pPr>
      <w:r>
        <w:t xml:space="preserve">Zbudowanie własnej sieci radiowej jest technicznie wykonalne przy użyciu dostępnych na rynku modułów LoRa (SX1262) i mikrokontrolerów (ESP32-S3) — nie wymaga to opracowywania własnych chipów radiowych ani łamania żadnych patentów.</w:t>
      </w:r>
    </w:p>
    <w:p>
      <w:pPr>
        <w:pStyle w:val="ListParagraph"/>
        <w:numPr>
          <w:ilvl w:val="0"/>
          <w:numId w:val="2"/>
        </w:numPr>
        <w:spacing w:after="100"/>
      </w:pPr>
      <w:r>
        <w:t xml:space="preserve">Prawdziwe szyfrowanie end-to-end (Signal Protocol) jest jednocześnie najlepszym zabezpieczeniem technicznym i najprostszą drogą do zgodności z RODO, bo minimalizuje zakres danych, za które administrator faktycznie odpowiada.</w:t>
      </w:r>
    </w:p>
    <w:p>
      <w:pPr>
        <w:pStyle w:val="ListParagraph"/>
        <w:numPr>
          <w:ilvl w:val="0"/>
          <w:numId w:val="2"/>
        </w:numPr>
        <w:spacing w:after="100"/>
      </w:pPr>
      <w:r>
        <w:t xml:space="preserve">Skala decyduje o obowiązkach prawnych, nie deklaracje. Wąskie grono znajomych nie generuje obowiązków RODO ani certyfikacyjnych; upublicznienie systemu (tutoriale, sprzedaż, centralny serwer dla obcych osób) generuje je automatycznie.</w:t>
      </w:r>
    </w:p>
    <w:p>
      <w:pPr>
        <w:pStyle w:val="ListParagraph"/>
        <w:numPr>
          <w:ilvl w:val="0"/>
          <w:numId w:val="2"/>
        </w:numPr>
        <w:spacing w:after="100"/>
      </w:pPr>
      <w:r>
        <w:t xml:space="preserve">Model open source pozwala skalować zasięg projektu bez przejmowania na siebie odpowiedzialności administratora usługi dla tysięcy nieznanych użytkowników — to sprawdzona droga (Meshtastic, Signal).</w:t>
      </w:r>
    </w:p>
    <w:p>
      <w:pPr>
        <w:pStyle w:val="ListParagraph"/>
        <w:numPr>
          <w:ilvl w:val="0"/>
          <w:numId w:val="2"/>
        </w:numPr>
        <w:spacing w:after="100"/>
      </w:pPr>
      <w:r>
        <w:t xml:space="preserve">Pełne pokrycie radiowe Pabianic wymaga realistycznie 250–400 nadajników rozmieszczonych w mieście, co jest osiągalne przy modelu społecznościowym (mieszkańcy sami budują i rozstawiają węzły), a nie centralnej instalacji.</w:t>
      </w:r>
    </w:p>
    <w:p>
      <w:pPr>
        <w:spacing w:after="160"/>
        <w:jc w:val="both"/>
      </w:pPr>
      <w:r>
        <w:t xml:space="preserve">Poniższe rozdziały rozwijają każdy z tych tematów w szczegółach: prawo, architekturę systemu, protokoły, bezpieczeństwo, sprzęt, oprogramowanie, model biznesowy i plan wdrożenia krok po kroku.</w:t>
      </w:r>
    </w:p>
    <w:p>
      <w:r>
        <w:br w:type="page"/>
      </w:r>
    </w:p>
    <w:p>
      <w:pPr>
        <w:pStyle w:val="Heading1"/>
        <w:spacing w:after="200" w:before="400"/>
      </w:pPr>
      <w:r>
        <w:t xml:space="preserve">2. Cele i założenia projektu</w:t>
      </w:r>
    </w:p>
    <w:p>
      <w:pPr>
        <w:pStyle w:val="Heading2"/>
        <w:spacing w:after="150" w:before="300"/>
      </w:pPr>
      <w:r>
        <w:t xml:space="preserve">2.1 Cel główny</w:t>
      </w:r>
    </w:p>
    <w:p>
      <w:pPr>
        <w:spacing w:after="160"/>
        <w:jc w:val="both"/>
      </w:pPr>
      <w:r>
        <w:t xml:space="preserve">Stworzenie systemu komunikacji tekstowej działającego niezależnie od operatorów komórkowych i dostawców internetu, opartego wyłącznie o falę radiową i sieć kratową zbudowaną przez samych użytkowników, z zachowaniem pełnej prywatności treści komunikacji.</w:t>
      </w:r>
    </w:p>
    <w:p>
      <w:pPr>
        <w:pStyle w:val="Heading2"/>
        <w:spacing w:after="150" w:before="300"/>
      </w:pPr>
      <w:r>
        <w:t xml:space="preserve">2.2 Cele szczegółowe</w:t>
      </w:r>
    </w:p>
    <w:p>
      <w:pPr>
        <w:pStyle w:val="ListParagraph"/>
        <w:numPr>
          <w:ilvl w:val="0"/>
          <w:numId w:val="3"/>
        </w:numPr>
        <w:spacing w:after="100"/>
      </w:pPr>
      <w:r>
        <w:t xml:space="preserve">Komunikacja tekstowa (a docelowo głosowa) między użytkownikami w zasięgu dowolnego nadajnika należącego do sieci, niezależnie od tego, czyją własnością jest dany nadajnik.</w:t>
      </w:r>
    </w:p>
    <w:p>
      <w:pPr>
        <w:pStyle w:val="ListParagraph"/>
        <w:numPr>
          <w:ilvl w:val="0"/>
          <w:numId w:val="3"/>
        </w:numPr>
        <w:spacing w:after="100"/>
      </w:pPr>
      <w:r>
        <w:t xml:space="preserve">Pełna poufność treści — żaden pośredniczący węzeł ani serwer centralny nie ma technicznej możliwości odczytania wiadomości.</w:t>
      </w:r>
    </w:p>
    <w:p>
      <w:pPr>
        <w:pStyle w:val="ListParagraph"/>
        <w:numPr>
          <w:ilvl w:val="0"/>
          <w:numId w:val="3"/>
        </w:numPr>
        <w:spacing w:after="100"/>
      </w:pPr>
      <w:r>
        <w:t xml:space="preserve">Odporność na modyfikację i przechwycenie na poziomie sprzętowym (zabezpieczenie fizyczne urządzeń).</w:t>
      </w:r>
    </w:p>
    <w:p>
      <w:pPr>
        <w:pStyle w:val="ListParagraph"/>
        <w:numPr>
          <w:ilvl w:val="0"/>
          <w:numId w:val="3"/>
        </w:numPr>
        <w:spacing w:after="100"/>
      </w:pPr>
      <w:r>
        <w:t xml:space="preserve">Możliwość przechowywania wiadomości dla odbiorców chwilowo offline (store-and-forward) z konfigurowalną retencją.</w:t>
      </w:r>
    </w:p>
    <w:p>
      <w:pPr>
        <w:pStyle w:val="ListParagraph"/>
        <w:numPr>
          <w:ilvl w:val="0"/>
          <w:numId w:val="3"/>
        </w:numPr>
        <w:spacing w:after="100"/>
      </w:pPr>
      <w:r>
        <w:t xml:space="preserve">Skalowalność do poziomu całego miasta (Pabianice) i docelowo poza nie, poprzez model społecznościowy budowy własnych węzłów.</w:t>
      </w:r>
    </w:p>
    <w:p>
      <w:pPr>
        <w:pStyle w:val="ListParagraph"/>
        <w:numPr>
          <w:ilvl w:val="0"/>
          <w:numId w:val="3"/>
        </w:numPr>
        <w:spacing w:after="100"/>
      </w:pPr>
      <w:r>
        <w:t xml:space="preserve">Możliwość stawiania własnych, niezależnych serwerów przez innych użytkowników (analogicznie do self-hostingu Discorda czy Mastodona).</w:t>
      </w:r>
    </w:p>
    <w:p>
      <w:pPr>
        <w:pStyle w:val="Heading2"/>
        <w:spacing w:after="150" w:before="300"/>
      </w:pPr>
      <w:r>
        <w:t xml:space="preserve">2.3 Założenia niefunkcjonalne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5496" w:val="clear"/>
            <w:tcMar>
              <w:top w:type="dxa" w:w="80"/>
              <w:left w:type="dxa" w:w="100"/>
              <w:bottom w:type="dxa" w:w="80"/>
              <w:right w:type="dxa" w:w="100"/>
            </w:tcMar>
            <w:vAlign w:val="center"/>
          </w:tcPr>
          <w:p>
            <w:r>
              <w:rPr>
                <w:b/>
                <w:bCs/>
                <w:color w:val="FFFFFF"/>
                <w:sz w:val="20"/>
                <w:szCs w:val="20"/>
              </w:rPr>
              <w:t xml:space="preserve">Obszar</w:t>
            </w:r>
          </w:p>
        </w:tc>
        <w:tc>
          <w:tcPr>
            <w:tcW w:type="dxa" w:w="6000"/>
            <w:shd w:fill="2F5496" w:val="clear"/>
            <w:tcMar>
              <w:top w:type="dxa" w:w="80"/>
              <w:left w:type="dxa" w:w="100"/>
              <w:bottom w:type="dxa" w:w="80"/>
              <w:right w:type="dxa" w:w="100"/>
            </w:tcMar>
            <w:vAlign w:val="center"/>
          </w:tcPr>
          <w:p>
            <w:r>
              <w:rPr>
                <w:b/>
                <w:bCs/>
                <w:color w:val="FFFFFF"/>
                <w:sz w:val="20"/>
                <w:szCs w:val="20"/>
              </w:rPr>
              <w:t xml:space="preserve">Założenie</w:t>
            </w:r>
          </w:p>
        </w:tc>
      </w:tr>
      <w:tr>
        <w:tc>
          <w:tcPr>
            <w:tcW w:type="dxa" w:w="3000"/>
            <w:tcMar>
              <w:top w:type="dxa" w:w="80"/>
              <w:left w:type="dxa" w:w="100"/>
              <w:bottom w:type="dxa" w:w="80"/>
              <w:right w:type="dxa" w:w="100"/>
            </w:tcMar>
            <w:vAlign w:val="center"/>
          </w:tcPr>
          <w:p>
            <w:r>
              <w:rPr>
                <w:b w:val="false"/>
                <w:bCs w:val="false"/>
                <w:sz w:val="20"/>
                <w:szCs w:val="20"/>
              </w:rPr>
              <w:t xml:space="preserve">Prawo</w:t>
            </w:r>
          </w:p>
        </w:tc>
        <w:tc>
          <w:tcPr>
            <w:tcW w:type="dxa" w:w="6000"/>
            <w:tcMar>
              <w:top w:type="dxa" w:w="80"/>
              <w:left w:type="dxa" w:w="100"/>
              <w:bottom w:type="dxa" w:w="80"/>
              <w:right w:type="dxa" w:w="100"/>
            </w:tcMar>
            <w:vAlign w:val="center"/>
          </w:tcPr>
          <w:p>
            <w:r>
              <w:rPr>
                <w:b w:val="false"/>
                <w:bCs w:val="false"/>
                <w:sz w:val="20"/>
                <w:szCs w:val="20"/>
              </w:rPr>
              <w:t xml:space="preserve">System ma być budowany etapowo tak, aby każda faza była w pełni legalna bez zbędnej biurokracji na starcie</w:t>
            </w:r>
          </w:p>
        </w:tc>
      </w:tr>
      <w:tr>
        <w:tc>
          <w:tcPr>
            <w:tcW w:type="dxa" w:w="3000"/>
            <w:tcMar>
              <w:top w:type="dxa" w:w="80"/>
              <w:left w:type="dxa" w:w="100"/>
              <w:bottom w:type="dxa" w:w="80"/>
              <w:right w:type="dxa" w:w="100"/>
            </w:tcMar>
            <w:vAlign w:val="center"/>
          </w:tcPr>
          <w:p>
            <w:r>
              <w:rPr>
                <w:b w:val="false"/>
                <w:bCs w:val="false"/>
                <w:sz w:val="20"/>
                <w:szCs w:val="20"/>
              </w:rPr>
              <w:t xml:space="preserve">Koszt</w:t>
            </w:r>
          </w:p>
        </w:tc>
        <w:tc>
          <w:tcPr>
            <w:tcW w:type="dxa" w:w="6000"/>
            <w:tcMar>
              <w:top w:type="dxa" w:w="80"/>
              <w:left w:type="dxa" w:w="100"/>
              <w:bottom w:type="dxa" w:w="80"/>
              <w:right w:type="dxa" w:w="100"/>
            </w:tcMar>
            <w:vAlign w:val="center"/>
          </w:tcPr>
          <w:p>
            <w:r>
              <w:rPr>
                <w:b w:val="false"/>
                <w:bCs w:val="false"/>
                <w:sz w:val="20"/>
                <w:szCs w:val="20"/>
              </w:rPr>
              <w:t xml:space="preserve">Pojedynczy nadajnik możliwy do zbudowania w cenie 170–250 zł w komponentach</w:t>
            </w:r>
          </w:p>
        </w:tc>
      </w:tr>
      <w:tr>
        <w:tc>
          <w:tcPr>
            <w:tcW w:type="dxa" w:w="3000"/>
            <w:tcMar>
              <w:top w:type="dxa" w:w="80"/>
              <w:left w:type="dxa" w:w="100"/>
              <w:bottom w:type="dxa" w:w="80"/>
              <w:right w:type="dxa" w:w="100"/>
            </w:tcMar>
            <w:vAlign w:val="center"/>
          </w:tcPr>
          <w:p>
            <w:r>
              <w:rPr>
                <w:b w:val="false"/>
                <w:bCs w:val="false"/>
                <w:sz w:val="20"/>
                <w:szCs w:val="20"/>
              </w:rPr>
              <w:t xml:space="preserve">Prostota montażu</w:t>
            </w:r>
          </w:p>
        </w:tc>
        <w:tc>
          <w:tcPr>
            <w:tcW w:type="dxa" w:w="6000"/>
            <w:tcMar>
              <w:top w:type="dxa" w:w="80"/>
              <w:left w:type="dxa" w:w="100"/>
              <w:bottom w:type="dxa" w:w="80"/>
              <w:right w:type="dxa" w:w="100"/>
            </w:tcMar>
            <w:vAlign w:val="center"/>
          </w:tcPr>
          <w:p>
            <w:r>
              <w:rPr>
                <w:b w:val="false"/>
                <w:bCs w:val="false"/>
                <w:sz w:val="20"/>
                <w:szCs w:val="20"/>
              </w:rPr>
              <w:t xml:space="preserve">Złożenie zestawu ma być możliwe dla hobbysty po jednym tutorialu, bez specjalistycznego sprzętu</w:t>
            </w:r>
          </w:p>
        </w:tc>
      </w:tr>
      <w:tr>
        <w:tc>
          <w:tcPr>
            <w:tcW w:type="dxa" w:w="3000"/>
            <w:tcMar>
              <w:top w:type="dxa" w:w="80"/>
              <w:left w:type="dxa" w:w="100"/>
              <w:bottom w:type="dxa" w:w="80"/>
              <w:right w:type="dxa" w:w="100"/>
            </w:tcMar>
            <w:vAlign w:val="center"/>
          </w:tcPr>
          <w:p>
            <w:r>
              <w:rPr>
                <w:b w:val="false"/>
                <w:bCs w:val="false"/>
                <w:sz w:val="20"/>
                <w:szCs w:val="20"/>
              </w:rPr>
              <w:t xml:space="preserve">Bezpieczeństwo</w:t>
            </w:r>
          </w:p>
        </w:tc>
        <w:tc>
          <w:tcPr>
            <w:tcW w:type="dxa" w:w="6000"/>
            <w:tcMar>
              <w:top w:type="dxa" w:w="80"/>
              <w:left w:type="dxa" w:w="100"/>
              <w:bottom w:type="dxa" w:w="80"/>
              <w:right w:type="dxa" w:w="100"/>
            </w:tcMar>
            <w:vAlign w:val="center"/>
          </w:tcPr>
          <w:p>
            <w:r>
              <w:rPr>
                <w:b w:val="false"/>
                <w:bCs w:val="false"/>
                <w:sz w:val="20"/>
                <w:szCs w:val="20"/>
              </w:rPr>
              <w:t xml:space="preserve">Architektura zero-trust — żaden pojedynczy węzeł (w tym serwer centralny) nie jest punktem, któremu trzeba ufać, by zachować poufność treści</w:t>
            </w:r>
          </w:p>
        </w:tc>
      </w:tr>
      <w:tr>
        <w:tc>
          <w:tcPr>
            <w:tcW w:type="dxa" w:w="3000"/>
            <w:tcMar>
              <w:top w:type="dxa" w:w="80"/>
              <w:left w:type="dxa" w:w="100"/>
              <w:bottom w:type="dxa" w:w="80"/>
              <w:right w:type="dxa" w:w="100"/>
            </w:tcMar>
            <w:vAlign w:val="center"/>
          </w:tcPr>
          <w:p>
            <w:r>
              <w:rPr>
                <w:b w:val="false"/>
                <w:bCs w:val="false"/>
                <w:sz w:val="20"/>
                <w:szCs w:val="20"/>
              </w:rPr>
              <w:t xml:space="preserve">Otwartość</w:t>
            </w:r>
          </w:p>
        </w:tc>
        <w:tc>
          <w:tcPr>
            <w:tcW w:type="dxa" w:w="6000"/>
            <w:tcMar>
              <w:top w:type="dxa" w:w="80"/>
              <w:left w:type="dxa" w:w="100"/>
              <w:bottom w:type="dxa" w:w="80"/>
              <w:right w:type="dxa" w:w="100"/>
            </w:tcMar>
            <w:vAlign w:val="center"/>
          </w:tcPr>
          <w:p>
            <w:r>
              <w:rPr>
                <w:b w:val="false"/>
                <w:bCs w:val="false"/>
                <w:sz w:val="20"/>
                <w:szCs w:val="20"/>
              </w:rPr>
              <w:t xml:space="preserve">Kod źródłowy dostępny publicznie, aby umożliwić niezależną weryfikację bezpieczeństwa</w:t>
            </w:r>
          </w:p>
        </w:tc>
      </w:tr>
    </w:tbl>
    <w:p>
      <w:r>
        <w:br w:type="page"/>
      </w:r>
    </w:p>
    <w:p>
      <w:pPr>
        <w:pStyle w:val="Heading1"/>
        <w:spacing w:after="200" w:before="400"/>
      </w:pPr>
      <w:r>
        <w:t xml:space="preserve">3. Rama prawna</w:t>
      </w:r>
    </w:p>
    <w:p>
      <w:pPr>
        <w:spacing w:after="160"/>
        <w:jc w:val="both"/>
      </w:pPr>
      <w:r>
        <w:t xml:space="preserve">To najważniejszy rozdział tego dokumentu — decyduje o tym, jak wolno budować i skalować system bez ryzyka prawnego. Poniżej zebrano całość ustaleń z dotychczasowej analizy, usystematyzowaną według czterech obszarów prawa: prawa telekomunikacyjnego (emisja radiowa), prawa o zgodności urządzeń (CE/RED), ochrony danych osobowych (RODO) oraz prawa gospodarczego (działalność, sprzedaż).</w:t>
      </w:r>
    </w:p>
    <w:p>
      <w:pPr>
        <w:pStyle w:val="Heading2"/>
        <w:spacing w:after="150" w:before="300"/>
      </w:pPr>
      <w:r>
        <w:t xml:space="preserve">3.1 Emisja radiowa — pasma ISM</w:t>
      </w:r>
    </w:p>
    <w:p>
      <w:pPr>
        <w:spacing w:after="160"/>
        <w:jc w:val="both"/>
      </w:pPr>
      <w:r>
        <w:t xml:space="preserve">Transmisja w pasmach ISM (Industrial, Scientific, Medical), w szczególności 433 MHz oraz 868 MHz w Unii Europejskiej, jest zwolniona z obowiązku uzyskania indywidualnego pozwolenia radiowego, pod warunkiem przestrzegania limitów mocy nadawania (ERP) oraz współczynnika wypełnienia czasowego (duty cycle) określonych w przepisach ETSI oraz w krajowej tabeli przeznaczeń częstotliwości prowadzonej przez UKE. Dotyczy to zarówno użytkowników prywatnych, jak i podmiotów komercyjnych — nie ma różnicy w wymogu pozwolenia radiowego między hobbystą a firmą, jeśli mieszczą się w tych samych limitach mocy.</w:t>
      </w:r>
    </w:p>
    <w:p>
      <w:pPr>
        <w:spacing w:after="160"/>
        <w:jc w:val="both"/>
      </w:pPr>
      <w:r>
        <w:t xml:space="preserve">Praktyczne wnioski dla projektu:</w:t>
      </w:r>
    </w:p>
    <w:p>
      <w:pPr>
        <w:pStyle w:val="ListParagraph"/>
        <w:numPr>
          <w:ilvl w:val="0"/>
          <w:numId w:val="2"/>
        </w:numPr>
        <w:spacing w:after="100"/>
      </w:pPr>
      <w:r>
        <w:t xml:space="preserve">Pasmo 868 MHz (Europa) jest zalecane — ma więcej dostępnych podpasm i lepiej wspierane moduły LoRa niż 433 MHz.</w:t>
      </w:r>
    </w:p>
    <w:p>
      <w:pPr>
        <w:pStyle w:val="ListParagraph"/>
        <w:numPr>
          <w:ilvl w:val="0"/>
          <w:numId w:val="2"/>
        </w:numPr>
        <w:spacing w:after="100"/>
      </w:pPr>
      <w:r>
        <w:t xml:space="preserve">Typowe limity mocy w 868 MHz wahają się od ok. 25 mW ERP w podpasmach szerokopasmowych do 500 mW–2 W w wąskich podpasmach z niskim duty cycle — dokładne wartości należy zweryfikować w aktualnej tabeli przeznaczeń częstotliwości UKE przed finalizacją projektu radiowego.</w:t>
      </w:r>
    </w:p>
    <w:p>
      <w:pPr>
        <w:pStyle w:val="ListParagraph"/>
        <w:numPr>
          <w:ilvl w:val="0"/>
          <w:numId w:val="2"/>
        </w:numPr>
        <w:spacing w:after="100"/>
      </w:pPr>
      <w:r>
        <w:t xml:space="preserve">Przekroczenie limitu mocy lub użycie innego pasma niż ISM (np. pasm zarezerwowanych dla operatorów komórkowych) jest naruszeniem prawa telekomunikacyjnego niezależnie od celu i skali projektu.</w:t>
      </w:r>
    </w:p>
    <w:p>
      <w:pPr>
        <w:pStyle w:val="Heading2"/>
        <w:spacing w:after="150" w:before="300"/>
      </w:pPr>
      <w:r>
        <w:t xml:space="preserve">3.2 Zgodność urządzeń — dyrektywa RED i oznakowanie CE</w:t>
      </w:r>
    </w:p>
    <w:p>
      <w:pPr>
        <w:spacing w:after="160"/>
        <w:jc w:val="both"/>
      </w:pPr>
      <w:r>
        <w:t xml:space="preserve">Każde urządzenie radiowe wprowadzane na rynek Unii Europejskiej podlega dyrektywie RED (Radio Equipment Directive, 2014/53/UE), która wymaga: przeprowadzenia oceny zgodności (badania EMC, badania radiowe, ocena bezpieczeństwa), sporządzenia dokumentacji technicznej, wystawienia deklaracji zgodności UE oraz oznakowania urządzenia znakiem CE.</w:t>
      </w:r>
    </w:p>
    <w:p>
      <w:pPr>
        <w:spacing w:after="160"/>
        <w:jc w:val="both"/>
      </w:pPr>
      <w:r>
        <w:t xml:space="preserve">Kluczowe pojęcie to „wprowadzenie do obrotu” — oznacza ono udostępnienie urządzenia po raz pierwszy w ramach działalności gospodarczej, niezależnie od tego, czy jest to sprzedaż, czy nieodpłatne przekazanie w ramach zorganizowanej dystrybucji. Oznacza to, że:</w:t>
      </w:r>
    </w:p>
    <w:p>
      <w:pPr>
        <w:pStyle w:val="ListParagraph"/>
        <w:numPr>
          <w:ilvl w:val="0"/>
          <w:numId w:val="2"/>
        </w:numPr>
        <w:spacing w:after="100"/>
      </w:pPr>
      <w:r>
        <w:t xml:space="preserve">Budowa urządzenia wyłącznie na własny użytek (nawet dla znajomych, jednorazowo, bez prowadzenia działalności) zazwyczaj nie jest traktowana jako wprowadzenie do obrotu.</w:t>
      </w:r>
    </w:p>
    <w:p>
      <w:pPr>
        <w:pStyle w:val="ListParagraph"/>
        <w:numPr>
          <w:ilvl w:val="0"/>
          <w:numId w:val="2"/>
        </w:numPr>
        <w:spacing w:after="100"/>
      </w:pPr>
      <w:r>
        <w:t xml:space="preserve">Systematyczne rozdawanie wielu urządzeń w celu zbudowania publicznej sieci — nawet bezpłatnie — może być prawnie zrównane z wprowadzeniem do obrotu, jeśli odbywa się to w sposób zorganizowany i ma cechy działalności.</w:t>
      </w:r>
    </w:p>
    <w:p>
      <w:pPr>
        <w:pStyle w:val="ListParagraph"/>
        <w:numPr>
          <w:ilvl w:val="0"/>
          <w:numId w:val="2"/>
        </w:numPr>
        <w:spacing w:after="100"/>
      </w:pPr>
      <w:r>
        <w:t xml:space="preserve">Sprzedaż jakiejkolwiek liczby urządzeń, nawet pojedynczych sztuk, wymaga pełnej zgodności z dyrektywą RED — nie ma progu ilościowego zwalniającego z tego obowiązku.</w:t>
      </w:r>
    </w:p>
    <w:p>
      <w:pPr>
        <w:pStyle w:val="ListParagraph"/>
        <w:numPr>
          <w:ilvl w:val="0"/>
          <w:numId w:val="2"/>
        </w:numPr>
        <w:spacing w:after="100"/>
      </w:pPr>
      <w:r>
        <w:t xml:space="preserve">Publikacja samego kodu źródłowego (firmware) bez dostarczania gotowego urządzenia fizycznego nie podlega dyrektywie RED — dyrektywa dotyczy sprzętu, nie oprogramowania jako takiego.</w:t>
      </w:r>
    </w:p>
    <w:p>
      <w:pPr>
        <w:pStyle w:val="Heading2"/>
        <w:spacing w:after="150" w:before="300"/>
      </w:pPr>
      <w:r>
        <w:t xml:space="preserve">3.3 Ochrona danych osobowych — RODO</w:t>
      </w:r>
    </w:p>
    <w:p>
      <w:pPr>
        <w:spacing w:after="160"/>
        <w:jc w:val="both"/>
      </w:pPr>
      <w:r>
        <w:t xml:space="preserve">Ogólne rozporządzenie o ochronie danych (RODO) reguluje przetwarzanie danych osobowych. Kluczowe dla tego projektu jest wyłączenie z art. 2 ust. 2 lit. c RODO, które nie stosuje RODO do przetwarzania danych przez osobę fizyczną w ramach „czynności o czysto osobistym lub domowym charakterze”.</w:t>
      </w:r>
    </w:p>
    <w:p>
      <w:pPr>
        <w:pStyle w:val="Heading3"/>
        <w:spacing w:after="100" w:before="200"/>
      </w:pPr>
      <w:r>
        <w:t xml:space="preserve">3.3.1 Kiedy RODO nie ma zastosowania</w:t>
      </w:r>
    </w:p>
    <w:p>
      <w:pPr>
        <w:spacing w:after="160"/>
        <w:jc w:val="both"/>
      </w:pPr>
      <w:r>
        <w:t xml:space="preserve">Dopóki system obejmuje wyłącznie osoby, które administrator zna osobiście (krąg znajomych, rodzina), a przetwarzanie odbywa się w celu prywatnym, RODO nie nakłada żadnych obowiązków — nie trzeba prowadzić rejestru czynności przetwarzania, pisać polityki prywatności ani zgłaszać niczego do Urzędu Ochrony Danych Osobowych (UODO).</w:t>
      </w:r>
    </w:p>
    <w:p>
      <w:pPr>
        <w:pStyle w:val="Heading3"/>
        <w:spacing w:after="100" w:before="200"/>
      </w:pPr>
      <w:r>
        <w:t xml:space="preserve">3.3.2 Kiedy RODO zaczyna obowiązywać</w:t>
      </w:r>
    </w:p>
    <w:p>
      <w:pPr>
        <w:spacing w:after="160"/>
        <w:jc w:val="both"/>
      </w:pPr>
      <w:r>
        <w:t xml:space="preserve">W momencie gdy system obejmuje osoby spoza wąskiego, osobiście znanego grona — np. przez publiczny tutorial, stronę do zakupu licencji, albo otwartą rejestrację na serwerze centralnym — administrator staje się administratorem danych osobowych w rozumieniu RODO wobec tych osób. Dotyczy to nawet usług bezpłatnych.</w:t>
      </w:r>
    </w:p>
    <w:p>
      <w:pPr>
        <w:spacing w:after="160"/>
        <w:jc w:val="both"/>
      </w:pPr>
      <w:r>
        <w:t xml:space="preserve">Obowiązki po przekroczeniu tego progu obejmują:</w:t>
      </w:r>
    </w:p>
    <w:p>
      <w:pPr>
        <w:pStyle w:val="ListParagraph"/>
        <w:numPr>
          <w:ilvl w:val="0"/>
          <w:numId w:val="2"/>
        </w:numPr>
        <w:spacing w:after="100"/>
      </w:pPr>
      <w:r>
        <w:t xml:space="preserve">Sporządzenie i udostępnienie rzetelnej polityki prywatności, opisującej faktyczne praktyki przetwarzania danych (zakres danych, cel, podstawę prawną, okres retencji, odbiorców danych).</w:t>
      </w:r>
    </w:p>
    <w:p>
      <w:pPr>
        <w:pStyle w:val="ListParagraph"/>
        <w:numPr>
          <w:ilvl w:val="0"/>
          <w:numId w:val="2"/>
        </w:numPr>
        <w:spacing w:after="100"/>
      </w:pPr>
      <w:r>
        <w:t xml:space="preserve">Prowadzenie rejestru czynności przetwarzania (RCP) zgodnie z art. 30 RODO — dokument wewnętrzny, nie zgłaszany nigdzie, ale okazywany na żądanie UODO.</w:t>
      </w:r>
    </w:p>
    <w:p>
      <w:pPr>
        <w:pStyle w:val="ListParagraph"/>
        <w:numPr>
          <w:ilvl w:val="0"/>
          <w:numId w:val="2"/>
        </w:numPr>
        <w:spacing w:after="100"/>
      </w:pPr>
      <w:r>
        <w:t xml:space="preserve">Zapewnienie realnej możliwości realizacji praw osób, których dane dotyczą (dostęp, sprostowanie, usunięcie, przenoszenie danych).</w:t>
      </w:r>
    </w:p>
    <w:p>
      <w:pPr>
        <w:pStyle w:val="ListParagraph"/>
        <w:numPr>
          <w:ilvl w:val="0"/>
          <w:numId w:val="2"/>
        </w:numPr>
        <w:spacing w:after="100"/>
      </w:pPr>
      <w:r>
        <w:t xml:space="preserve">Zgłoszenie ewentualnego naruszenia ochrony danych do UODO w ciągu 72 godzin od jego wykrycia (art. 33 RODO) — to jedyny scenariusz, w którym administrator faktycznie kontaktuje się z urzędem w normalnym toku działania.</w:t>
      </w:r>
    </w:p>
    <w:p>
      <w:pPr>
        <w:pStyle w:val="Heading3"/>
        <w:spacing w:after="100" w:before="200"/>
      </w:pPr>
      <w:r>
        <w:t xml:space="preserve">3.3.3 Ważne: RODO nie wymaga rejestracji zbioru danych</w:t>
      </w:r>
    </w:p>
    <w:p>
      <w:pPr>
        <w:spacing w:after="160"/>
        <w:jc w:val="both"/>
      </w:pPr>
      <w:r>
        <w:t xml:space="preserve">Przed 2018 rokiem w Polsce obowiązywał wymóg zgłaszania zbiorów danych do GIODO — RODO ten wymóg zniosło. Częste jest błędne przekonanie, że trzeba „zarejestrować RODO” — nie ma takiej instytucji. Wystarczy faktyczna zgodność z zasadami i gotowa dokumentacja wewnętrzna.</w:t>
      </w:r>
    </w:p>
    <w:p>
      <w:pPr>
        <w:pStyle w:val="Heading3"/>
        <w:spacing w:after="100" w:before="200"/>
      </w:pPr>
      <w:r>
        <w:t xml:space="preserve">3.3.4 Znaczenie szyfrowania end-to-end dla zakresu obowiązków RODO</w:t>
      </w:r>
    </w:p>
    <w:p>
      <w:pPr>
        <w:spacing w:after="160"/>
        <w:jc w:val="both"/>
      </w:pPr>
      <w:r>
        <w:t xml:space="preserve">Zastosowanie prawdziwego szyfrowania end-to-end (opisanego w rozdziale 6) sprawia, że administrator centralnego serwera przechowuje wyłącznie zaszyfrowane dane, których nie jest w stanie odczytać. Nie zwalnia to formalnie z obowiązków RODO (nadal trzeba mieć politykę prywatności i rejestr czynności), ale drastycznie zmniejsza zakres faktycznego ryzyka i ułatwia wykazanie zgodności z zasadą minimalizacji danych (art. 5 ust. 1 lit. c RODO).</w:t>
      </w:r>
    </w:p>
    <w:p>
      <w:pPr>
        <w:pStyle w:val="Heading2"/>
        <w:spacing w:after="150" w:before="300"/>
      </w:pPr>
      <w:r>
        <w:t xml:space="preserve">3.4 Prawo gospodarcze — kiedy trzeba założyć działalność</w:t>
      </w:r>
    </w:p>
    <w:p>
      <w:pPr>
        <w:spacing w:after="160"/>
        <w:jc w:val="both"/>
      </w:pPr>
      <w:r>
        <w:t xml:space="preserve">Sprzedaż towarów lub usług w sposób zorganizowany i ciągły stanowi działalność gospodarczą w rozumieniu polskiego prawa i wymaga rejestracji w CEIDG (dla osoby fizycznej) niezależnie od skali. Jednorazowa, incydentalna sprzedaż (np. jednemu znajomemu, bez powtarzalności) bywa traktowana jako zwykła czynność cywilnoprawna, ale systemowa sprzedaż nadajników lub licencji przez stronę internetową jednoznacznie kwalifikuje się jako działalność gospodarcza.</w:t>
      </w:r>
    </w:p>
    <w:p>
      <w:pPr>
        <w:spacing w:after="160"/>
        <w:jc w:val="both"/>
      </w:pPr>
      <w:r>
        <w:t xml:space="preserve">Dodatkowe obowiązki po rejestracji działalności obejmują ewidencję podatkową, a po przekroczeniu progu 200 000 zł rocznego obrotu — obowiązkową rejestrację VAT (poniżej progu możliwe jest zwolnienie podmiotowe, choć zaleca się prowadzenie ewidencji od początku).</w:t>
      </w:r>
    </w:p>
    <w:p>
      <w:pPr>
        <w:pStyle w:val="Heading2"/>
        <w:spacing w:after="150" w:before="300"/>
      </w:pPr>
      <w:r>
        <w:t xml:space="preserve">3.5 Tabela zbiorcza — próg prawny w zależności od skali działania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c>
          <w:tcPr>
            <w:tcW w:type="dxa" w:w="2600"/>
            <w:shd w:fill="2F5496" w:val="clear"/>
            <w:tcMar>
              <w:top w:type="dxa" w:w="80"/>
              <w:left w:type="dxa" w:w="100"/>
              <w:bottom w:type="dxa" w:w="80"/>
              <w:right w:type="dxa" w:w="100"/>
            </w:tcMar>
            <w:vAlign w:val="center"/>
          </w:tcPr>
          <w:p>
            <w:r>
              <w:rPr>
                <w:b/>
                <w:bCs/>
                <w:color w:val="FFFFFF"/>
                <w:sz w:val="20"/>
                <w:szCs w:val="20"/>
              </w:rPr>
              <w:t xml:space="preserve">Scenariusz</w:t>
            </w:r>
          </w:p>
        </w:tc>
        <w:tc>
          <w:tcPr>
            <w:tcW w:type="dxa" w:w="1600"/>
            <w:shd w:fill="2F5496" w:val="clear"/>
            <w:tcMar>
              <w:top w:type="dxa" w:w="80"/>
              <w:left w:type="dxa" w:w="100"/>
              <w:bottom w:type="dxa" w:w="80"/>
              <w:right w:type="dxa" w:w="100"/>
            </w:tcMar>
            <w:vAlign w:val="center"/>
          </w:tcPr>
          <w:p>
            <w:r>
              <w:rPr>
                <w:b/>
                <w:bCs/>
                <w:color w:val="FFFFFF"/>
                <w:sz w:val="20"/>
                <w:szCs w:val="20"/>
              </w:rPr>
              <w:t xml:space="preserve">UKE / pozwolenie radiowe</w:t>
            </w:r>
          </w:p>
        </w:tc>
        <w:tc>
          <w:tcPr>
            <w:tcW w:type="dxa" w:w="1600"/>
            <w:shd w:fill="2F5496" w:val="clear"/>
            <w:tcMar>
              <w:top w:type="dxa" w:w="80"/>
              <w:left w:type="dxa" w:w="100"/>
              <w:bottom w:type="dxa" w:w="80"/>
              <w:right w:type="dxa" w:w="100"/>
            </w:tcMar>
            <w:vAlign w:val="center"/>
          </w:tcPr>
          <w:p>
            <w:r>
              <w:rPr>
                <w:b/>
                <w:bCs/>
                <w:color w:val="FFFFFF"/>
                <w:sz w:val="20"/>
                <w:szCs w:val="20"/>
              </w:rPr>
              <w:t xml:space="preserve">CE / RED</w:t>
            </w:r>
          </w:p>
        </w:tc>
        <w:tc>
          <w:tcPr>
            <w:tcW w:type="dxa" w:w="1600"/>
            <w:shd w:fill="2F5496" w:val="clear"/>
            <w:tcMar>
              <w:top w:type="dxa" w:w="80"/>
              <w:left w:type="dxa" w:w="100"/>
              <w:bottom w:type="dxa" w:w="80"/>
              <w:right w:type="dxa" w:w="100"/>
            </w:tcMar>
            <w:vAlign w:val="center"/>
          </w:tcPr>
          <w:p>
            <w:r>
              <w:rPr>
                <w:b/>
                <w:bCs/>
                <w:color w:val="FFFFFF"/>
                <w:sz w:val="20"/>
                <w:szCs w:val="20"/>
              </w:rPr>
              <w:t xml:space="preserve">RODO</w:t>
            </w:r>
          </w:p>
        </w:tc>
        <w:tc>
          <w:tcPr>
            <w:tcW w:type="dxa" w:w="1600"/>
            <w:shd w:fill="2F5496" w:val="clear"/>
            <w:tcMar>
              <w:top w:type="dxa" w:w="80"/>
              <w:left w:type="dxa" w:w="100"/>
              <w:bottom w:type="dxa" w:w="80"/>
              <w:right w:type="dxa" w:w="100"/>
            </w:tcMar>
            <w:vAlign w:val="center"/>
          </w:tcPr>
          <w:p>
            <w:r>
              <w:rPr>
                <w:b/>
                <w:bCs/>
                <w:color w:val="FFFFFF"/>
                <w:sz w:val="20"/>
                <w:szCs w:val="20"/>
              </w:rPr>
              <w:t xml:space="preserve">CEIDG</w:t>
            </w:r>
          </w:p>
        </w:tc>
      </w:tr>
      <w:tr>
        <w:tc>
          <w:tcPr>
            <w:tcW w:type="dxa" w:w="2600"/>
            <w:tcMar>
              <w:top w:type="dxa" w:w="80"/>
              <w:left w:type="dxa" w:w="100"/>
              <w:bottom w:type="dxa" w:w="80"/>
              <w:right w:type="dxa" w:w="100"/>
            </w:tcMar>
            <w:vAlign w:val="center"/>
          </w:tcPr>
          <w:p>
            <w:r>
              <w:rPr>
                <w:b w:val="false"/>
                <w:bCs w:val="false"/>
                <w:sz w:val="20"/>
                <w:szCs w:val="20"/>
              </w:rPr>
              <w:t xml:space="preserve">Ty + znajomi, prywatnie, bez sprzedaży</w:t>
            </w:r>
          </w:p>
        </w:tc>
        <w:tc>
          <w:tcPr>
            <w:tcW w:type="dxa" w:w="1600"/>
            <w:tcMar>
              <w:top w:type="dxa" w:w="80"/>
              <w:left w:type="dxa" w:w="100"/>
              <w:bottom w:type="dxa" w:w="80"/>
              <w:right w:type="dxa" w:w="100"/>
            </w:tcMar>
            <w:vAlign w:val="center"/>
          </w:tcPr>
          <w:p>
            <w:r>
              <w:rPr>
                <w:b w:val="false"/>
                <w:bCs w:val="false"/>
                <w:sz w:val="20"/>
                <w:szCs w:val="20"/>
              </w:rPr>
              <w:t xml:space="preserve">Nie wymagane (ISM)</w:t>
            </w:r>
          </w:p>
        </w:tc>
        <w:tc>
          <w:tcPr>
            <w:tcW w:type="dxa" w:w="1600"/>
            <w:tcMar>
              <w:top w:type="dxa" w:w="80"/>
              <w:left w:type="dxa" w:w="100"/>
              <w:bottom w:type="dxa" w:w="80"/>
              <w:right w:type="dxa" w:w="100"/>
            </w:tcMar>
            <w:vAlign w:val="center"/>
          </w:tcPr>
          <w:p>
            <w:r>
              <w:rPr>
                <w:b w:val="false"/>
                <w:bCs w:val="false"/>
                <w:sz w:val="20"/>
                <w:szCs w:val="20"/>
              </w:rPr>
              <w:t xml:space="preserve">Nie wymagane</w:t>
            </w:r>
          </w:p>
        </w:tc>
        <w:tc>
          <w:tcPr>
            <w:tcW w:type="dxa" w:w="1600"/>
            <w:tcMar>
              <w:top w:type="dxa" w:w="80"/>
              <w:left w:type="dxa" w:w="100"/>
              <w:bottom w:type="dxa" w:w="80"/>
              <w:right w:type="dxa" w:w="100"/>
            </w:tcMar>
            <w:vAlign w:val="center"/>
          </w:tcPr>
          <w:p>
            <w:r>
              <w:rPr>
                <w:b w:val="false"/>
                <w:bCs w:val="false"/>
                <w:sz w:val="20"/>
                <w:szCs w:val="20"/>
              </w:rPr>
              <w:t xml:space="preserve">Nie wymagane</w:t>
            </w:r>
          </w:p>
        </w:tc>
        <w:tc>
          <w:tcPr>
            <w:tcW w:type="dxa" w:w="1600"/>
            <w:tcMar>
              <w:top w:type="dxa" w:w="80"/>
              <w:left w:type="dxa" w:w="100"/>
              <w:bottom w:type="dxa" w:w="80"/>
              <w:right w:type="dxa" w:w="100"/>
            </w:tcMar>
            <w:vAlign w:val="center"/>
          </w:tcPr>
          <w:p>
            <w:r>
              <w:rPr>
                <w:b w:val="false"/>
                <w:bCs w:val="false"/>
                <w:sz w:val="20"/>
                <w:szCs w:val="20"/>
              </w:rPr>
              <w:t xml:space="preserve">Nie wymagane</w:t>
            </w:r>
          </w:p>
        </w:tc>
      </w:tr>
      <w:tr>
        <w:tc>
          <w:tcPr>
            <w:tcW w:type="dxa" w:w="2600"/>
            <w:tcMar>
              <w:top w:type="dxa" w:w="80"/>
              <w:left w:type="dxa" w:w="100"/>
              <w:bottom w:type="dxa" w:w="80"/>
              <w:right w:type="dxa" w:w="100"/>
            </w:tcMar>
            <w:vAlign w:val="center"/>
          </w:tcPr>
          <w:p>
            <w:r>
              <w:rPr>
                <w:b w:val="false"/>
                <w:bCs w:val="false"/>
                <w:sz w:val="20"/>
                <w:szCs w:val="20"/>
              </w:rPr>
              <w:t xml:space="preserve">Kod na GitHub (open source)</w:t>
            </w:r>
          </w:p>
        </w:tc>
        <w:tc>
          <w:tcPr>
            <w:tcW w:type="dxa" w:w="1600"/>
            <w:tcMar>
              <w:top w:type="dxa" w:w="80"/>
              <w:left w:type="dxa" w:w="100"/>
              <w:bottom w:type="dxa" w:w="80"/>
              <w:right w:type="dxa" w:w="100"/>
            </w:tcMar>
            <w:vAlign w:val="center"/>
          </w:tcPr>
          <w:p>
            <w:r>
              <w:rPr>
                <w:b w:val="false"/>
                <w:bCs w:val="false"/>
                <w:sz w:val="20"/>
                <w:szCs w:val="20"/>
              </w:rPr>
              <w:t xml:space="preserve">Nie dotyczy</w:t>
            </w:r>
          </w:p>
        </w:tc>
        <w:tc>
          <w:tcPr>
            <w:tcW w:type="dxa" w:w="1600"/>
            <w:tcMar>
              <w:top w:type="dxa" w:w="80"/>
              <w:left w:type="dxa" w:w="100"/>
              <w:bottom w:type="dxa" w:w="80"/>
              <w:right w:type="dxa" w:w="100"/>
            </w:tcMar>
            <w:vAlign w:val="center"/>
          </w:tcPr>
          <w:p>
            <w:r>
              <w:rPr>
                <w:b w:val="false"/>
                <w:bCs w:val="false"/>
                <w:sz w:val="20"/>
                <w:szCs w:val="20"/>
              </w:rPr>
              <w:t xml:space="preserve">Nie dotyczy (to nie sprzęt)</w:t>
            </w:r>
          </w:p>
        </w:tc>
        <w:tc>
          <w:tcPr>
            <w:tcW w:type="dxa" w:w="1600"/>
            <w:tcMar>
              <w:top w:type="dxa" w:w="80"/>
              <w:left w:type="dxa" w:w="100"/>
              <w:bottom w:type="dxa" w:w="80"/>
              <w:right w:type="dxa" w:w="100"/>
            </w:tcMar>
            <w:vAlign w:val="center"/>
          </w:tcPr>
          <w:p>
            <w:r>
              <w:rPr>
                <w:b w:val="false"/>
                <w:bCs w:val="false"/>
                <w:sz w:val="20"/>
                <w:szCs w:val="20"/>
              </w:rPr>
              <w:t xml:space="preserve">Nie dotyczy</w:t>
            </w:r>
          </w:p>
        </w:tc>
        <w:tc>
          <w:tcPr>
            <w:tcW w:type="dxa" w:w="1600"/>
            <w:tcMar>
              <w:top w:type="dxa" w:w="80"/>
              <w:left w:type="dxa" w:w="100"/>
              <w:bottom w:type="dxa" w:w="80"/>
              <w:right w:type="dxa" w:w="100"/>
            </w:tcMar>
            <w:vAlign w:val="center"/>
          </w:tcPr>
          <w:p>
            <w:r>
              <w:rPr>
                <w:b w:val="false"/>
                <w:bCs w:val="false"/>
                <w:sz w:val="20"/>
                <w:szCs w:val="20"/>
              </w:rPr>
              <w:t xml:space="preserve">Nie dotyczy</w:t>
            </w:r>
          </w:p>
        </w:tc>
      </w:tr>
      <w:tr>
        <w:tc>
          <w:tcPr>
            <w:tcW w:type="dxa" w:w="2600"/>
            <w:tcMar>
              <w:top w:type="dxa" w:w="80"/>
              <w:left w:type="dxa" w:w="100"/>
              <w:bottom w:type="dxa" w:w="80"/>
              <w:right w:type="dxa" w:w="100"/>
            </w:tcMar>
            <w:vAlign w:val="center"/>
          </w:tcPr>
          <w:p>
            <w:r>
              <w:rPr>
                <w:b w:val="false"/>
                <w:bCs w:val="false"/>
                <w:sz w:val="20"/>
                <w:szCs w:val="20"/>
              </w:rPr>
              <w:t xml:space="preserve">Publiczny tutorial + własny serwer centralny dla obcych</w:t>
            </w:r>
          </w:p>
        </w:tc>
        <w:tc>
          <w:tcPr>
            <w:tcW w:type="dxa" w:w="1600"/>
            <w:tcMar>
              <w:top w:type="dxa" w:w="80"/>
              <w:left w:type="dxa" w:w="100"/>
              <w:bottom w:type="dxa" w:w="80"/>
              <w:right w:type="dxa" w:w="100"/>
            </w:tcMar>
            <w:vAlign w:val="center"/>
          </w:tcPr>
          <w:p>
            <w:r>
              <w:rPr>
                <w:b w:val="false"/>
                <w:bCs w:val="false"/>
                <w:sz w:val="20"/>
                <w:szCs w:val="20"/>
              </w:rPr>
              <w:t xml:space="preserve">Nie wymagane (ISM)</w:t>
            </w:r>
          </w:p>
        </w:tc>
        <w:tc>
          <w:tcPr>
            <w:tcW w:type="dxa" w:w="1600"/>
            <w:tcMar>
              <w:top w:type="dxa" w:w="80"/>
              <w:left w:type="dxa" w:w="100"/>
              <w:bottom w:type="dxa" w:w="80"/>
              <w:right w:type="dxa" w:w="100"/>
            </w:tcMar>
            <w:vAlign w:val="center"/>
          </w:tcPr>
          <w:p>
            <w:r>
              <w:rPr>
                <w:b w:val="false"/>
                <w:bCs w:val="false"/>
                <w:sz w:val="20"/>
                <w:szCs w:val="20"/>
              </w:rPr>
              <w:t xml:space="preserve">Zależnie od dystrybucji sprzętu</w:t>
            </w:r>
          </w:p>
        </w:tc>
        <w:tc>
          <w:tcPr>
            <w:tcW w:type="dxa" w:w="1600"/>
            <w:tcMar>
              <w:top w:type="dxa" w:w="80"/>
              <w:left w:type="dxa" w:w="100"/>
              <w:bottom w:type="dxa" w:w="80"/>
              <w:right w:type="dxa" w:w="100"/>
            </w:tcMar>
            <w:vAlign w:val="center"/>
          </w:tcPr>
          <w:p>
            <w:r>
              <w:rPr>
                <w:b w:val="false"/>
                <w:bCs w:val="false"/>
                <w:sz w:val="20"/>
                <w:szCs w:val="20"/>
              </w:rPr>
              <w:t xml:space="preserve">Wymagane w pełni</w:t>
            </w:r>
          </w:p>
        </w:tc>
        <w:tc>
          <w:tcPr>
            <w:tcW w:type="dxa" w:w="1600"/>
            <w:tcMar>
              <w:top w:type="dxa" w:w="80"/>
              <w:left w:type="dxa" w:w="100"/>
              <w:bottom w:type="dxa" w:w="80"/>
              <w:right w:type="dxa" w:w="100"/>
            </w:tcMar>
            <w:vAlign w:val="center"/>
          </w:tcPr>
          <w:p>
            <w:r>
              <w:rPr>
                <w:b w:val="false"/>
                <w:bCs w:val="false"/>
                <w:sz w:val="20"/>
                <w:szCs w:val="20"/>
              </w:rPr>
              <w:t xml:space="preserve">Zależnie od skali</w:t>
            </w:r>
          </w:p>
        </w:tc>
      </w:tr>
      <w:tr>
        <w:tc>
          <w:tcPr>
            <w:tcW w:type="dxa" w:w="2600"/>
            <w:tcMar>
              <w:top w:type="dxa" w:w="80"/>
              <w:left w:type="dxa" w:w="100"/>
              <w:bottom w:type="dxa" w:w="80"/>
              <w:right w:type="dxa" w:w="100"/>
            </w:tcMar>
            <w:vAlign w:val="center"/>
          </w:tcPr>
          <w:p>
            <w:r>
              <w:rPr>
                <w:b w:val="false"/>
                <w:bCs w:val="false"/>
                <w:sz w:val="20"/>
                <w:szCs w:val="20"/>
              </w:rPr>
              <w:t xml:space="preserve">Masowe rozdawanie urządzeń (za darmo) w celu budowy sieci</w:t>
            </w:r>
          </w:p>
        </w:tc>
        <w:tc>
          <w:tcPr>
            <w:tcW w:type="dxa" w:w="1600"/>
            <w:tcMar>
              <w:top w:type="dxa" w:w="80"/>
              <w:left w:type="dxa" w:w="100"/>
              <w:bottom w:type="dxa" w:w="80"/>
              <w:right w:type="dxa" w:w="100"/>
            </w:tcMar>
            <w:vAlign w:val="center"/>
          </w:tcPr>
          <w:p>
            <w:r>
              <w:rPr>
                <w:b w:val="false"/>
                <w:bCs w:val="false"/>
                <w:sz w:val="20"/>
                <w:szCs w:val="20"/>
              </w:rPr>
              <w:t xml:space="preserve">Nie wymagane (ISM)</w:t>
            </w:r>
          </w:p>
        </w:tc>
        <w:tc>
          <w:tcPr>
            <w:tcW w:type="dxa" w:w="1600"/>
            <w:tcMar>
              <w:top w:type="dxa" w:w="80"/>
              <w:left w:type="dxa" w:w="100"/>
              <w:bottom w:type="dxa" w:w="80"/>
              <w:right w:type="dxa" w:w="100"/>
            </w:tcMar>
            <w:vAlign w:val="center"/>
          </w:tcPr>
          <w:p>
            <w:r>
              <w:rPr>
                <w:b w:val="false"/>
                <w:bCs w:val="false"/>
                <w:sz w:val="20"/>
                <w:szCs w:val="20"/>
              </w:rPr>
              <w:t xml:space="preserve">Wymagane</w:t>
            </w:r>
          </w:p>
        </w:tc>
        <w:tc>
          <w:tcPr>
            <w:tcW w:type="dxa" w:w="1600"/>
            <w:tcMar>
              <w:top w:type="dxa" w:w="80"/>
              <w:left w:type="dxa" w:w="100"/>
              <w:bottom w:type="dxa" w:w="80"/>
              <w:right w:type="dxa" w:w="100"/>
            </w:tcMar>
            <w:vAlign w:val="center"/>
          </w:tcPr>
          <w:p>
            <w:r>
              <w:rPr>
                <w:b w:val="false"/>
                <w:bCs w:val="false"/>
                <w:sz w:val="20"/>
                <w:szCs w:val="20"/>
              </w:rPr>
              <w:t xml:space="preserve">Wymagane jeśli jest serwer centralny</w:t>
            </w:r>
          </w:p>
        </w:tc>
        <w:tc>
          <w:tcPr>
            <w:tcW w:type="dxa" w:w="1600"/>
            <w:tcMar>
              <w:top w:type="dxa" w:w="80"/>
              <w:left w:type="dxa" w:w="100"/>
              <w:bottom w:type="dxa" w:w="80"/>
              <w:right w:type="dxa" w:w="100"/>
            </w:tcMar>
            <w:vAlign w:val="center"/>
          </w:tcPr>
          <w:p>
            <w:r>
              <w:rPr>
                <w:b w:val="false"/>
                <w:bCs w:val="false"/>
                <w:sz w:val="20"/>
                <w:szCs w:val="20"/>
              </w:rPr>
              <w:t xml:space="preserve">Możliwie wymagane</w:t>
            </w:r>
          </w:p>
        </w:tc>
      </w:tr>
      <w:tr>
        <w:tc>
          <w:tcPr>
            <w:tcW w:type="dxa" w:w="2600"/>
            <w:tcMar>
              <w:top w:type="dxa" w:w="80"/>
              <w:left w:type="dxa" w:w="100"/>
              <w:bottom w:type="dxa" w:w="80"/>
              <w:right w:type="dxa" w:w="100"/>
            </w:tcMar>
            <w:vAlign w:val="center"/>
          </w:tcPr>
          <w:p>
            <w:r>
              <w:rPr>
                <w:b w:val="false"/>
                <w:bCs w:val="false"/>
                <w:sz w:val="20"/>
                <w:szCs w:val="20"/>
              </w:rPr>
              <w:t xml:space="preserve">Sprzedaż urządzeń / licencji komukolwiek</w:t>
            </w:r>
          </w:p>
        </w:tc>
        <w:tc>
          <w:tcPr>
            <w:tcW w:type="dxa" w:w="1600"/>
            <w:tcMar>
              <w:top w:type="dxa" w:w="80"/>
              <w:left w:type="dxa" w:w="100"/>
              <w:bottom w:type="dxa" w:w="80"/>
              <w:right w:type="dxa" w:w="100"/>
            </w:tcMar>
            <w:vAlign w:val="center"/>
          </w:tcPr>
          <w:p>
            <w:r>
              <w:rPr>
                <w:b w:val="false"/>
                <w:bCs w:val="false"/>
                <w:sz w:val="20"/>
                <w:szCs w:val="20"/>
              </w:rPr>
              <w:t xml:space="preserve">Nie wymagane (ISM)</w:t>
            </w:r>
          </w:p>
        </w:tc>
        <w:tc>
          <w:tcPr>
            <w:tcW w:type="dxa" w:w="1600"/>
            <w:tcMar>
              <w:top w:type="dxa" w:w="80"/>
              <w:left w:type="dxa" w:w="100"/>
              <w:bottom w:type="dxa" w:w="80"/>
              <w:right w:type="dxa" w:w="100"/>
            </w:tcMar>
            <w:vAlign w:val="center"/>
          </w:tcPr>
          <w:p>
            <w:r>
              <w:rPr>
                <w:b w:val="false"/>
                <w:bCs w:val="false"/>
                <w:sz w:val="20"/>
                <w:szCs w:val="20"/>
              </w:rPr>
              <w:t xml:space="preserve">Wymagane</w:t>
            </w:r>
          </w:p>
        </w:tc>
        <w:tc>
          <w:tcPr>
            <w:tcW w:type="dxa" w:w="1600"/>
            <w:tcMar>
              <w:top w:type="dxa" w:w="80"/>
              <w:left w:type="dxa" w:w="100"/>
              <w:bottom w:type="dxa" w:w="80"/>
              <w:right w:type="dxa" w:w="100"/>
            </w:tcMar>
            <w:vAlign w:val="center"/>
          </w:tcPr>
          <w:p>
            <w:r>
              <w:rPr>
                <w:b w:val="false"/>
                <w:bCs w:val="false"/>
                <w:sz w:val="20"/>
                <w:szCs w:val="20"/>
              </w:rPr>
              <w:t xml:space="preserve">Wymagane jeśli jest serwer centralny</w:t>
            </w:r>
          </w:p>
        </w:tc>
        <w:tc>
          <w:tcPr>
            <w:tcW w:type="dxa" w:w="1600"/>
            <w:tcMar>
              <w:top w:type="dxa" w:w="80"/>
              <w:left w:type="dxa" w:w="100"/>
              <w:bottom w:type="dxa" w:w="80"/>
              <w:right w:type="dxa" w:w="100"/>
            </w:tcMar>
            <w:vAlign w:val="center"/>
          </w:tcPr>
          <w:p>
            <w:r>
              <w:rPr>
                <w:b w:val="false"/>
                <w:bCs w:val="false"/>
                <w:sz w:val="20"/>
                <w:szCs w:val="20"/>
              </w:rPr>
              <w:t xml:space="preserve">Wymagane</w:t>
            </w:r>
          </w:p>
        </w:tc>
      </w:tr>
    </w:tbl>
    <w:p>
      <w:pPr>
        <w:pBdr>
          <w:left w:val="single" w:color="2F5496" w:sz="12" w:space="8"/>
        </w:pBdr>
        <w:spacing w:after="150" w:before="150"/>
        <w:ind w:left="300"/>
      </w:pPr>
      <w:r>
        <w:rPr>
          <w:i/>
          <w:iCs/>
        </w:rPr>
        <w:t xml:space="preserve">Zasada przewodnia: to nie nazwa projektu ani deklaracja „to tylko hobby” decyduje o obowiązkach prawnych, lecz faktyczna skala i to, czy dane lub urządzenia trafiają do osób spoza wąskiego, osobiście znanego grona.</w:t>
      </w:r>
    </w:p>
    <w:p>
      <w:r>
        <w:br w:type="page"/>
      </w:r>
    </w:p>
    <w:p>
      <w:pPr>
        <w:pStyle w:val="Heading1"/>
        <w:spacing w:after="200" w:before="400"/>
      </w:pPr>
      <w:r>
        <w:t xml:space="preserve">4. Architektura systemu</w:t>
      </w:r>
    </w:p>
    <w:p>
      <w:pPr>
        <w:pStyle w:val="Heading2"/>
        <w:spacing w:after="150" w:before="300"/>
      </w:pPr>
      <w:r>
        <w:t xml:space="preserve">4.1 Widok ogólny</w:t>
      </w:r>
    </w:p>
    <w:p>
      <w:pPr>
        <w:spacing w:after="160"/>
        <w:jc w:val="both"/>
      </w:pPr>
      <w:r>
        <w:t xml:space="preserve">System składa się z trzech warstw: (1) warstwy urządzeń końcowych — nadajników radiowych tworzących sieć kratową (mesh), (2) opcjonalnej warstwy serwera centralnego, pełniącej rolę magazynu wiadomości dla odbiorców offline oraz rejestru urządzeń, oraz (3) warstwy dystrybucji oprogramowania — autorskiej dystrybucji Linuksa umożliwiającej innym użytkownikom stawianie własnych, niezależnych serwerów.</w:t>
      </w:r>
    </w:p>
    <w:p>
      <w:pPr>
        <w:spacing w:after="160"/>
        <w:jc w:val="both"/>
      </w:pPr>
      <w:r>
        <w:t xml:space="preserve">Warstwa 1 działa w pełni autonomicznie, bez potrzeby łączności internetowej — komunikacja odbywa się wyłącznie drogą radiową między urządzeniami znajdującymi się w swoim wzajemnym zasięgu, niezależnie od tego, czy dany nadajnik jest własnością nadawcy, odbiorcy, czy osoby trzeciej. Warstwa 2 jest opcjonalna z punktu widzenia każdego użytkownika z osobna — użytkownik, który nie włączy synchronizacji z serwerem centralnym, nie generuje żadnych danych na tym serwerze.</w:t>
      </w:r>
    </w:p>
    <w:p>
      <w:pPr>
        <w:pStyle w:val="Heading2"/>
        <w:spacing w:after="150" w:before="300"/>
      </w:pPr>
      <w:r>
        <w:t xml:space="preserve">4.2 Diagram przepływu wiadomości</w:t>
      </w:r>
    </w:p>
    <w:p>
      <w:pPr>
        <w:spacing w:after="160"/>
        <w:jc w:val="both"/>
      </w:pPr>
      <w:r>
        <w:t xml:space="preserve">Poniżej przedstawiono uproszczony przepływ wiadomości od nadawcy (Użytkownik A) do odbiorcy (Użytkownik B) przez pośredniczący węzeł należący do Użytkownika C:</w:t>
      </w:r>
    </w:p>
    <w:p>
      <w:pPr>
        <w:pStyle w:val="ListParagraph"/>
        <w:numPr>
          <w:ilvl w:val="0"/>
          <w:numId w:val="2"/>
        </w:numPr>
        <w:spacing w:after="100"/>
      </w:pPr>
      <w:r>
        <w:t xml:space="preserve">Krok 1: Użytkownik A tworzy wiadomość w aplikacji klienckiej (na telefonie lub dedykowanym urządzeniu), wiadomość jest natychmiast szyfrowana end-to-end kluczem publicznym Użytkownika B.</w:t>
      </w:r>
    </w:p>
    <w:p>
      <w:pPr>
        <w:pStyle w:val="ListParagraph"/>
        <w:numPr>
          <w:ilvl w:val="0"/>
          <w:numId w:val="2"/>
        </w:numPr>
        <w:spacing w:after="100"/>
      </w:pPr>
      <w:r>
        <w:t xml:space="preserve">Krok 2: Zaszyfrowana wiadomość trafia do najbliższego nadajnika w zasięgu radiowym Użytkownika A — niezależnie od tego, czyją jest własnością.</w:t>
      </w:r>
    </w:p>
    <w:p>
      <w:pPr>
        <w:pStyle w:val="ListParagraph"/>
        <w:numPr>
          <w:ilvl w:val="0"/>
          <w:numId w:val="2"/>
        </w:numPr>
        <w:spacing w:after="100"/>
      </w:pPr>
      <w:r>
        <w:t xml:space="preserve">Krok 3: Nadajnik sprawdza swoją lokalną tabelę obecności (routing table) — czy Użytkownik B był ostatnio widziany w jego bezpośrednim zasięgu.</w:t>
      </w:r>
    </w:p>
    <w:p>
      <w:pPr>
        <w:pStyle w:val="ListParagraph"/>
        <w:numPr>
          <w:ilvl w:val="0"/>
          <w:numId w:val="2"/>
        </w:numPr>
        <w:spacing w:after="100"/>
      </w:pPr>
      <w:r>
        <w:t xml:space="preserve">Krok 4: Jeśli tak — wiadomość jest dostarczana bezpośrednio. Jeśli nie — nadajnik rozgłasza wiadomość do wszystkich sąsiednich węzłów w swoim zasięgu (flooding), z licznikiem TTL (time-to-live) ograniczającym liczbę „skoków”.</w:t>
      </w:r>
    </w:p>
    <w:p>
      <w:pPr>
        <w:pStyle w:val="ListParagraph"/>
        <w:numPr>
          <w:ilvl w:val="0"/>
          <w:numId w:val="2"/>
        </w:numPr>
        <w:spacing w:after="100"/>
      </w:pPr>
      <w:r>
        <w:t xml:space="preserve">Krok 5: Każdy węzeł, przez który przechodzi wiadomość, przechowuje jej kopię lokalnie (cache) na wypadek, gdyby Użytkownik B pojawił się w jego zasięgu później.</w:t>
      </w:r>
    </w:p>
    <w:p>
      <w:pPr>
        <w:pStyle w:val="ListParagraph"/>
        <w:numPr>
          <w:ilvl w:val="0"/>
          <w:numId w:val="2"/>
        </w:numPr>
        <w:spacing w:after="100"/>
      </w:pPr>
      <w:r>
        <w:t xml:space="preserve">Krok 6: Jeśli po określonym czasie (np. 24 godziny) żaden węzeł nie dostarczył wiadomości bezpośrednio, a dany węzeł ma połączenie internetowe i użytkownik włączył opcję synchronizacji — zaszyfrowana wiadomość (nadal nieczytelna dla serwera) jest wysyłana do serwera centralnego.</w:t>
      </w:r>
    </w:p>
    <w:p>
      <w:pPr>
        <w:pStyle w:val="ListParagraph"/>
        <w:numPr>
          <w:ilvl w:val="0"/>
          <w:numId w:val="2"/>
        </w:numPr>
        <w:spacing w:after="100"/>
      </w:pPr>
      <w:r>
        <w:t xml:space="preserve">Krok 7: Serwer centralny przechowuje wiadomość przez ustalony okres retencji i wypycha ją do dowolnego węzła, który zgłosi wykrycie Użytkownika B w swoim zasięgu.</w:t>
      </w:r>
    </w:p>
    <w:p>
      <w:pPr>
        <w:pStyle w:val="Heading2"/>
        <w:spacing w:after="150" w:before="300"/>
      </w:pPr>
      <w:r>
        <w:t xml:space="preserve">4.3 Model zaufania (trust model)</w:t>
      </w:r>
    </w:p>
    <w:p>
      <w:pPr>
        <w:spacing w:after="160"/>
        <w:jc w:val="both"/>
      </w:pPr>
      <w:r>
        <w:t xml:space="preserve">Fundamentalną zasadą architektury jest to, że żaden pojedynczy element systemu — w tym serwer centralny administrowany przez twórcę projektu — nie musi być obdarzony zaufaniem w zakresie treści komunikacji. Zaufanie ogranicza się wyłącznie do: (a) poprawności implementacji kryptograficznej klienta, (b) integralności klucza prywatnego przechowywanego lokalnie na urządzeniu użytkownika. Jest to model analogiczny do stosowanego w komunikatorze Signal oraz w sieciach mesh typu Meshtastic.</w:t>
      </w:r>
    </w:p>
    <w:p>
      <w:pPr>
        <w:pStyle w:val="Heading2"/>
        <w:spacing w:after="150" w:before="300"/>
      </w:pPr>
      <w:r>
        <w:t xml:space="preserve">4.4 Tryby pracy systemu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000"/>
        <w:gridCol w:w="1400"/>
      </w:tblGrid>
      <w:tr>
        <w:tc>
          <w:tcPr>
            <w:tcW w:type="dxa" w:w="2200"/>
            <w:shd w:fill="2F5496" w:val="clear"/>
            <w:tcMar>
              <w:top w:type="dxa" w:w="80"/>
              <w:left w:type="dxa" w:w="100"/>
              <w:bottom w:type="dxa" w:w="80"/>
              <w:right w:type="dxa" w:w="100"/>
            </w:tcMar>
            <w:vAlign w:val="center"/>
          </w:tcPr>
          <w:p>
            <w:r>
              <w:rPr>
                <w:b/>
                <w:bCs/>
                <w:color w:val="FFFFFF"/>
                <w:sz w:val="20"/>
                <w:szCs w:val="20"/>
              </w:rPr>
              <w:t xml:space="preserve">Tryb</w:t>
            </w:r>
          </w:p>
        </w:tc>
        <w:tc>
          <w:tcPr>
            <w:tcW w:type="dxa" w:w="3400"/>
            <w:shd w:fill="2F5496" w:val="clear"/>
            <w:tcMar>
              <w:top w:type="dxa" w:w="80"/>
              <w:left w:type="dxa" w:w="100"/>
              <w:bottom w:type="dxa" w:w="80"/>
              <w:right w:type="dxa" w:w="100"/>
            </w:tcMar>
            <w:vAlign w:val="center"/>
          </w:tcPr>
          <w:p>
            <w:r>
              <w:rPr>
                <w:b/>
                <w:bCs/>
                <w:color w:val="FFFFFF"/>
                <w:sz w:val="20"/>
                <w:szCs w:val="20"/>
              </w:rPr>
              <w:t xml:space="preserve">Opis</w:t>
            </w:r>
          </w:p>
        </w:tc>
        <w:tc>
          <w:tcPr>
            <w:tcW w:type="dxa" w:w="2000"/>
            <w:shd w:fill="2F5496" w:val="clear"/>
            <w:tcMar>
              <w:top w:type="dxa" w:w="80"/>
              <w:left w:type="dxa" w:w="100"/>
              <w:bottom w:type="dxa" w:w="80"/>
              <w:right w:type="dxa" w:w="100"/>
            </w:tcMar>
            <w:vAlign w:val="center"/>
          </w:tcPr>
          <w:p>
            <w:r>
              <w:rPr>
                <w:b/>
                <w:bCs/>
                <w:color w:val="FFFFFF"/>
                <w:sz w:val="20"/>
                <w:szCs w:val="20"/>
              </w:rPr>
              <w:t xml:space="preserve">Zależność od serwera centralnego</w:t>
            </w:r>
          </w:p>
        </w:tc>
        <w:tc>
          <w:tcPr>
            <w:tcW w:type="dxa" w:w="1400"/>
            <w:shd w:fill="2F5496" w:val="clear"/>
            <w:tcMar>
              <w:top w:type="dxa" w:w="80"/>
              <w:left w:type="dxa" w:w="100"/>
              <w:bottom w:type="dxa" w:w="80"/>
              <w:right w:type="dxa" w:w="100"/>
            </w:tcMar>
            <w:vAlign w:val="center"/>
          </w:tcPr>
          <w:p>
            <w:r>
              <w:rPr>
                <w:b/>
                <w:bCs/>
                <w:color w:val="FFFFFF"/>
                <w:sz w:val="20"/>
                <w:szCs w:val="20"/>
              </w:rPr>
              <w:t xml:space="preserve">Wymogi prawne dla administratora</w:t>
            </w:r>
          </w:p>
        </w:tc>
      </w:tr>
      <w:tr>
        <w:tc>
          <w:tcPr>
            <w:tcW w:type="dxa" w:w="2200"/>
            <w:tcMar>
              <w:top w:type="dxa" w:w="80"/>
              <w:left w:type="dxa" w:w="100"/>
              <w:bottom w:type="dxa" w:w="80"/>
              <w:right w:type="dxa" w:w="100"/>
            </w:tcMar>
            <w:vAlign w:val="center"/>
          </w:tcPr>
          <w:p>
            <w:r>
              <w:rPr>
                <w:b w:val="false"/>
                <w:bCs w:val="false"/>
                <w:sz w:val="20"/>
                <w:szCs w:val="20"/>
              </w:rPr>
              <w:t xml:space="preserve">Lokalny (P2P)</w:t>
            </w:r>
          </w:p>
        </w:tc>
        <w:tc>
          <w:tcPr>
            <w:tcW w:type="dxa" w:w="3400"/>
            <w:tcMar>
              <w:top w:type="dxa" w:w="80"/>
              <w:left w:type="dxa" w:w="100"/>
              <w:bottom w:type="dxa" w:w="80"/>
              <w:right w:type="dxa" w:w="100"/>
            </w:tcMar>
            <w:vAlign w:val="center"/>
          </w:tcPr>
          <w:p>
            <w:r>
              <w:rPr>
                <w:b w:val="false"/>
                <w:bCs w:val="false"/>
                <w:sz w:val="20"/>
                <w:szCs w:val="20"/>
              </w:rPr>
              <w:t xml:space="preserve">Komunikacja wyłącznie w ramach zasięgu radiowego mesh, bez zapisu na serwerze</w:t>
            </w:r>
          </w:p>
        </w:tc>
        <w:tc>
          <w:tcPr>
            <w:tcW w:type="dxa" w:w="2000"/>
            <w:tcMar>
              <w:top w:type="dxa" w:w="80"/>
              <w:left w:type="dxa" w:w="100"/>
              <w:bottom w:type="dxa" w:w="80"/>
              <w:right w:type="dxa" w:w="100"/>
            </w:tcMar>
            <w:vAlign w:val="center"/>
          </w:tcPr>
          <w:p>
            <w:r>
              <w:rPr>
                <w:b w:val="false"/>
                <w:bCs w:val="false"/>
                <w:sz w:val="20"/>
                <w:szCs w:val="20"/>
              </w:rPr>
              <w:t xml:space="preserve">Brak</w:t>
            </w:r>
          </w:p>
        </w:tc>
        <w:tc>
          <w:tcPr>
            <w:tcW w:type="dxa" w:w="1400"/>
            <w:tcMar>
              <w:top w:type="dxa" w:w="80"/>
              <w:left w:type="dxa" w:w="100"/>
              <w:bottom w:type="dxa" w:w="80"/>
              <w:right w:type="dxa" w:w="100"/>
            </w:tcMar>
            <w:vAlign w:val="center"/>
          </w:tcPr>
          <w:p>
            <w:r>
              <w:rPr>
                <w:b w:val="false"/>
                <w:bCs w:val="false"/>
                <w:sz w:val="20"/>
                <w:szCs w:val="20"/>
              </w:rPr>
              <w:t xml:space="preserve">Brak (poza własnym gronem)</w:t>
            </w:r>
          </w:p>
        </w:tc>
      </w:tr>
      <w:tr>
        <w:tc>
          <w:tcPr>
            <w:tcW w:type="dxa" w:w="2200"/>
            <w:tcMar>
              <w:top w:type="dxa" w:w="80"/>
              <w:left w:type="dxa" w:w="100"/>
              <w:bottom w:type="dxa" w:w="80"/>
              <w:right w:type="dxa" w:w="100"/>
            </w:tcMar>
            <w:vAlign w:val="center"/>
          </w:tcPr>
          <w:p>
            <w:r>
              <w:rPr>
                <w:b w:val="false"/>
                <w:bCs w:val="false"/>
                <w:sz w:val="20"/>
                <w:szCs w:val="20"/>
              </w:rPr>
              <w:t xml:space="preserve">Scentralizowany (opt-in)</w:t>
            </w:r>
          </w:p>
        </w:tc>
        <w:tc>
          <w:tcPr>
            <w:tcW w:type="dxa" w:w="3400"/>
            <w:tcMar>
              <w:top w:type="dxa" w:w="80"/>
              <w:left w:type="dxa" w:w="100"/>
              <w:bottom w:type="dxa" w:w="80"/>
              <w:right w:type="dxa" w:w="100"/>
            </w:tcMar>
            <w:vAlign w:val="center"/>
          </w:tcPr>
          <w:p>
            <w:r>
              <w:rPr>
                <w:b w:val="false"/>
                <w:bCs w:val="false"/>
                <w:sz w:val="20"/>
                <w:szCs w:val="20"/>
              </w:rPr>
              <w:t xml:space="preserve">Użytkownik świadomie włącza synchronizację z serwerem głównym dla wiadomości offline</w:t>
            </w:r>
          </w:p>
        </w:tc>
        <w:tc>
          <w:tcPr>
            <w:tcW w:type="dxa" w:w="2000"/>
            <w:tcMar>
              <w:top w:type="dxa" w:w="80"/>
              <w:left w:type="dxa" w:w="100"/>
              <w:bottom w:type="dxa" w:w="80"/>
              <w:right w:type="dxa" w:w="100"/>
            </w:tcMar>
            <w:vAlign w:val="center"/>
          </w:tcPr>
          <w:p>
            <w:r>
              <w:rPr>
                <w:b w:val="false"/>
                <w:bCs w:val="false"/>
                <w:sz w:val="20"/>
                <w:szCs w:val="20"/>
              </w:rPr>
              <w:t xml:space="preserve">Pełna, jako opcja</w:t>
            </w:r>
          </w:p>
        </w:tc>
        <w:tc>
          <w:tcPr>
            <w:tcW w:type="dxa" w:w="1400"/>
            <w:tcMar>
              <w:top w:type="dxa" w:w="80"/>
              <w:left w:type="dxa" w:w="100"/>
              <w:bottom w:type="dxa" w:w="80"/>
              <w:right w:type="dxa" w:w="100"/>
            </w:tcMar>
            <w:vAlign w:val="center"/>
          </w:tcPr>
          <w:p>
            <w:r>
              <w:rPr>
                <w:b w:val="false"/>
                <w:bCs w:val="false"/>
                <w:sz w:val="20"/>
                <w:szCs w:val="20"/>
              </w:rPr>
              <w:t xml:space="preserve">RODO w pełnym zakresie</w:t>
            </w:r>
          </w:p>
        </w:tc>
      </w:tr>
      <w:tr>
        <w:tc>
          <w:tcPr>
            <w:tcW w:type="dxa" w:w="2200"/>
            <w:tcMar>
              <w:top w:type="dxa" w:w="80"/>
              <w:left w:type="dxa" w:w="100"/>
              <w:bottom w:type="dxa" w:w="80"/>
              <w:right w:type="dxa" w:w="100"/>
            </w:tcMar>
            <w:vAlign w:val="center"/>
          </w:tcPr>
          <w:p>
            <w:r>
              <w:rPr>
                <w:b w:val="false"/>
                <w:bCs w:val="false"/>
                <w:sz w:val="20"/>
                <w:szCs w:val="20"/>
              </w:rPr>
              <w:t xml:space="preserve">Serwer własny (self-hosted)</w:t>
            </w:r>
          </w:p>
        </w:tc>
        <w:tc>
          <w:tcPr>
            <w:tcW w:type="dxa" w:w="3400"/>
            <w:tcMar>
              <w:top w:type="dxa" w:w="80"/>
              <w:left w:type="dxa" w:w="100"/>
              <w:bottom w:type="dxa" w:w="80"/>
              <w:right w:type="dxa" w:w="100"/>
            </w:tcMar>
            <w:vAlign w:val="center"/>
          </w:tcPr>
          <w:p>
            <w:r>
              <w:rPr>
                <w:b w:val="false"/>
                <w:bCs w:val="false"/>
                <w:sz w:val="20"/>
                <w:szCs w:val="20"/>
              </w:rPr>
              <w:t xml:space="preserve">Użytkownik/grupa stawia niezależny serwer na dystrybucji Linux projektu</w:t>
            </w:r>
          </w:p>
        </w:tc>
        <w:tc>
          <w:tcPr>
            <w:tcW w:type="dxa" w:w="2000"/>
            <w:tcMar>
              <w:top w:type="dxa" w:w="80"/>
              <w:left w:type="dxa" w:w="100"/>
              <w:bottom w:type="dxa" w:w="80"/>
              <w:right w:type="dxa" w:w="100"/>
            </w:tcMar>
            <w:vAlign w:val="center"/>
          </w:tcPr>
          <w:p>
            <w:r>
              <w:rPr>
                <w:b w:val="false"/>
                <w:bCs w:val="false"/>
                <w:sz w:val="20"/>
                <w:szCs w:val="20"/>
              </w:rPr>
              <w:t xml:space="preserve">Brak wobec serwera głównego autora</w:t>
            </w:r>
          </w:p>
        </w:tc>
        <w:tc>
          <w:tcPr>
            <w:tcW w:type="dxa" w:w="1400"/>
            <w:tcMar>
              <w:top w:type="dxa" w:w="80"/>
              <w:left w:type="dxa" w:w="100"/>
              <w:bottom w:type="dxa" w:w="80"/>
              <w:right w:type="dxa" w:w="100"/>
            </w:tcMar>
            <w:vAlign w:val="center"/>
          </w:tcPr>
          <w:p>
            <w:r>
              <w:rPr>
                <w:b w:val="false"/>
                <w:bCs w:val="false"/>
                <w:sz w:val="20"/>
                <w:szCs w:val="20"/>
              </w:rPr>
              <w:t xml:space="preserve">RODO po stronie operatora tego serwera, nie autora projektu</w:t>
            </w:r>
          </w:p>
        </w:tc>
      </w:tr>
    </w:tbl>
    <w:p>
      <w:r>
        <w:br w:type="page"/>
      </w:r>
    </w:p>
    <w:p>
      <w:pPr>
        <w:pStyle w:val="Heading1"/>
        <w:spacing w:after="200" w:before="400"/>
      </w:pPr>
      <w:r>
        <w:t xml:space="preserve">5. Protokół routingu — sieć opóźnieniotolerancyjna (DTN)</w:t>
      </w:r>
    </w:p>
    <w:p>
      <w:pPr>
        <w:spacing w:after="160"/>
        <w:jc w:val="both"/>
      </w:pPr>
      <w:r>
        <w:t xml:space="preserve">Zaprojektowany mechanizm trasowania wiadomości odpowiada akademickiej kategorii sieci DTN (Delay-Tolerant Networking) z routingiem epidemicznym (epidemic routing) — wzorcem stosowanym w projektach łączności dla obszarów bez stałej infrastruktury (np. sieci ratownicze, komunikacja morska, projekty badawcze dla terenów wiejskich).</w:t>
      </w:r>
    </w:p>
    <w:p>
      <w:pPr>
        <w:pStyle w:val="Heading2"/>
        <w:spacing w:after="150" w:before="300"/>
      </w:pPr>
      <w:r>
        <w:t xml:space="preserve">5.1 Dlaczego klasyczny routing internetowy nie działa w tym kontekście</w:t>
      </w:r>
    </w:p>
    <w:p>
      <w:pPr>
        <w:spacing w:after="160"/>
        <w:jc w:val="both"/>
      </w:pPr>
      <w:r>
        <w:t xml:space="preserve">Tradycyjne protokoły routingu (jak te używane w internecie) zakładają, że w danej chwili istnieje ciągła ścieżka między nadawcą a odbiorcą. W sieci mesh zbudowanej przez rozproszonych, poruszających się użytkowników taka ciągła ścieżka często nie istnieje — odbiorca może być poza zasięgiem w chwili wysyłania wiadomości i pojawić się w zasięgu innego węzła dopiero później. Stąd konieczność podejścia „przechowaj i przekaż” (store-and-forward), właściwego dla DTN.</w:t>
      </w:r>
    </w:p>
    <w:p>
      <w:pPr>
        <w:pStyle w:val="Heading2"/>
        <w:spacing w:after="150" w:before="300"/>
      </w:pPr>
      <w:r>
        <w:t xml:space="preserve">5.2 Ograniczenie floodingu</w:t>
      </w:r>
    </w:p>
    <w:p>
      <w:pPr>
        <w:spacing w:after="160"/>
        <w:jc w:val="both"/>
      </w:pPr>
      <w:r>
        <w:t xml:space="preserve">Czysty routing epidemiczny (rozgłaszanie każdej wiadomości do wszystkich sąsiadów) szybko nasyca ograniczoną przepustowość radiową przy większej liczbie użytkowników. Zalecane usprawnienia:</w:t>
      </w:r>
    </w:p>
    <w:p>
      <w:pPr>
        <w:pStyle w:val="ListParagraph"/>
        <w:numPr>
          <w:ilvl w:val="0"/>
          <w:numId w:val="2"/>
        </w:numPr>
        <w:spacing w:after="100"/>
      </w:pPr>
      <w:r>
        <w:t xml:space="preserve">Ograniczenie TTL (liczby skoków) do rozsądnej wartości, np. 6–10, w zależności od gęstości sieci.</w:t>
      </w:r>
    </w:p>
    <w:p>
      <w:pPr>
        <w:pStyle w:val="ListParagraph"/>
        <w:numPr>
          <w:ilvl w:val="0"/>
          <w:numId w:val="2"/>
        </w:numPr>
        <w:spacing w:after="100"/>
      </w:pPr>
      <w:r>
        <w:t xml:space="preserve">Wprowadzenie tablicy ostatnio widzianych węzłów (routing table z aktualizacją czasową), aby preferować trasowanie ukierunkowane zamiast pełnego floodingu, gdy trasa do odbiorcy jest znana.</w:t>
      </w:r>
    </w:p>
    <w:p>
      <w:pPr>
        <w:pStyle w:val="ListParagraph"/>
        <w:numPr>
          <w:ilvl w:val="0"/>
          <w:numId w:val="2"/>
        </w:numPr>
        <w:spacing w:after="100"/>
      </w:pPr>
      <w:r>
        <w:t xml:space="preserve">Deduplikacja pakietów na podstawie unikalnego identyfikatora wiadomości, aby węzeł nie retransmitował tej samej wiadomości wielokrotnie.</w:t>
      </w:r>
    </w:p>
    <w:p>
      <w:pPr>
        <w:pStyle w:val="ListParagraph"/>
        <w:numPr>
          <w:ilvl w:val="0"/>
          <w:numId w:val="2"/>
        </w:numPr>
        <w:spacing w:after="100"/>
      </w:pPr>
      <w:r>
        <w:t xml:space="preserve">Rate-limiting na poziomie węzła — ograniczenie liczby wiadomości retransmitowanych w jednostce czasu z jednego źródła, co jednocześnie chroni przed przeciążeniem i przed nadużyciami (patrz rozdział 7).</w:t>
      </w:r>
    </w:p>
    <w:p>
      <w:pPr>
        <w:pStyle w:val="Heading2"/>
        <w:spacing w:after="150" w:before="300"/>
      </w:pPr>
      <w:r>
        <w:t xml:space="preserve">5.3 Format pakietu (przykładowa struktura)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shd w:fill="2F5496" w:val="clear"/>
            <w:tcMar>
              <w:top w:type="dxa" w:w="80"/>
              <w:left w:type="dxa" w:w="100"/>
              <w:bottom w:type="dxa" w:w="80"/>
              <w:right w:type="dxa" w:w="100"/>
            </w:tcMar>
            <w:vAlign w:val="center"/>
          </w:tcPr>
          <w:p>
            <w:r>
              <w:rPr>
                <w:b/>
                <w:bCs/>
                <w:color w:val="FFFFFF"/>
                <w:sz w:val="20"/>
                <w:szCs w:val="20"/>
              </w:rPr>
              <w:t xml:space="preserve">Pole</w:t>
            </w:r>
          </w:p>
        </w:tc>
        <w:tc>
          <w:tcPr>
            <w:tcW w:type="dxa" w:w="1400"/>
            <w:shd w:fill="2F5496" w:val="clear"/>
            <w:tcMar>
              <w:top w:type="dxa" w:w="80"/>
              <w:left w:type="dxa" w:w="100"/>
              <w:bottom w:type="dxa" w:w="80"/>
              <w:right w:type="dxa" w:w="100"/>
            </w:tcMar>
            <w:vAlign w:val="center"/>
          </w:tcPr>
          <w:p>
            <w:r>
              <w:rPr>
                <w:b/>
                <w:bCs/>
                <w:color w:val="FFFFFF"/>
                <w:sz w:val="20"/>
                <w:szCs w:val="20"/>
              </w:rPr>
              <w:t xml:space="preserve">Rozmiar</w:t>
            </w:r>
          </w:p>
        </w:tc>
        <w:tc>
          <w:tcPr>
            <w:tcW w:type="dxa" w:w="5400"/>
            <w:shd w:fill="2F5496" w:val="clear"/>
            <w:tcMar>
              <w:top w:type="dxa" w:w="80"/>
              <w:left w:type="dxa" w:w="100"/>
              <w:bottom w:type="dxa" w:w="80"/>
              <w:right w:type="dxa" w:w="100"/>
            </w:tcMar>
            <w:vAlign w:val="center"/>
          </w:tcPr>
          <w:p>
            <w:r>
              <w:rPr>
                <w:b/>
                <w:bCs/>
                <w:color w:val="FFFFFF"/>
                <w:sz w:val="20"/>
                <w:szCs w:val="20"/>
              </w:rPr>
              <w:t xml:space="preserve">Opis</w:t>
            </w:r>
          </w:p>
        </w:tc>
      </w:tr>
      <w:tr>
        <w:tc>
          <w:tcPr>
            <w:tcW w:type="dxa" w:w="2200"/>
            <w:tcMar>
              <w:top w:type="dxa" w:w="80"/>
              <w:left w:type="dxa" w:w="100"/>
              <w:bottom w:type="dxa" w:w="80"/>
              <w:right w:type="dxa" w:w="100"/>
            </w:tcMar>
            <w:vAlign w:val="center"/>
          </w:tcPr>
          <w:p>
            <w:r>
              <w:rPr>
                <w:b w:val="false"/>
                <w:bCs w:val="false"/>
                <w:sz w:val="20"/>
                <w:szCs w:val="20"/>
              </w:rPr>
              <w:t xml:space="preserve">ID wiadomości</w:t>
            </w:r>
          </w:p>
        </w:tc>
        <w:tc>
          <w:tcPr>
            <w:tcW w:type="dxa" w:w="1400"/>
            <w:tcMar>
              <w:top w:type="dxa" w:w="80"/>
              <w:left w:type="dxa" w:w="100"/>
              <w:bottom w:type="dxa" w:w="80"/>
              <w:right w:type="dxa" w:w="100"/>
            </w:tcMar>
            <w:vAlign w:val="center"/>
          </w:tcPr>
          <w:p>
            <w:r>
              <w:rPr>
                <w:b w:val="false"/>
                <w:bCs w:val="false"/>
                <w:sz w:val="20"/>
                <w:szCs w:val="20"/>
              </w:rPr>
              <w:t xml:space="preserve">16 bajtów</w:t>
            </w:r>
          </w:p>
        </w:tc>
        <w:tc>
          <w:tcPr>
            <w:tcW w:type="dxa" w:w="5400"/>
            <w:tcMar>
              <w:top w:type="dxa" w:w="80"/>
              <w:left w:type="dxa" w:w="100"/>
              <w:bottom w:type="dxa" w:w="80"/>
              <w:right w:type="dxa" w:w="100"/>
            </w:tcMar>
            <w:vAlign w:val="center"/>
          </w:tcPr>
          <w:p>
            <w:r>
              <w:rPr>
                <w:b w:val="false"/>
                <w:bCs w:val="false"/>
                <w:sz w:val="20"/>
                <w:szCs w:val="20"/>
              </w:rPr>
              <w:t xml:space="preserve">Unikalny identyfikator (UUID) do deduplikacji</w:t>
            </w:r>
          </w:p>
        </w:tc>
      </w:tr>
      <w:tr>
        <w:tc>
          <w:tcPr>
            <w:tcW w:type="dxa" w:w="2200"/>
            <w:tcMar>
              <w:top w:type="dxa" w:w="80"/>
              <w:left w:type="dxa" w:w="100"/>
              <w:bottom w:type="dxa" w:w="80"/>
              <w:right w:type="dxa" w:w="100"/>
            </w:tcMar>
            <w:vAlign w:val="center"/>
          </w:tcPr>
          <w:p>
            <w:r>
              <w:rPr>
                <w:b w:val="false"/>
                <w:bCs w:val="false"/>
                <w:sz w:val="20"/>
                <w:szCs w:val="20"/>
              </w:rPr>
              <w:t xml:space="preserve">ID nadawcy</w:t>
            </w:r>
          </w:p>
        </w:tc>
        <w:tc>
          <w:tcPr>
            <w:tcW w:type="dxa" w:w="1400"/>
            <w:tcMar>
              <w:top w:type="dxa" w:w="80"/>
              <w:left w:type="dxa" w:w="100"/>
              <w:bottom w:type="dxa" w:w="80"/>
              <w:right w:type="dxa" w:w="100"/>
            </w:tcMar>
            <w:vAlign w:val="center"/>
          </w:tcPr>
          <w:p>
            <w:r>
              <w:rPr>
                <w:b w:val="false"/>
                <w:bCs w:val="false"/>
                <w:sz w:val="20"/>
                <w:szCs w:val="20"/>
              </w:rPr>
              <w:t xml:space="preserve">8 bajtów</w:t>
            </w:r>
          </w:p>
        </w:tc>
        <w:tc>
          <w:tcPr>
            <w:tcW w:type="dxa" w:w="5400"/>
            <w:tcMar>
              <w:top w:type="dxa" w:w="80"/>
              <w:left w:type="dxa" w:w="100"/>
              <w:bottom w:type="dxa" w:w="80"/>
              <w:right w:type="dxa" w:w="100"/>
            </w:tcMar>
            <w:vAlign w:val="center"/>
          </w:tcPr>
          <w:p>
            <w:r>
              <w:rPr>
                <w:b w:val="false"/>
                <w:bCs w:val="false"/>
                <w:sz w:val="20"/>
                <w:szCs w:val="20"/>
              </w:rPr>
              <w:t xml:space="preserve">Skrót klucza publicznego nadawcy</w:t>
            </w:r>
          </w:p>
        </w:tc>
      </w:tr>
      <w:tr>
        <w:tc>
          <w:tcPr>
            <w:tcW w:type="dxa" w:w="2200"/>
            <w:tcMar>
              <w:top w:type="dxa" w:w="80"/>
              <w:left w:type="dxa" w:w="100"/>
              <w:bottom w:type="dxa" w:w="80"/>
              <w:right w:type="dxa" w:w="100"/>
            </w:tcMar>
            <w:vAlign w:val="center"/>
          </w:tcPr>
          <w:p>
            <w:r>
              <w:rPr>
                <w:b w:val="false"/>
                <w:bCs w:val="false"/>
                <w:sz w:val="20"/>
                <w:szCs w:val="20"/>
              </w:rPr>
              <w:t xml:space="preserve">ID odbiorcy</w:t>
            </w:r>
          </w:p>
        </w:tc>
        <w:tc>
          <w:tcPr>
            <w:tcW w:type="dxa" w:w="1400"/>
            <w:tcMar>
              <w:top w:type="dxa" w:w="80"/>
              <w:left w:type="dxa" w:w="100"/>
              <w:bottom w:type="dxa" w:w="80"/>
              <w:right w:type="dxa" w:w="100"/>
            </w:tcMar>
            <w:vAlign w:val="center"/>
          </w:tcPr>
          <w:p>
            <w:r>
              <w:rPr>
                <w:b w:val="false"/>
                <w:bCs w:val="false"/>
                <w:sz w:val="20"/>
                <w:szCs w:val="20"/>
              </w:rPr>
              <w:t xml:space="preserve">8 bajtów</w:t>
            </w:r>
          </w:p>
        </w:tc>
        <w:tc>
          <w:tcPr>
            <w:tcW w:type="dxa" w:w="5400"/>
            <w:tcMar>
              <w:top w:type="dxa" w:w="80"/>
              <w:left w:type="dxa" w:w="100"/>
              <w:bottom w:type="dxa" w:w="80"/>
              <w:right w:type="dxa" w:w="100"/>
            </w:tcMar>
            <w:vAlign w:val="center"/>
          </w:tcPr>
          <w:p>
            <w:r>
              <w:rPr>
                <w:b w:val="false"/>
                <w:bCs w:val="false"/>
                <w:sz w:val="20"/>
                <w:szCs w:val="20"/>
              </w:rPr>
              <w:t xml:space="preserve">Skrót klucza publicznego odbiorcy</w:t>
            </w:r>
          </w:p>
        </w:tc>
      </w:tr>
      <w:tr>
        <w:tc>
          <w:tcPr>
            <w:tcW w:type="dxa" w:w="2200"/>
            <w:tcMar>
              <w:top w:type="dxa" w:w="80"/>
              <w:left w:type="dxa" w:w="100"/>
              <w:bottom w:type="dxa" w:w="80"/>
              <w:right w:type="dxa" w:w="100"/>
            </w:tcMar>
            <w:vAlign w:val="center"/>
          </w:tcPr>
          <w:p>
            <w:r>
              <w:rPr>
                <w:b w:val="false"/>
                <w:bCs w:val="false"/>
                <w:sz w:val="20"/>
                <w:szCs w:val="20"/>
              </w:rPr>
              <w:t xml:space="preserve">TTL</w:t>
            </w:r>
          </w:p>
        </w:tc>
        <w:tc>
          <w:tcPr>
            <w:tcW w:type="dxa" w:w="1400"/>
            <w:tcMar>
              <w:top w:type="dxa" w:w="80"/>
              <w:left w:type="dxa" w:w="100"/>
              <w:bottom w:type="dxa" w:w="80"/>
              <w:right w:type="dxa" w:w="100"/>
            </w:tcMar>
            <w:vAlign w:val="center"/>
          </w:tcPr>
          <w:p>
            <w:r>
              <w:rPr>
                <w:b w:val="false"/>
                <w:bCs w:val="false"/>
                <w:sz w:val="20"/>
                <w:szCs w:val="20"/>
              </w:rPr>
              <w:t xml:space="preserve">1 bajt</w:t>
            </w:r>
          </w:p>
        </w:tc>
        <w:tc>
          <w:tcPr>
            <w:tcW w:type="dxa" w:w="5400"/>
            <w:tcMar>
              <w:top w:type="dxa" w:w="80"/>
              <w:left w:type="dxa" w:w="100"/>
              <w:bottom w:type="dxa" w:w="80"/>
              <w:right w:type="dxa" w:w="100"/>
            </w:tcMar>
            <w:vAlign w:val="center"/>
          </w:tcPr>
          <w:p>
            <w:r>
              <w:rPr>
                <w:b w:val="false"/>
                <w:bCs w:val="false"/>
                <w:sz w:val="20"/>
                <w:szCs w:val="20"/>
              </w:rPr>
              <w:t xml:space="preserve">Pozostała liczba dozwolonych skoków</w:t>
            </w:r>
          </w:p>
        </w:tc>
      </w:tr>
      <w:tr>
        <w:tc>
          <w:tcPr>
            <w:tcW w:type="dxa" w:w="2200"/>
            <w:tcMar>
              <w:top w:type="dxa" w:w="80"/>
              <w:left w:type="dxa" w:w="100"/>
              <w:bottom w:type="dxa" w:w="80"/>
              <w:right w:type="dxa" w:w="100"/>
            </w:tcMar>
            <w:vAlign w:val="center"/>
          </w:tcPr>
          <w:p>
            <w:r>
              <w:rPr>
                <w:b w:val="false"/>
                <w:bCs w:val="false"/>
                <w:sz w:val="20"/>
                <w:szCs w:val="20"/>
              </w:rPr>
              <w:t xml:space="preserve">Znacznik czasu</w:t>
            </w:r>
          </w:p>
        </w:tc>
        <w:tc>
          <w:tcPr>
            <w:tcW w:type="dxa" w:w="1400"/>
            <w:tcMar>
              <w:top w:type="dxa" w:w="80"/>
              <w:left w:type="dxa" w:w="100"/>
              <w:bottom w:type="dxa" w:w="80"/>
              <w:right w:type="dxa" w:w="100"/>
            </w:tcMar>
            <w:vAlign w:val="center"/>
          </w:tcPr>
          <w:p>
            <w:r>
              <w:rPr>
                <w:b w:val="false"/>
                <w:bCs w:val="false"/>
                <w:sz w:val="20"/>
                <w:szCs w:val="20"/>
              </w:rPr>
              <w:t xml:space="preserve">4 bajty</w:t>
            </w:r>
          </w:p>
        </w:tc>
        <w:tc>
          <w:tcPr>
            <w:tcW w:type="dxa" w:w="5400"/>
            <w:tcMar>
              <w:top w:type="dxa" w:w="80"/>
              <w:left w:type="dxa" w:w="100"/>
              <w:bottom w:type="dxa" w:w="80"/>
              <w:right w:type="dxa" w:w="100"/>
            </w:tcMar>
            <w:vAlign w:val="center"/>
          </w:tcPr>
          <w:p>
            <w:r>
              <w:rPr>
                <w:b w:val="false"/>
                <w:bCs w:val="false"/>
                <w:sz w:val="20"/>
                <w:szCs w:val="20"/>
              </w:rPr>
              <w:t xml:space="preserve">Czas utworzenia wiadomości</w:t>
            </w:r>
          </w:p>
        </w:tc>
      </w:tr>
      <w:tr>
        <w:tc>
          <w:tcPr>
            <w:tcW w:type="dxa" w:w="2200"/>
            <w:tcMar>
              <w:top w:type="dxa" w:w="80"/>
              <w:left w:type="dxa" w:w="100"/>
              <w:bottom w:type="dxa" w:w="80"/>
              <w:right w:type="dxa" w:w="100"/>
            </w:tcMar>
            <w:vAlign w:val="center"/>
          </w:tcPr>
          <w:p>
            <w:r>
              <w:rPr>
                <w:b w:val="false"/>
                <w:bCs w:val="false"/>
                <w:sz w:val="20"/>
                <w:szCs w:val="20"/>
              </w:rPr>
              <w:t xml:space="preserve">Payload (zaszyfrowany)</w:t>
            </w:r>
          </w:p>
        </w:tc>
        <w:tc>
          <w:tcPr>
            <w:tcW w:type="dxa" w:w="1400"/>
            <w:tcMar>
              <w:top w:type="dxa" w:w="80"/>
              <w:left w:type="dxa" w:w="100"/>
              <w:bottom w:type="dxa" w:w="80"/>
              <w:right w:type="dxa" w:w="100"/>
            </w:tcMar>
            <w:vAlign w:val="center"/>
          </w:tcPr>
          <w:p>
            <w:r>
              <w:rPr>
                <w:b w:val="false"/>
                <w:bCs w:val="false"/>
                <w:sz w:val="20"/>
                <w:szCs w:val="20"/>
              </w:rPr>
              <w:t xml:space="preserve">do 200 bajtów</w:t>
            </w:r>
          </w:p>
        </w:tc>
        <w:tc>
          <w:tcPr>
            <w:tcW w:type="dxa" w:w="5400"/>
            <w:tcMar>
              <w:top w:type="dxa" w:w="80"/>
              <w:left w:type="dxa" w:w="100"/>
              <w:bottom w:type="dxa" w:w="80"/>
              <w:right w:type="dxa" w:w="100"/>
            </w:tcMar>
            <w:vAlign w:val="center"/>
          </w:tcPr>
          <w:p>
            <w:r>
              <w:rPr>
                <w:b w:val="false"/>
                <w:bCs w:val="false"/>
                <w:sz w:val="20"/>
                <w:szCs w:val="20"/>
              </w:rPr>
              <w:t xml:space="preserve">Treść wiadomości zaszyfrowana end-to-end</w:t>
            </w:r>
          </w:p>
        </w:tc>
      </w:tr>
      <w:tr>
        <w:tc>
          <w:tcPr>
            <w:tcW w:type="dxa" w:w="2200"/>
            <w:tcMar>
              <w:top w:type="dxa" w:w="80"/>
              <w:left w:type="dxa" w:w="100"/>
              <w:bottom w:type="dxa" w:w="80"/>
              <w:right w:type="dxa" w:w="100"/>
            </w:tcMar>
            <w:vAlign w:val="center"/>
          </w:tcPr>
          <w:p>
            <w:r>
              <w:rPr>
                <w:b w:val="false"/>
                <w:bCs w:val="false"/>
                <w:sz w:val="20"/>
                <w:szCs w:val="20"/>
              </w:rPr>
              <w:t xml:space="preserve">Podpis</w:t>
            </w:r>
          </w:p>
        </w:tc>
        <w:tc>
          <w:tcPr>
            <w:tcW w:type="dxa" w:w="1400"/>
            <w:tcMar>
              <w:top w:type="dxa" w:w="80"/>
              <w:left w:type="dxa" w:w="100"/>
              <w:bottom w:type="dxa" w:w="80"/>
              <w:right w:type="dxa" w:w="100"/>
            </w:tcMar>
            <w:vAlign w:val="center"/>
          </w:tcPr>
          <w:p>
            <w:r>
              <w:rPr>
                <w:b w:val="false"/>
                <w:bCs w:val="false"/>
                <w:sz w:val="20"/>
                <w:szCs w:val="20"/>
              </w:rPr>
              <w:t xml:space="preserve">16 bajtów</w:t>
            </w:r>
          </w:p>
        </w:tc>
        <w:tc>
          <w:tcPr>
            <w:tcW w:type="dxa" w:w="5400"/>
            <w:tcMar>
              <w:top w:type="dxa" w:w="80"/>
              <w:left w:type="dxa" w:w="100"/>
              <w:bottom w:type="dxa" w:w="80"/>
              <w:right w:type="dxa" w:w="100"/>
            </w:tcMar>
            <w:vAlign w:val="center"/>
          </w:tcPr>
          <w:p>
            <w:r>
              <w:rPr>
                <w:b w:val="false"/>
                <w:bCs w:val="false"/>
                <w:sz w:val="20"/>
                <w:szCs w:val="20"/>
              </w:rPr>
              <w:t xml:space="preserve">Podpis kryptograficzny integralności pakietu</w:t>
            </w:r>
          </w:p>
        </w:tc>
      </w:tr>
    </w:tbl>
    <w:p>
      <w:pPr>
        <w:spacing w:after="160"/>
        <w:jc w:val="both"/>
      </w:pPr>
      <w:r>
        <w:t xml:space="preserve">Ograniczenie rozmiaru pojedynczego pakietu (typowe dla LoRa: transmisje rzędu 50–250 bajtów na pakiet, zależnie od konfiguracji spreading factor) wymaga fragmentacji dłuższych wiadomości na wiele pakietów po stronie klienta, z ponownym składaniem po stronie odbiorcy.</w:t>
      </w:r>
    </w:p>
    <w:p>
      <w:pPr>
        <w:pStyle w:val="Heading2"/>
        <w:spacing w:after="150" w:before="300"/>
      </w:pPr>
      <w:r>
        <w:t xml:space="preserve">5.4 Wykrywanie obecności (presence beacon)</w:t>
      </w:r>
    </w:p>
    <w:p>
      <w:pPr>
        <w:spacing w:after="160"/>
        <w:jc w:val="both"/>
      </w:pPr>
      <w:r>
        <w:t xml:space="preserve">Aby węzeł wiedział, czy dany użytkownik znajduje się w jego zasięgu, urządzenia okresowo (np. co 60–120 sekund) rozgłaszają krótki „beacon” obecności zawierający wyłącznie skrót identyfikatora publicznego — nie dane osobowe ani treść. Częstotliwość beaconów jest kompromisem między aktualnością tabeli obecności a zużyciem energii i pasma radiowego.</w:t>
      </w:r>
    </w:p>
    <w:p>
      <w:r>
        <w:br w:type="page"/>
      </w:r>
    </w:p>
    <w:p>
      <w:pPr>
        <w:pStyle w:val="Heading1"/>
        <w:spacing w:after="200" w:before="400"/>
      </w:pPr>
      <w:r>
        <w:t xml:space="preserve">6. Szyfrowanie i zarządzanie kluczami</w:t>
      </w:r>
    </w:p>
    <w:p>
      <w:pPr>
        <w:pStyle w:val="Heading2"/>
        <w:spacing w:after="150" w:before="300"/>
      </w:pPr>
      <w:r>
        <w:t xml:space="preserve">6.1 Wybór protokołu — Signal Protocol</w:t>
      </w:r>
    </w:p>
    <w:p>
      <w:pPr>
        <w:spacing w:after="160"/>
        <w:jc w:val="both"/>
      </w:pPr>
      <w:r>
        <w:t xml:space="preserve">Rekomendowanym rozwiązaniem kryptograficznym jest Signal Protocol (połączenie protokołu wymiany kluczy X3DH oraz mechanizmu Double Ratchet), zaimplementowany w bibliotece libsignal, dostępnej jako open source. Jest to protokół poddany wieloletniej publicznej analizie kryptograficznej, stosowany produkcyjnie w komunikatorze Signal oraz (w zmodyfikowanej formie) w WhatsApp.</w:t>
      </w:r>
    </w:p>
    <w:p>
      <w:pPr>
        <w:spacing w:after="160"/>
        <w:jc w:val="both"/>
      </w:pPr>
      <w:r>
        <w:t xml:space="preserve">Kluczowe własności tego protokołu istotne dla projektu:</w:t>
      </w:r>
    </w:p>
    <w:p>
      <w:pPr>
        <w:pStyle w:val="ListParagraph"/>
        <w:numPr>
          <w:ilvl w:val="0"/>
          <w:numId w:val="2"/>
        </w:numPr>
        <w:spacing w:after="100"/>
      </w:pPr>
      <w:r>
        <w:t xml:space="preserve">Poufność w przód (forward secrecy) — kompromitacja bieżącego klucza nie pozwala odszyfrować wcześniej przechwyconych wiadomości.</w:t>
      </w:r>
    </w:p>
    <w:p>
      <w:pPr>
        <w:pStyle w:val="ListParagraph"/>
        <w:numPr>
          <w:ilvl w:val="0"/>
          <w:numId w:val="2"/>
        </w:numPr>
        <w:spacing w:after="100"/>
      </w:pPr>
      <w:r>
        <w:t xml:space="preserve">Poufność wsteczna (post-compromise security) — po zdarzeniu kompromitującym klucz sesja samoczynnie się „leczy” w kolejnych wymianach kluczy.</w:t>
      </w:r>
    </w:p>
    <w:p>
      <w:pPr>
        <w:pStyle w:val="ListParagraph"/>
        <w:numPr>
          <w:ilvl w:val="0"/>
          <w:numId w:val="2"/>
        </w:numPr>
        <w:spacing w:after="100"/>
      </w:pPr>
      <w:r>
        <w:t xml:space="preserve">Brak zależności od zaufanego serwera do samego szyfrowania — serwer jedynie przekazuje zaszyfrowane dane.</w:t>
      </w:r>
    </w:p>
    <w:p>
      <w:pPr>
        <w:pStyle w:val="Heading2"/>
        <w:spacing w:after="150" w:before="300"/>
      </w:pPr>
      <w:r>
        <w:t xml:space="preserve">6.2 Cykl życia kluczy</w:t>
      </w:r>
    </w:p>
    <w:p>
      <w:pPr>
        <w:pStyle w:val="ListParagraph"/>
        <w:numPr>
          <w:ilvl w:val="0"/>
          <w:numId w:val="3"/>
        </w:numPr>
        <w:spacing w:after="100"/>
      </w:pPr>
      <w:r>
        <w:t xml:space="preserve">Przy pierwszym uruchomieniu urządzenie generuje lokalnie parę kluczy długoterminowych (identity key pair) oraz zestaw kluczy jednorazowych (one-time prekeys).</w:t>
      </w:r>
    </w:p>
    <w:p>
      <w:pPr>
        <w:pStyle w:val="ListParagraph"/>
        <w:numPr>
          <w:ilvl w:val="0"/>
          <w:numId w:val="3"/>
        </w:numPr>
        <w:spacing w:after="100"/>
      </w:pPr>
      <w:r>
        <w:t xml:space="preserve">Klucz prywatny jest zapisywany wyłącznie w module bezpiecznym (secure element) urządzenia i nigdy nie opuszcza go w formie jawnej.</w:t>
      </w:r>
    </w:p>
    <w:p>
      <w:pPr>
        <w:pStyle w:val="ListParagraph"/>
        <w:numPr>
          <w:ilvl w:val="0"/>
          <w:numId w:val="3"/>
        </w:numPr>
        <w:spacing w:after="100"/>
      </w:pPr>
      <w:r>
        <w:t xml:space="preserve">Klucz publiczny jest publikowany do sieci (opcjonalnie przez serwer centralny jako katalog kluczy publicznych), aby umożliwić innym użytkownikom zainicjowanie zaszyfrowanej sesji.</w:t>
      </w:r>
    </w:p>
    <w:p>
      <w:pPr>
        <w:pStyle w:val="ListParagraph"/>
        <w:numPr>
          <w:ilvl w:val="0"/>
          <w:numId w:val="3"/>
        </w:numPr>
        <w:spacing w:after="100"/>
      </w:pPr>
      <w:r>
        <w:t xml:space="preserve">Sesja między dwoma użytkownikami jest inicjowana przy pierwszej wymianie wiadomości (protokół X3DH), a następnie każda kolejna wiadomość aktualizuje klucze sesyjne (Double Ratchet).</w:t>
      </w:r>
    </w:p>
    <w:p>
      <w:pPr>
        <w:pStyle w:val="Heading2"/>
        <w:spacing w:after="150" w:before="300"/>
      </w:pPr>
      <w:r>
        <w:t xml:space="preserve">6.3 Szyfrowanie na poziomie transmisji radiowej</w:t>
      </w:r>
    </w:p>
    <w:p>
      <w:pPr>
        <w:spacing w:after="160"/>
        <w:jc w:val="both"/>
      </w:pPr>
      <w:r>
        <w:t xml:space="preserve">Niezależnie od szyfrowania end-to-end treści wiadomości, zalecane jest dodatkowe szyfrowanie AES-256 na poziomie samej transmisji radiowej (warstwa łącza), aby ograniczyć ilość informacji jawnie dostępnej dla kogoś przechwytującego sygnał radiowy (np. metadanych o strukturze ruchu sieciowego). Klucz tej warstwy może być wspólny dla całej lokalnej sieci mesh (network key), odrębny od kluczy end-to-end poszczególnych użytkowników.</w:t>
      </w:r>
    </w:p>
    <w:p>
      <w:pPr>
        <w:pStyle w:val="Heading2"/>
        <w:spacing w:after="150" w:before="300"/>
      </w:pPr>
      <w:r>
        <w:t xml:space="preserve">6.4 Dlaczego jawność kodu nie osłabia bezpieczeństwa</w:t>
      </w:r>
    </w:p>
    <w:p>
      <w:pPr>
        <w:spacing w:after="160"/>
        <w:jc w:val="both"/>
      </w:pPr>
      <w:r>
        <w:t xml:space="preserve">Zasada Kerckhoffsa, fundamentalna dla współczesnej kryptografii, mówi, że bezpieczeństwo systemu kryptograficznego powinno opierać się wyłącznie na tajności klucza, a nie na tajności algorytmu. Publikacja kodu źródłowego implementacji szyfrowania jako open source nie osłabia bezpieczeństwa — wręcz przeciwnie, umożliwia niezależny audyt kodu przez społeczność, co zwiększa prawdopodobieństwo wykrycia błędów implementacyjnych, zanim zostaną wykorzystane złośliwie. Jest to model przyjęty przez Signal Protocol, OpenSSL i większość poważnych systemów kryptograficznych na świecie.</w:t>
      </w:r>
    </w:p>
    <w:p>
      <w:pPr>
        <w:pStyle w:val="Heading2"/>
        <w:spacing w:after="150" w:before="300"/>
      </w:pPr>
      <w:r>
        <w:t xml:space="preserve">6.5 Ograniczenia — czego szyfrowanie nie chroni</w:t>
      </w:r>
    </w:p>
    <w:p>
      <w:pPr>
        <w:spacing w:after="160"/>
        <w:jc w:val="both"/>
      </w:pPr>
      <w:r>
        <w:t xml:space="preserve">Nawet przy poprawnej implementacji szyfrowania end-to-end, następujące elementy pozostają obserwowalne przez osobę przechwytującą transmisję radiową lub przez operatora serwera centralnego:</w:t>
      </w:r>
    </w:p>
    <w:p>
      <w:pPr>
        <w:pStyle w:val="ListParagraph"/>
        <w:numPr>
          <w:ilvl w:val="0"/>
          <w:numId w:val="2"/>
        </w:numPr>
        <w:spacing w:after="100"/>
      </w:pPr>
      <w:r>
        <w:t xml:space="preserve">Fakt istnienia komunikacji między dwoma identyfikatorami (metadane: kto z kim, kiedy, jak często) — to fundamentalne ograniczenie każdej sieci, nie tylko tego projektu.</w:t>
      </w:r>
    </w:p>
    <w:p>
      <w:pPr>
        <w:pStyle w:val="ListParagraph"/>
        <w:numPr>
          <w:ilvl w:val="0"/>
          <w:numId w:val="2"/>
        </w:numPr>
        <w:spacing w:after="100"/>
      </w:pPr>
      <w:r>
        <w:t xml:space="preserve">Przybliżona lokalizacja nadawcy (na podstawie tego, który węzeł mesh odebrał transmisję jako pierwszy).</w:t>
      </w:r>
    </w:p>
    <w:p>
      <w:pPr>
        <w:pStyle w:val="ListParagraph"/>
        <w:numPr>
          <w:ilvl w:val="0"/>
          <w:numId w:val="2"/>
        </w:numPr>
        <w:spacing w:after="100"/>
      </w:pPr>
      <w:r>
        <w:t xml:space="preserve">Rozmiar wiadomości (choć nie jej treść).</w:t>
      </w:r>
    </w:p>
    <w:p>
      <w:pPr>
        <w:spacing w:after="160"/>
        <w:jc w:val="both"/>
      </w:pPr>
      <w:r>
        <w:t xml:space="preserve">Ograniczenie widoczności metadanych jest możliwe (np. przez wprowadzanie sztucznego opóźnienia, mieszanie ruchu z wielu źródeł — tzw. mixnet), ale znacząco zwiększa złożoność systemu i zużycie ograniczonego pasma radiowego, dlatego rekomenduje się pozostawienie tego jako temat rozwoju w dalszych fazach projektu, nie jako wymóg fazy początkowej.</w:t>
      </w:r>
    </w:p>
    <w:p>
      <w:r>
        <w:br w:type="page"/>
      </w:r>
    </w:p>
    <w:p>
      <w:pPr>
        <w:pStyle w:val="Heading1"/>
        <w:spacing w:after="200" w:before="400"/>
      </w:pPr>
      <w:r>
        <w:t xml:space="preserve">7. Bezpieczeństwo sieci — ochrona przed nadużyciami</w:t>
      </w:r>
    </w:p>
    <w:p>
      <w:pPr>
        <w:pStyle w:val="Heading2"/>
        <w:spacing w:after="150" w:before="300"/>
      </w:pPr>
      <w:r>
        <w:t xml:space="preserve">7.1 Klasyfikacja zagrożeń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c>
          <w:tcPr>
            <w:tcW w:type="dxa" w:w="3200"/>
            <w:shd w:fill="2F5496" w:val="clear"/>
            <w:tcMar>
              <w:top w:type="dxa" w:w="80"/>
              <w:left w:type="dxa" w:w="100"/>
              <w:bottom w:type="dxa" w:w="80"/>
              <w:right w:type="dxa" w:w="100"/>
            </w:tcMar>
            <w:vAlign w:val="center"/>
          </w:tcPr>
          <w:p>
            <w:r>
              <w:rPr>
                <w:b/>
                <w:bCs/>
                <w:color w:val="FFFFFF"/>
                <w:sz w:val="20"/>
                <w:szCs w:val="20"/>
              </w:rPr>
              <w:t xml:space="preserve">Zagrożenie</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Realność</w:t>
            </w:r>
          </w:p>
        </w:tc>
        <w:tc>
          <w:tcPr>
            <w:tcW w:type="dxa" w:w="3400"/>
            <w:shd w:fill="2F5496" w:val="clear"/>
            <w:tcMar>
              <w:top w:type="dxa" w:w="80"/>
              <w:left w:type="dxa" w:w="100"/>
              <w:bottom w:type="dxa" w:w="80"/>
              <w:right w:type="dxa" w:w="100"/>
            </w:tcMar>
            <w:vAlign w:val="center"/>
          </w:tcPr>
          <w:p>
            <w:r>
              <w:rPr>
                <w:b/>
                <w:bCs/>
                <w:color w:val="FFFFFF"/>
                <w:sz w:val="20"/>
                <w:szCs w:val="20"/>
              </w:rPr>
              <w:t xml:space="preserve">Wpływ jawności kodu (open source)</w:t>
            </w:r>
          </w:p>
        </w:tc>
      </w:tr>
      <w:tr>
        <w:tc>
          <w:tcPr>
            <w:tcW w:type="dxa" w:w="3200"/>
            <w:tcMar>
              <w:top w:type="dxa" w:w="80"/>
              <w:left w:type="dxa" w:w="100"/>
              <w:bottom w:type="dxa" w:w="80"/>
              <w:right w:type="dxa" w:w="100"/>
            </w:tcMar>
            <w:vAlign w:val="center"/>
          </w:tcPr>
          <w:p>
            <w:r>
              <w:rPr>
                <w:b w:val="false"/>
                <w:bCs w:val="false"/>
                <w:sz w:val="20"/>
                <w:szCs w:val="20"/>
              </w:rPr>
              <w:t xml:space="preserve">Podsłuch transmisji radiowej (sniffing)</w:t>
            </w:r>
          </w:p>
        </w:tc>
        <w:tc>
          <w:tcPr>
            <w:tcW w:type="dxa" w:w="2400"/>
            <w:tcMar>
              <w:top w:type="dxa" w:w="80"/>
              <w:left w:type="dxa" w:w="100"/>
              <w:bottom w:type="dxa" w:w="80"/>
              <w:right w:type="dxa" w:w="100"/>
            </w:tcMar>
            <w:vAlign w:val="center"/>
          </w:tcPr>
          <w:p>
            <w:r>
              <w:rPr>
                <w:b w:val="false"/>
                <w:bCs w:val="false"/>
                <w:sz w:val="20"/>
                <w:szCs w:val="20"/>
              </w:rPr>
              <w:t xml:space="preserve">Wysoka — dostępne tanie odbiorniki SDR</w:t>
            </w:r>
          </w:p>
        </w:tc>
        <w:tc>
          <w:tcPr>
            <w:tcW w:type="dxa" w:w="3400"/>
            <w:tcMar>
              <w:top w:type="dxa" w:w="80"/>
              <w:left w:type="dxa" w:w="100"/>
              <w:bottom w:type="dxa" w:w="80"/>
              <w:right w:type="dxa" w:w="100"/>
            </w:tcMar>
            <w:vAlign w:val="center"/>
          </w:tcPr>
          <w:p>
            <w:r>
              <w:rPr>
                <w:b w:val="false"/>
                <w:bCs w:val="false"/>
                <w:sz w:val="20"/>
                <w:szCs w:val="20"/>
              </w:rPr>
              <w:t xml:space="preserve">Neutralny — sygnał jest w eterze niezależnie od jawności kodu</w:t>
            </w:r>
          </w:p>
        </w:tc>
      </w:tr>
      <w:tr>
        <w:tc>
          <w:tcPr>
            <w:tcW w:type="dxa" w:w="3200"/>
            <w:tcMar>
              <w:top w:type="dxa" w:w="80"/>
              <w:left w:type="dxa" w:w="100"/>
              <w:bottom w:type="dxa" w:w="80"/>
              <w:right w:type="dxa" w:w="100"/>
            </w:tcMar>
            <w:vAlign w:val="center"/>
          </w:tcPr>
          <w:p>
            <w:r>
              <w:rPr>
                <w:b w:val="false"/>
                <w:bCs w:val="false"/>
                <w:sz w:val="20"/>
                <w:szCs w:val="20"/>
              </w:rPr>
              <w:t xml:space="preserve">Złamanie szyfrowania treści</w:t>
            </w:r>
          </w:p>
        </w:tc>
        <w:tc>
          <w:tcPr>
            <w:tcW w:type="dxa" w:w="2400"/>
            <w:tcMar>
              <w:top w:type="dxa" w:w="80"/>
              <w:left w:type="dxa" w:w="100"/>
              <w:bottom w:type="dxa" w:w="80"/>
              <w:right w:type="dxa" w:w="100"/>
            </w:tcMar>
            <w:vAlign w:val="center"/>
          </w:tcPr>
          <w:p>
            <w:r>
              <w:rPr>
                <w:b w:val="false"/>
                <w:bCs w:val="false"/>
                <w:sz w:val="20"/>
                <w:szCs w:val="20"/>
              </w:rPr>
              <w:t xml:space="preserve">Bardzo niska przy poprawnej implementacji Signal Protocol</w:t>
            </w:r>
          </w:p>
        </w:tc>
        <w:tc>
          <w:tcPr>
            <w:tcW w:type="dxa" w:w="3400"/>
            <w:tcMar>
              <w:top w:type="dxa" w:w="80"/>
              <w:left w:type="dxa" w:w="100"/>
              <w:bottom w:type="dxa" w:w="80"/>
              <w:right w:type="dxa" w:w="100"/>
            </w:tcMar>
            <w:vAlign w:val="center"/>
          </w:tcPr>
          <w:p>
            <w:r>
              <w:rPr>
                <w:b w:val="false"/>
                <w:bCs w:val="false"/>
                <w:sz w:val="20"/>
                <w:szCs w:val="20"/>
              </w:rPr>
              <w:t xml:space="preserve">Pozytywny — więcej niezależnych audytów kodu</w:t>
            </w:r>
          </w:p>
        </w:tc>
      </w:tr>
      <w:tr>
        <w:tc>
          <w:tcPr>
            <w:tcW w:type="dxa" w:w="3200"/>
            <w:tcMar>
              <w:top w:type="dxa" w:w="80"/>
              <w:left w:type="dxa" w:w="100"/>
              <w:bottom w:type="dxa" w:w="80"/>
              <w:right w:type="dxa" w:w="100"/>
            </w:tcMar>
            <w:vAlign w:val="center"/>
          </w:tcPr>
          <w:p>
            <w:r>
              <w:rPr>
                <w:b w:val="false"/>
                <w:bCs w:val="false"/>
                <w:sz w:val="20"/>
                <w:szCs w:val="20"/>
              </w:rPr>
              <w:t xml:space="preserve">Błąd w implementacji (np. generowanie kluczy)</w:t>
            </w:r>
          </w:p>
        </w:tc>
        <w:tc>
          <w:tcPr>
            <w:tcW w:type="dxa" w:w="2400"/>
            <w:tcMar>
              <w:top w:type="dxa" w:w="80"/>
              <w:left w:type="dxa" w:w="100"/>
              <w:bottom w:type="dxa" w:w="80"/>
              <w:right w:type="dxa" w:w="100"/>
            </w:tcMar>
            <w:vAlign w:val="center"/>
          </w:tcPr>
          <w:p>
            <w:r>
              <w:rPr>
                <w:b w:val="false"/>
                <w:bCs w:val="false"/>
                <w:sz w:val="20"/>
                <w:szCs w:val="20"/>
              </w:rPr>
              <w:t xml:space="preserve">Średnia — zależna od jakości wdrożenia</w:t>
            </w:r>
          </w:p>
        </w:tc>
        <w:tc>
          <w:tcPr>
            <w:tcW w:type="dxa" w:w="3400"/>
            <w:tcMar>
              <w:top w:type="dxa" w:w="80"/>
              <w:left w:type="dxa" w:w="100"/>
              <w:bottom w:type="dxa" w:w="80"/>
              <w:right w:type="dxa" w:w="100"/>
            </w:tcMar>
            <w:vAlign w:val="center"/>
          </w:tcPr>
          <w:p>
            <w:r>
              <w:rPr>
                <w:b w:val="false"/>
                <w:bCs w:val="false"/>
                <w:sz w:val="20"/>
                <w:szCs w:val="20"/>
              </w:rPr>
              <w:t xml:space="preserve">Pozytywny — społeczność może wykryć i zgłosić błąd</w:t>
            </w:r>
          </w:p>
        </w:tc>
      </w:tr>
      <w:tr>
        <w:tc>
          <w:tcPr>
            <w:tcW w:type="dxa" w:w="3200"/>
            <w:tcMar>
              <w:top w:type="dxa" w:w="80"/>
              <w:left w:type="dxa" w:w="100"/>
              <w:bottom w:type="dxa" w:w="80"/>
              <w:right w:type="dxa" w:w="100"/>
            </w:tcMar>
            <w:vAlign w:val="center"/>
          </w:tcPr>
          <w:p>
            <w:r>
              <w:rPr>
                <w:b w:val="false"/>
                <w:bCs w:val="false"/>
                <w:sz w:val="20"/>
                <w:szCs w:val="20"/>
              </w:rPr>
              <w:t xml:space="preserve">Atak fizyczny na urządzenie (wylutowanie chipa, side-channel)</w:t>
            </w:r>
          </w:p>
        </w:tc>
        <w:tc>
          <w:tcPr>
            <w:tcW w:type="dxa" w:w="2400"/>
            <w:tcMar>
              <w:top w:type="dxa" w:w="80"/>
              <w:left w:type="dxa" w:w="100"/>
              <w:bottom w:type="dxa" w:w="80"/>
              <w:right w:type="dxa" w:w="100"/>
            </w:tcMar>
            <w:vAlign w:val="center"/>
          </w:tcPr>
          <w:p>
            <w:r>
              <w:rPr>
                <w:b w:val="false"/>
                <w:bCs w:val="false"/>
                <w:sz w:val="20"/>
                <w:szCs w:val="20"/>
              </w:rPr>
              <w:t xml:space="preserve">Średnia, wymaga fizycznego dostępu do urządzenia</w:t>
            </w:r>
          </w:p>
        </w:tc>
        <w:tc>
          <w:tcPr>
            <w:tcW w:type="dxa" w:w="3400"/>
            <w:tcMar>
              <w:top w:type="dxa" w:w="80"/>
              <w:left w:type="dxa" w:w="100"/>
              <w:bottom w:type="dxa" w:w="80"/>
              <w:right w:type="dxa" w:w="100"/>
            </w:tcMar>
            <w:vAlign w:val="center"/>
          </w:tcPr>
          <w:p>
            <w:r>
              <w:rPr>
                <w:b w:val="false"/>
                <w:bCs w:val="false"/>
                <w:sz w:val="20"/>
                <w:szCs w:val="20"/>
              </w:rPr>
              <w:t xml:space="preserve">Neutralny — dotyczy jawności schematu sprzętu, nie kodu</w:t>
            </w:r>
          </w:p>
        </w:tc>
      </w:tr>
      <w:tr>
        <w:tc>
          <w:tcPr>
            <w:tcW w:type="dxa" w:w="3200"/>
            <w:tcMar>
              <w:top w:type="dxa" w:w="80"/>
              <w:left w:type="dxa" w:w="100"/>
              <w:bottom w:type="dxa" w:w="80"/>
              <w:right w:type="dxa" w:w="100"/>
            </w:tcMar>
            <w:vAlign w:val="center"/>
          </w:tcPr>
          <w:p>
            <w:r>
              <w:rPr>
                <w:b w:val="false"/>
                <w:bCs w:val="false"/>
                <w:sz w:val="20"/>
                <w:szCs w:val="20"/>
              </w:rPr>
              <w:t xml:space="preserve">Zalewanie siecią fałszywymi pakietami (flooding/DoS)</w:t>
            </w:r>
          </w:p>
        </w:tc>
        <w:tc>
          <w:tcPr>
            <w:tcW w:type="dxa" w:w="2400"/>
            <w:tcMar>
              <w:top w:type="dxa" w:w="80"/>
              <w:left w:type="dxa" w:w="100"/>
              <w:bottom w:type="dxa" w:w="80"/>
              <w:right w:type="dxa" w:w="100"/>
            </w:tcMar>
            <w:vAlign w:val="center"/>
          </w:tcPr>
          <w:p>
            <w:r>
              <w:rPr>
                <w:b w:val="false"/>
                <w:bCs w:val="false"/>
                <w:sz w:val="20"/>
                <w:szCs w:val="20"/>
              </w:rPr>
              <w:t xml:space="preserve">Wysoka w sieciach mesh bez zabezpieczeń</w:t>
            </w:r>
          </w:p>
        </w:tc>
        <w:tc>
          <w:tcPr>
            <w:tcW w:type="dxa" w:w="3400"/>
            <w:tcMar>
              <w:top w:type="dxa" w:w="80"/>
              <w:left w:type="dxa" w:w="100"/>
              <w:bottom w:type="dxa" w:w="80"/>
              <w:right w:type="dxa" w:w="100"/>
            </w:tcMar>
            <w:vAlign w:val="center"/>
          </w:tcPr>
          <w:p>
            <w:r>
              <w:rPr>
                <w:b w:val="false"/>
                <w:bCs w:val="false"/>
                <w:sz w:val="20"/>
                <w:szCs w:val="20"/>
              </w:rPr>
              <w:t xml:space="preserve">Neutralny — wymaga zabezpieczeń projektowych, nie tajności kodu</w:t>
            </w:r>
          </w:p>
        </w:tc>
      </w:tr>
      <w:tr>
        <w:tc>
          <w:tcPr>
            <w:tcW w:type="dxa" w:w="3200"/>
            <w:tcMar>
              <w:top w:type="dxa" w:w="80"/>
              <w:left w:type="dxa" w:w="100"/>
              <w:bottom w:type="dxa" w:w="80"/>
              <w:right w:type="dxa" w:w="100"/>
            </w:tcMar>
            <w:vAlign w:val="center"/>
          </w:tcPr>
          <w:p>
            <w:r>
              <w:rPr>
                <w:b w:val="false"/>
                <w:bCs w:val="false"/>
                <w:sz w:val="20"/>
                <w:szCs w:val="20"/>
              </w:rPr>
              <w:t xml:space="preserve">Podszywanie się pod innego użytkownika (spoofing)</w:t>
            </w:r>
          </w:p>
        </w:tc>
        <w:tc>
          <w:tcPr>
            <w:tcW w:type="dxa" w:w="2400"/>
            <w:tcMar>
              <w:top w:type="dxa" w:w="80"/>
              <w:left w:type="dxa" w:w="100"/>
              <w:bottom w:type="dxa" w:w="80"/>
              <w:right w:type="dxa" w:w="100"/>
            </w:tcMar>
            <w:vAlign w:val="center"/>
          </w:tcPr>
          <w:p>
            <w:r>
              <w:rPr>
                <w:b w:val="false"/>
                <w:bCs w:val="false"/>
                <w:sz w:val="20"/>
                <w:szCs w:val="20"/>
              </w:rPr>
              <w:t xml:space="preserve">Niska przy poprawnym uwierzytelnianiu kryptograficznym</w:t>
            </w:r>
          </w:p>
        </w:tc>
        <w:tc>
          <w:tcPr>
            <w:tcW w:type="dxa" w:w="3400"/>
            <w:tcMar>
              <w:top w:type="dxa" w:w="80"/>
              <w:left w:type="dxa" w:w="100"/>
              <w:bottom w:type="dxa" w:w="80"/>
              <w:right w:type="dxa" w:w="100"/>
            </w:tcMar>
            <w:vAlign w:val="center"/>
          </w:tcPr>
          <w:p>
            <w:r>
              <w:rPr>
                <w:b w:val="false"/>
                <w:bCs w:val="false"/>
                <w:sz w:val="20"/>
                <w:szCs w:val="20"/>
              </w:rPr>
              <w:t xml:space="preserve">Neutralny</w:t>
            </w:r>
          </w:p>
        </w:tc>
      </w:tr>
    </w:tbl>
    <w:p>
      <w:pPr>
        <w:pStyle w:val="Heading2"/>
        <w:spacing w:after="150" w:before="300"/>
      </w:pPr>
      <w:r>
        <w:t xml:space="preserve">7.2 Ochrona przed nadużyciami w sieci — rate limiting</w:t>
      </w:r>
    </w:p>
    <w:p>
      <w:pPr>
        <w:spacing w:after="160"/>
        <w:jc w:val="both"/>
      </w:pPr>
      <w:r>
        <w:t xml:space="preserve">Podstawowym, zdecentralizowanym mechanizmem ochrony przed zalewaniem sieci (flooding) lub próbami odmowy usługi (DoS) jest ograniczanie liczby wiadomości akceptowanych od pojedynczego identyfikatora nadawcy w jednostce czasu, wdrożone lokalnie w firmware każdego węzła. Mechanizm ten działa niezależnie od obecności serwera centralnego, ponieważ każdy węzeł podejmuje tę decyzję samodzielnie na podstawie lokalnie obserwowanego ruchu.</w:t>
      </w:r>
    </w:p>
    <w:p>
      <w:pPr>
        <w:pStyle w:val="Heading2"/>
        <w:spacing w:after="150" w:before="300"/>
      </w:pPr>
      <w:r>
        <w:t xml:space="preserve">7.3 Blokowanie urządzeń — identyfikator sprzętowy (HWID)</w:t>
      </w:r>
    </w:p>
    <w:p>
      <w:pPr>
        <w:spacing w:after="160"/>
        <w:jc w:val="both"/>
      </w:pPr>
      <w:r>
        <w:t xml:space="preserve">Każde urządzenie może posiadać unikalny identyfikator sprzętowy zapisany w module bezpiecznym podczas produkcji lub pierwszego uruchomienia. Identyfikator ten jest podstawą do dwóch odrębnych mechanizmów kontroli:</w:t>
      </w:r>
    </w:p>
    <w:p>
      <w:pPr>
        <w:pStyle w:val="Heading3"/>
        <w:spacing w:after="100" w:before="200"/>
      </w:pPr>
      <w:r>
        <w:t xml:space="preserve">7.3.1 Blokowanie na poziomie serwera centralnego</w:t>
      </w:r>
    </w:p>
    <w:p>
      <w:pPr>
        <w:spacing w:after="160"/>
        <w:jc w:val="both"/>
      </w:pPr>
      <w:r>
        <w:t xml:space="preserve">Dla użytkowników korzystających z trybu scentralizowanego (opcja opisana w rozdziale 4.4), administrator serwera może prowadzić listę zablokowanych identyfikatorów i odrzucać pochodzący od nich ruch na poziomie synchronizacji z serwerem. Jest to skuteczne narzędzie ograniczania nadużyć w tym trybie, analogiczne do banowania konta w dowolnej scentralizowanej usłudze internetowej.</w:t>
      </w:r>
    </w:p>
    <w:p>
      <w:pPr>
        <w:pStyle w:val="Heading3"/>
        <w:spacing w:after="100" w:before="200"/>
      </w:pPr>
      <w:r>
        <w:t xml:space="preserve">7.3.2 Ograniczenia blokowania w trybie lokalnym (P2P)</w:t>
      </w:r>
    </w:p>
    <w:p>
      <w:pPr>
        <w:spacing w:after="160"/>
        <w:jc w:val="both"/>
      </w:pPr>
      <w:r>
        <w:t xml:space="preserve">W trybie w pełni lokalnym, bez udziału serwera centralnego, propagacja informacji o zablokowanym urządzeniu musiałaby odbywać się przez same węzły sieci mesh, co rodzi dodatkowe ryzyko: złośliwy węzeł mógłby fałszywie rozgłaszać, że legalne urządzenie jest zablokowane, co jest formą ataku typu reputation attack. Rekomendowane podejście to ograniczenie automatycznego blokowania do trybu scentralizowanego, a w trybie lokalnym poleganie przede wszystkim na rate-limitingu i naturalnej odporności architektury rozproszonej.</w:t>
      </w:r>
    </w:p>
    <w:p>
      <w:pPr>
        <w:pStyle w:val="Heading3"/>
        <w:spacing w:after="100" w:before="200"/>
      </w:pPr>
      <w:r>
        <w:t xml:space="preserve">7.3.3 Fundamentalne ograniczenie modelu open source + DIY</w:t>
      </w:r>
    </w:p>
    <w:p>
      <w:pPr>
        <w:spacing w:after="160"/>
        <w:jc w:val="both"/>
      </w:pPr>
      <w:r>
        <w:t xml:space="preserve">Należy jasno zakomunikować użytkownikom systemu, że w architekturze opartej na otwartym kodzie i samodzielnym budowaniu urządzeń, zbanowany identyfikator sprzętowy nie stanowi trwałej bariery — osoba zdeterminowana może zbudować nowe urządzenie z nowym identyfikatorem. Jest to nieunikniony kompromis wynikający z fundamentalnej decyzji projektowej o otwartości i braku centralnej kontroli nad dystrybucją sprzętu, a nie błąd w implementacji zabezpieczeń.</w:t>
      </w:r>
    </w:p>
    <w:p>
      <w:pPr>
        <w:pStyle w:val="Heading2"/>
        <w:spacing w:after="150" w:before="300"/>
      </w:pPr>
      <w:r>
        <w:t xml:space="preserve">7.4 Ochrona fizyczna urządzenia</w:t>
      </w:r>
    </w:p>
    <w:p>
      <w:pPr>
        <w:pStyle w:val="ListParagraph"/>
        <w:numPr>
          <w:ilvl w:val="0"/>
          <w:numId w:val="2"/>
        </w:numPr>
        <w:spacing w:after="100"/>
      </w:pPr>
      <w:r>
        <w:t xml:space="preserve">Bezpieczny rozruch (secure boot) z podpisanym firmware — natywnie wspierany przez ESP32-S3, uniemożliwia uruchomienie niepodpisanej, zmodyfikowanej wersji oprogramowania.</w:t>
      </w:r>
    </w:p>
    <w:p>
      <w:pPr>
        <w:pStyle w:val="ListParagraph"/>
        <w:numPr>
          <w:ilvl w:val="0"/>
          <w:numId w:val="2"/>
        </w:numPr>
        <w:spacing w:after="100"/>
      </w:pPr>
      <w:r>
        <w:t xml:space="preserve">Wyłączenie interfejsów programujących (JTAG/UART) po produkcji poprzez zapalenie odpowiednich bitów bezpieczeństwa (fuses), utrudniające ponowne zaprogramowanie chipa.</w:t>
      </w:r>
    </w:p>
    <w:p>
      <w:pPr>
        <w:pStyle w:val="ListParagraph"/>
        <w:numPr>
          <w:ilvl w:val="0"/>
          <w:numId w:val="2"/>
        </w:numPr>
        <w:spacing w:after="100"/>
      </w:pPr>
      <w:r>
        <w:t xml:space="preserve">Generowanie i przechowywanie klucza prywatnego wyłącznie wewnątrz modułu bezpiecznego (np. ATECC608A), bez możliwości jego wyeksportowania w formie jawnej, nawet przez właściciela urządzenia.</w:t>
      </w:r>
    </w:p>
    <w:p>
      <w:pPr>
        <w:pStyle w:val="ListParagraph"/>
        <w:numPr>
          <w:ilvl w:val="0"/>
          <w:numId w:val="2"/>
        </w:numPr>
        <w:spacing w:after="100"/>
      </w:pPr>
      <w:r>
        <w:t xml:space="preserve">Czujnik otwarcia obudowy (tamper switch) powodujący automatyczne wyzerowanie zapisanych kluczy w przypadku fizycznej ingerencji w obudowę.</w:t>
      </w:r>
    </w:p>
    <w:p>
      <w:pPr>
        <w:pBdr>
          <w:left w:val="single" w:color="2F5496" w:sz="12" w:space="8"/>
        </w:pBdr>
        <w:spacing w:after="150" w:before="150"/>
        <w:ind w:left="300"/>
      </w:pPr>
      <w:r>
        <w:rPr>
          <w:i/>
          <w:iCs/>
        </w:rPr>
        <w:t xml:space="preserve">Żadne z powyższych zabezpieczeń nie daje absolutnej gwarancji odporności na zdeterminowanego atakującego z fizycznym dostępem do urządzenia i odpowiednimi zasobami. Celem tych mechanizmów jest podniesienie kosztu i złożoności ataku do poziomu nieopłacalnego dla przeciętnego przypadku nadużycia, a nie stworzenie teoretycznie niemożliwej do złamania bariery.</w:t>
      </w:r>
    </w:p>
    <w:p>
      <w:r>
        <w:br w:type="page"/>
      </w:r>
    </w:p>
    <w:p>
      <w:pPr>
        <w:pStyle w:val="Heading1"/>
        <w:spacing w:after="200" w:before="400"/>
      </w:pPr>
      <w:r>
        <w:t xml:space="preserve">8. Sprzęt — projekt nadajnika</w:t>
      </w:r>
    </w:p>
    <w:p>
      <w:pPr>
        <w:pStyle w:val="Heading2"/>
        <w:spacing w:after="150" w:before="300"/>
      </w:pPr>
      <w:r>
        <w:t xml:space="preserve">8.1 Wybór komponentów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800"/>
      </w:tblGrid>
      <w:tr>
        <w:tc>
          <w:tcPr>
            <w:tcW w:type="dxa" w:w="1800"/>
            <w:shd w:fill="2F5496" w:val="clear"/>
            <w:tcMar>
              <w:top w:type="dxa" w:w="80"/>
              <w:left w:type="dxa" w:w="100"/>
              <w:bottom w:type="dxa" w:w="80"/>
              <w:right w:type="dxa" w:w="100"/>
            </w:tcMar>
            <w:vAlign w:val="center"/>
          </w:tcPr>
          <w:p>
            <w:r>
              <w:rPr>
                <w:b/>
                <w:bCs/>
                <w:color w:val="FFFFFF"/>
                <w:sz w:val="20"/>
                <w:szCs w:val="20"/>
              </w:rPr>
              <w:t xml:space="preserve">Komponent</w:t>
            </w:r>
          </w:p>
        </w:tc>
        <w:tc>
          <w:tcPr>
            <w:tcW w:type="dxa" w:w="2600"/>
            <w:shd w:fill="2F5496" w:val="clear"/>
            <w:tcMar>
              <w:top w:type="dxa" w:w="80"/>
              <w:left w:type="dxa" w:w="100"/>
              <w:bottom w:type="dxa" w:w="80"/>
              <w:right w:type="dxa" w:w="100"/>
            </w:tcMar>
            <w:vAlign w:val="center"/>
          </w:tcPr>
          <w:p>
            <w:r>
              <w:rPr>
                <w:b/>
                <w:bCs/>
                <w:color w:val="FFFFFF"/>
                <w:sz w:val="20"/>
                <w:szCs w:val="20"/>
              </w:rPr>
              <w:t xml:space="preserve">Rekomendacja</w:t>
            </w:r>
          </w:p>
        </w:tc>
        <w:tc>
          <w:tcPr>
            <w:tcW w:type="dxa" w:w="1800"/>
            <w:shd w:fill="2F5496" w:val="clear"/>
            <w:tcMar>
              <w:top w:type="dxa" w:w="80"/>
              <w:left w:type="dxa" w:w="100"/>
              <w:bottom w:type="dxa" w:w="80"/>
              <w:right w:type="dxa" w:w="100"/>
            </w:tcMar>
            <w:vAlign w:val="center"/>
          </w:tcPr>
          <w:p>
            <w:r>
              <w:rPr>
                <w:b/>
                <w:bCs/>
                <w:color w:val="FFFFFF"/>
                <w:sz w:val="20"/>
                <w:szCs w:val="20"/>
              </w:rPr>
              <w:t xml:space="preserve">Szacunkowa cena</w:t>
            </w:r>
          </w:p>
        </w:tc>
        <w:tc>
          <w:tcPr>
            <w:tcW w:type="dxa" w:w="2800"/>
            <w:shd w:fill="2F5496" w:val="clear"/>
            <w:tcMar>
              <w:top w:type="dxa" w:w="80"/>
              <w:left w:type="dxa" w:w="100"/>
              <w:bottom w:type="dxa" w:w="80"/>
              <w:right w:type="dxa" w:w="100"/>
            </w:tcMar>
            <w:vAlign w:val="center"/>
          </w:tcPr>
          <w:p>
            <w:r>
              <w:rPr>
                <w:b/>
                <w:bCs/>
                <w:color w:val="FFFFFF"/>
                <w:sz w:val="20"/>
                <w:szCs w:val="20"/>
              </w:rPr>
              <w:t xml:space="preserve">Rola</w:t>
            </w:r>
          </w:p>
        </w:tc>
      </w:tr>
      <w:tr>
        <w:tc>
          <w:tcPr>
            <w:tcW w:type="dxa" w:w="1800"/>
            <w:tcMar>
              <w:top w:type="dxa" w:w="80"/>
              <w:left w:type="dxa" w:w="100"/>
              <w:bottom w:type="dxa" w:w="80"/>
              <w:right w:type="dxa" w:w="100"/>
            </w:tcMar>
            <w:vAlign w:val="center"/>
          </w:tcPr>
          <w:p>
            <w:r>
              <w:rPr>
                <w:b w:val="false"/>
                <w:bCs w:val="false"/>
                <w:sz w:val="20"/>
                <w:szCs w:val="20"/>
              </w:rPr>
              <w:t xml:space="preserve">Mikrokontroler</w:t>
            </w:r>
          </w:p>
        </w:tc>
        <w:tc>
          <w:tcPr>
            <w:tcW w:type="dxa" w:w="2600"/>
            <w:tcMar>
              <w:top w:type="dxa" w:w="80"/>
              <w:left w:type="dxa" w:w="100"/>
              <w:bottom w:type="dxa" w:w="80"/>
              <w:right w:type="dxa" w:w="100"/>
            </w:tcMar>
            <w:vAlign w:val="center"/>
          </w:tcPr>
          <w:p>
            <w:r>
              <w:rPr>
                <w:b w:val="false"/>
                <w:bCs w:val="false"/>
                <w:sz w:val="20"/>
                <w:szCs w:val="20"/>
              </w:rPr>
              <w:t xml:space="preserve">ESP32-S3 (dev board)</w:t>
            </w:r>
          </w:p>
        </w:tc>
        <w:tc>
          <w:tcPr>
            <w:tcW w:type="dxa" w:w="1800"/>
            <w:tcMar>
              <w:top w:type="dxa" w:w="80"/>
              <w:left w:type="dxa" w:w="100"/>
              <w:bottom w:type="dxa" w:w="80"/>
              <w:right w:type="dxa" w:w="100"/>
            </w:tcMar>
            <w:vAlign w:val="center"/>
          </w:tcPr>
          <w:p>
            <w:r>
              <w:rPr>
                <w:b w:val="false"/>
                <w:bCs w:val="false"/>
                <w:sz w:val="20"/>
                <w:szCs w:val="20"/>
              </w:rPr>
              <w:t xml:space="preserve">40–60 zł</w:t>
            </w:r>
          </w:p>
        </w:tc>
        <w:tc>
          <w:tcPr>
            <w:tcW w:type="dxa" w:w="2800"/>
            <w:tcMar>
              <w:top w:type="dxa" w:w="80"/>
              <w:left w:type="dxa" w:w="100"/>
              <w:bottom w:type="dxa" w:w="80"/>
              <w:right w:type="dxa" w:w="100"/>
            </w:tcMar>
            <w:vAlign w:val="center"/>
          </w:tcPr>
          <w:p>
            <w:r>
              <w:rPr>
                <w:b w:val="false"/>
                <w:bCs w:val="false"/>
                <w:sz w:val="20"/>
                <w:szCs w:val="20"/>
              </w:rPr>
              <w:t xml:space="preserve">Logika mesh, routing, szyfrowanie, secure boot</w:t>
            </w:r>
          </w:p>
        </w:tc>
      </w:tr>
      <w:tr>
        <w:tc>
          <w:tcPr>
            <w:tcW w:type="dxa" w:w="1800"/>
            <w:tcMar>
              <w:top w:type="dxa" w:w="80"/>
              <w:left w:type="dxa" w:w="100"/>
              <w:bottom w:type="dxa" w:w="80"/>
              <w:right w:type="dxa" w:w="100"/>
            </w:tcMar>
            <w:vAlign w:val="center"/>
          </w:tcPr>
          <w:p>
            <w:r>
              <w:rPr>
                <w:b w:val="false"/>
                <w:bCs w:val="false"/>
                <w:sz w:val="20"/>
                <w:szCs w:val="20"/>
              </w:rPr>
              <w:t xml:space="preserve">Moduł radiowy</w:t>
            </w:r>
          </w:p>
        </w:tc>
        <w:tc>
          <w:tcPr>
            <w:tcW w:type="dxa" w:w="2600"/>
            <w:tcMar>
              <w:top w:type="dxa" w:w="80"/>
              <w:left w:type="dxa" w:w="100"/>
              <w:bottom w:type="dxa" w:w="80"/>
              <w:right w:type="dxa" w:w="100"/>
            </w:tcMar>
            <w:vAlign w:val="center"/>
          </w:tcPr>
          <w:p>
            <w:r>
              <w:rPr>
                <w:b w:val="false"/>
                <w:bCs w:val="false"/>
                <w:sz w:val="20"/>
                <w:szCs w:val="20"/>
              </w:rPr>
              <w:t xml:space="preserve">Semtech SX1262 (LoRa)</w:t>
            </w:r>
          </w:p>
        </w:tc>
        <w:tc>
          <w:tcPr>
            <w:tcW w:type="dxa" w:w="1800"/>
            <w:tcMar>
              <w:top w:type="dxa" w:w="80"/>
              <w:left w:type="dxa" w:w="100"/>
              <w:bottom w:type="dxa" w:w="80"/>
              <w:right w:type="dxa" w:w="100"/>
            </w:tcMar>
            <w:vAlign w:val="center"/>
          </w:tcPr>
          <w:p>
            <w:r>
              <w:rPr>
                <w:b w:val="false"/>
                <w:bCs w:val="false"/>
                <w:sz w:val="20"/>
                <w:szCs w:val="20"/>
              </w:rPr>
              <w:t xml:space="preserve">50–70 zł</w:t>
            </w:r>
          </w:p>
        </w:tc>
        <w:tc>
          <w:tcPr>
            <w:tcW w:type="dxa" w:w="2800"/>
            <w:tcMar>
              <w:top w:type="dxa" w:w="80"/>
              <w:left w:type="dxa" w:w="100"/>
              <w:bottom w:type="dxa" w:w="80"/>
              <w:right w:type="dxa" w:w="100"/>
            </w:tcMar>
            <w:vAlign w:val="center"/>
          </w:tcPr>
          <w:p>
            <w:r>
              <w:rPr>
                <w:b w:val="false"/>
                <w:bCs w:val="false"/>
                <w:sz w:val="20"/>
                <w:szCs w:val="20"/>
              </w:rPr>
              <w:t xml:space="preserve">Transmisja 433/868 MHz</w:t>
            </w:r>
          </w:p>
        </w:tc>
      </w:tr>
      <w:tr>
        <w:tc>
          <w:tcPr>
            <w:tcW w:type="dxa" w:w="1800"/>
            <w:tcMar>
              <w:top w:type="dxa" w:w="80"/>
              <w:left w:type="dxa" w:w="100"/>
              <w:bottom w:type="dxa" w:w="80"/>
              <w:right w:type="dxa" w:w="100"/>
            </w:tcMar>
            <w:vAlign w:val="center"/>
          </w:tcPr>
          <w:p>
            <w:r>
              <w:rPr>
                <w:b w:val="false"/>
                <w:bCs w:val="false"/>
                <w:sz w:val="20"/>
                <w:szCs w:val="20"/>
              </w:rPr>
              <w:t xml:space="preserve">Moduł bezpieczny</w:t>
            </w:r>
          </w:p>
        </w:tc>
        <w:tc>
          <w:tcPr>
            <w:tcW w:type="dxa" w:w="2600"/>
            <w:tcMar>
              <w:top w:type="dxa" w:w="80"/>
              <w:left w:type="dxa" w:w="100"/>
              <w:bottom w:type="dxa" w:w="80"/>
              <w:right w:type="dxa" w:w="100"/>
            </w:tcMar>
            <w:vAlign w:val="center"/>
          </w:tcPr>
          <w:p>
            <w:r>
              <w:rPr>
                <w:b w:val="false"/>
                <w:bCs w:val="false"/>
                <w:sz w:val="20"/>
                <w:szCs w:val="20"/>
              </w:rPr>
              <w:t xml:space="preserve">ATECC608A</w:t>
            </w:r>
          </w:p>
        </w:tc>
        <w:tc>
          <w:tcPr>
            <w:tcW w:type="dxa" w:w="1800"/>
            <w:tcMar>
              <w:top w:type="dxa" w:w="80"/>
              <w:left w:type="dxa" w:w="100"/>
              <w:bottom w:type="dxa" w:w="80"/>
              <w:right w:type="dxa" w:w="100"/>
            </w:tcMar>
            <w:vAlign w:val="center"/>
          </w:tcPr>
          <w:p>
            <w:r>
              <w:rPr>
                <w:b w:val="false"/>
                <w:bCs w:val="false"/>
                <w:sz w:val="20"/>
                <w:szCs w:val="20"/>
              </w:rPr>
              <w:t xml:space="preserve">15–20 zł</w:t>
            </w:r>
          </w:p>
        </w:tc>
        <w:tc>
          <w:tcPr>
            <w:tcW w:type="dxa" w:w="2800"/>
            <w:tcMar>
              <w:top w:type="dxa" w:w="80"/>
              <w:left w:type="dxa" w:w="100"/>
              <w:bottom w:type="dxa" w:w="80"/>
              <w:right w:type="dxa" w:w="100"/>
            </w:tcMar>
            <w:vAlign w:val="center"/>
          </w:tcPr>
          <w:p>
            <w:r>
              <w:rPr>
                <w:b w:val="false"/>
                <w:bCs w:val="false"/>
                <w:sz w:val="20"/>
                <w:szCs w:val="20"/>
              </w:rPr>
              <w:t xml:space="preserve">Przechowywanie kluczy prywatnych w hardware</w:t>
            </w:r>
          </w:p>
        </w:tc>
      </w:tr>
      <w:tr>
        <w:tc>
          <w:tcPr>
            <w:tcW w:type="dxa" w:w="1800"/>
            <w:tcMar>
              <w:top w:type="dxa" w:w="80"/>
              <w:left w:type="dxa" w:w="100"/>
              <w:bottom w:type="dxa" w:w="80"/>
              <w:right w:type="dxa" w:w="100"/>
            </w:tcMar>
            <w:vAlign w:val="center"/>
          </w:tcPr>
          <w:p>
            <w:r>
              <w:rPr>
                <w:b w:val="false"/>
                <w:bCs w:val="false"/>
                <w:sz w:val="20"/>
                <w:szCs w:val="20"/>
              </w:rPr>
              <w:t xml:space="preserve">Antena</w:t>
            </w:r>
          </w:p>
        </w:tc>
        <w:tc>
          <w:tcPr>
            <w:tcW w:type="dxa" w:w="2600"/>
            <w:tcMar>
              <w:top w:type="dxa" w:w="80"/>
              <w:left w:type="dxa" w:w="100"/>
              <w:bottom w:type="dxa" w:w="80"/>
              <w:right w:type="dxa" w:w="100"/>
            </w:tcMar>
            <w:vAlign w:val="center"/>
          </w:tcPr>
          <w:p>
            <w:r>
              <w:rPr>
                <w:b w:val="false"/>
                <w:bCs w:val="false"/>
                <w:sz w:val="20"/>
                <w:szCs w:val="20"/>
              </w:rPr>
              <w:t xml:space="preserve">Dookólna 868 MHz, złącze SMA</w:t>
            </w:r>
          </w:p>
        </w:tc>
        <w:tc>
          <w:tcPr>
            <w:tcW w:type="dxa" w:w="1800"/>
            <w:tcMar>
              <w:top w:type="dxa" w:w="80"/>
              <w:left w:type="dxa" w:w="100"/>
              <w:bottom w:type="dxa" w:w="80"/>
              <w:right w:type="dxa" w:w="100"/>
            </w:tcMar>
            <w:vAlign w:val="center"/>
          </w:tcPr>
          <w:p>
            <w:r>
              <w:rPr>
                <w:b w:val="false"/>
                <w:bCs w:val="false"/>
                <w:sz w:val="20"/>
                <w:szCs w:val="20"/>
              </w:rPr>
              <w:t xml:space="preserve">20–30 zł</w:t>
            </w:r>
          </w:p>
        </w:tc>
        <w:tc>
          <w:tcPr>
            <w:tcW w:type="dxa" w:w="2800"/>
            <w:tcMar>
              <w:top w:type="dxa" w:w="80"/>
              <w:left w:type="dxa" w:w="100"/>
              <w:bottom w:type="dxa" w:w="80"/>
              <w:right w:type="dxa" w:w="100"/>
            </w:tcMar>
            <w:vAlign w:val="center"/>
          </w:tcPr>
          <w:p>
            <w:r>
              <w:rPr>
                <w:b w:val="false"/>
                <w:bCs w:val="false"/>
                <w:sz w:val="20"/>
                <w:szCs w:val="20"/>
              </w:rPr>
              <w:t xml:space="preserve">Zasięg radiowy</w:t>
            </w:r>
          </w:p>
        </w:tc>
      </w:tr>
      <w:tr>
        <w:tc>
          <w:tcPr>
            <w:tcW w:type="dxa" w:w="1800"/>
            <w:tcMar>
              <w:top w:type="dxa" w:w="80"/>
              <w:left w:type="dxa" w:w="100"/>
              <w:bottom w:type="dxa" w:w="80"/>
              <w:right w:type="dxa" w:w="100"/>
            </w:tcMar>
            <w:vAlign w:val="center"/>
          </w:tcPr>
          <w:p>
            <w:r>
              <w:rPr>
                <w:b w:val="false"/>
                <w:bCs w:val="false"/>
                <w:sz w:val="20"/>
                <w:szCs w:val="20"/>
              </w:rPr>
              <w:t xml:space="preserve">Zasilanie</w:t>
            </w:r>
          </w:p>
        </w:tc>
        <w:tc>
          <w:tcPr>
            <w:tcW w:type="dxa" w:w="2600"/>
            <w:tcMar>
              <w:top w:type="dxa" w:w="80"/>
              <w:left w:type="dxa" w:w="100"/>
              <w:bottom w:type="dxa" w:w="80"/>
              <w:right w:type="dxa" w:w="100"/>
            </w:tcMar>
            <w:vAlign w:val="center"/>
          </w:tcPr>
          <w:p>
            <w:r>
              <w:rPr>
                <w:b w:val="false"/>
                <w:bCs w:val="false"/>
                <w:sz w:val="20"/>
                <w:szCs w:val="20"/>
              </w:rPr>
              <w:t xml:space="preserve">Ogniwo 18650 + moduł ładowania USB-C (TP4056)</w:t>
            </w:r>
          </w:p>
        </w:tc>
        <w:tc>
          <w:tcPr>
            <w:tcW w:type="dxa" w:w="1800"/>
            <w:tcMar>
              <w:top w:type="dxa" w:w="80"/>
              <w:left w:type="dxa" w:w="100"/>
              <w:bottom w:type="dxa" w:w="80"/>
              <w:right w:type="dxa" w:w="100"/>
            </w:tcMar>
            <w:vAlign w:val="center"/>
          </w:tcPr>
          <w:p>
            <w:r>
              <w:rPr>
                <w:b w:val="false"/>
                <w:bCs w:val="false"/>
                <w:sz w:val="20"/>
                <w:szCs w:val="20"/>
              </w:rPr>
              <w:t xml:space="preserve">30 zł</w:t>
            </w:r>
          </w:p>
        </w:tc>
        <w:tc>
          <w:tcPr>
            <w:tcW w:type="dxa" w:w="2800"/>
            <w:tcMar>
              <w:top w:type="dxa" w:w="80"/>
              <w:left w:type="dxa" w:w="100"/>
              <w:bottom w:type="dxa" w:w="80"/>
              <w:right w:type="dxa" w:w="100"/>
            </w:tcMar>
            <w:vAlign w:val="center"/>
          </w:tcPr>
          <w:p>
            <w:r>
              <w:rPr>
                <w:b w:val="false"/>
                <w:bCs w:val="false"/>
                <w:sz w:val="20"/>
                <w:szCs w:val="20"/>
              </w:rPr>
              <w:t xml:space="preserve">Zasilanie mobilne / stacjonarne</w:t>
            </w:r>
          </w:p>
        </w:tc>
      </w:tr>
      <w:tr>
        <w:tc>
          <w:tcPr>
            <w:tcW w:type="dxa" w:w="1800"/>
            <w:tcMar>
              <w:top w:type="dxa" w:w="80"/>
              <w:left w:type="dxa" w:w="100"/>
              <w:bottom w:type="dxa" w:w="80"/>
              <w:right w:type="dxa" w:w="100"/>
            </w:tcMar>
            <w:vAlign w:val="center"/>
          </w:tcPr>
          <w:p>
            <w:r>
              <w:rPr>
                <w:b w:val="false"/>
                <w:bCs w:val="false"/>
                <w:sz w:val="20"/>
                <w:szCs w:val="20"/>
              </w:rPr>
              <w:t xml:space="preserve">Obudowa</w:t>
            </w:r>
          </w:p>
        </w:tc>
        <w:tc>
          <w:tcPr>
            <w:tcW w:type="dxa" w:w="2600"/>
            <w:tcMar>
              <w:top w:type="dxa" w:w="80"/>
              <w:left w:type="dxa" w:w="100"/>
              <w:bottom w:type="dxa" w:w="80"/>
              <w:right w:type="dxa" w:w="100"/>
            </w:tcMar>
            <w:vAlign w:val="center"/>
          </w:tcPr>
          <w:p>
            <w:r>
              <w:rPr>
                <w:b w:val="false"/>
                <w:bCs w:val="false"/>
                <w:sz w:val="20"/>
                <w:szCs w:val="20"/>
              </w:rPr>
              <w:t xml:space="preserve">Druk 3D lub gotowa obudowa plastikowa</w:t>
            </w:r>
          </w:p>
        </w:tc>
        <w:tc>
          <w:tcPr>
            <w:tcW w:type="dxa" w:w="1800"/>
            <w:tcMar>
              <w:top w:type="dxa" w:w="80"/>
              <w:left w:type="dxa" w:w="100"/>
              <w:bottom w:type="dxa" w:w="80"/>
              <w:right w:type="dxa" w:w="100"/>
            </w:tcMar>
            <w:vAlign w:val="center"/>
          </w:tcPr>
          <w:p>
            <w:r>
              <w:rPr>
                <w:b w:val="false"/>
                <w:bCs w:val="false"/>
                <w:sz w:val="20"/>
                <w:szCs w:val="20"/>
              </w:rPr>
              <w:t xml:space="preserve">15–25 zł</w:t>
            </w:r>
          </w:p>
        </w:tc>
        <w:tc>
          <w:tcPr>
            <w:tcW w:type="dxa" w:w="2800"/>
            <w:tcMar>
              <w:top w:type="dxa" w:w="80"/>
              <w:left w:type="dxa" w:w="100"/>
              <w:bottom w:type="dxa" w:w="80"/>
              <w:right w:type="dxa" w:w="100"/>
            </w:tcMar>
            <w:vAlign w:val="center"/>
          </w:tcPr>
          <w:p>
            <w:r>
              <w:rPr>
                <w:b w:val="false"/>
                <w:bCs w:val="false"/>
                <w:sz w:val="20"/>
                <w:szCs w:val="20"/>
              </w:rPr>
              <w:t xml:space="preserve">Ochrona mechaniczna, montaż czujnika sabotażu</w:t>
            </w:r>
          </w:p>
        </w:tc>
      </w:tr>
      <w:tr>
        <w:tc>
          <w:tcPr>
            <w:tcW w:type="dxa" w:w="1800"/>
            <w:tcMar>
              <w:top w:type="dxa" w:w="80"/>
              <w:left w:type="dxa" w:w="100"/>
              <w:bottom w:type="dxa" w:w="80"/>
              <w:right w:type="dxa" w:w="100"/>
            </w:tcMar>
            <w:vAlign w:val="center"/>
          </w:tcPr>
          <w:p>
            <w:r>
              <w:rPr>
                <w:b w:val="false"/>
                <w:bCs w:val="false"/>
                <w:sz w:val="20"/>
                <w:szCs w:val="20"/>
              </w:rPr>
              <w:t xml:space="preserve">Wyświetlacz (opcjonalnie)</w:t>
            </w:r>
          </w:p>
        </w:tc>
        <w:tc>
          <w:tcPr>
            <w:tcW w:type="dxa" w:w="2600"/>
            <w:tcMar>
              <w:top w:type="dxa" w:w="80"/>
              <w:left w:type="dxa" w:w="100"/>
              <w:bottom w:type="dxa" w:w="80"/>
              <w:right w:type="dxa" w:w="100"/>
            </w:tcMar>
            <w:vAlign w:val="center"/>
          </w:tcPr>
          <w:p>
            <w:r>
              <w:rPr>
                <w:b w:val="false"/>
                <w:bCs w:val="false"/>
                <w:sz w:val="20"/>
                <w:szCs w:val="20"/>
              </w:rPr>
              <w:t xml:space="preserve">Mały OLED 0.96"</w:t>
            </w:r>
          </w:p>
        </w:tc>
        <w:tc>
          <w:tcPr>
            <w:tcW w:type="dxa" w:w="1800"/>
            <w:tcMar>
              <w:top w:type="dxa" w:w="80"/>
              <w:left w:type="dxa" w:w="100"/>
              <w:bottom w:type="dxa" w:w="80"/>
              <w:right w:type="dxa" w:w="100"/>
            </w:tcMar>
            <w:vAlign w:val="center"/>
          </w:tcPr>
          <w:p>
            <w:r>
              <w:rPr>
                <w:b w:val="false"/>
                <w:bCs w:val="false"/>
                <w:sz w:val="20"/>
                <w:szCs w:val="20"/>
              </w:rPr>
              <w:t xml:space="preserve">15–20 zł</w:t>
            </w:r>
          </w:p>
        </w:tc>
        <w:tc>
          <w:tcPr>
            <w:tcW w:type="dxa" w:w="2800"/>
            <w:tcMar>
              <w:top w:type="dxa" w:w="80"/>
              <w:left w:type="dxa" w:w="100"/>
              <w:bottom w:type="dxa" w:w="80"/>
              <w:right w:type="dxa" w:w="100"/>
            </w:tcMar>
            <w:vAlign w:val="center"/>
          </w:tcPr>
          <w:p>
            <w:r>
              <w:rPr>
                <w:b w:val="false"/>
                <w:bCs w:val="false"/>
                <w:sz w:val="20"/>
                <w:szCs w:val="20"/>
              </w:rPr>
              <w:t xml:space="preserve">Podgląd statusu bez telefonu</w:t>
            </w:r>
          </w:p>
        </w:tc>
      </w:tr>
    </w:tbl>
    <w:p>
      <w:pPr>
        <w:spacing w:after="160"/>
        <w:jc w:val="both"/>
      </w:pPr>
      <w:r>
        <w:t xml:space="preserve">Łączny szacunkowy koszt komponentów pojedynczego zestawu: 170–250 zł, w zależności od wybranych opcji (wyświetlacz opcjonalny, obudowa drukowana we własnym zakresie vs. gotowa).</w:t>
      </w:r>
    </w:p>
    <w:p>
      <w:pPr>
        <w:pStyle w:val="Heading2"/>
        <w:spacing w:after="150" w:before="300"/>
      </w:pPr>
      <w:r>
        <w:t xml:space="preserve">8.2 Projekt zestawu modułowego („lego”)</w:t>
      </w:r>
    </w:p>
    <w:p>
      <w:pPr>
        <w:spacing w:after="160"/>
        <w:jc w:val="both"/>
      </w:pPr>
      <w:r>
        <w:t xml:space="preserve">Rekomendowany model dystrybucji to zestaw komponentów do samodzielnego złożenia, analogiczny do zestawów klocków — każdy moduł łączy się z pozostałymi przez gotowe złącza (piny, złącza SMA, złącza JST), minimalizując potrzebę lutowania do kilku prostych punktów. Taki model ma następujące zalety:</w:t>
      </w:r>
    </w:p>
    <w:p>
      <w:pPr>
        <w:pStyle w:val="ListParagraph"/>
        <w:numPr>
          <w:ilvl w:val="0"/>
          <w:numId w:val="2"/>
        </w:numPr>
        <w:spacing w:after="100"/>
      </w:pPr>
      <w:r>
        <w:t xml:space="preserve">Niższy próg wejścia dla budujących — możliwość złożenia przez hobbystę po jednym tutorialu wideo, bez specjalistycznego sprzętu lutowniczego poza podstawową lutownicą.</w:t>
      </w:r>
    </w:p>
    <w:p>
      <w:pPr>
        <w:pStyle w:val="ListParagraph"/>
        <w:numPr>
          <w:ilvl w:val="0"/>
          <w:numId w:val="2"/>
        </w:numPr>
        <w:spacing w:after="100"/>
      </w:pPr>
      <w:r>
        <w:t xml:space="preserve">Łatwiejsza naprawa i wymiana pojedynczych modułów bez konieczności wymiany całego urządzenia.</w:t>
      </w:r>
    </w:p>
    <w:p>
      <w:pPr>
        <w:pStyle w:val="ListParagraph"/>
        <w:numPr>
          <w:ilvl w:val="0"/>
          <w:numId w:val="2"/>
        </w:numPr>
        <w:spacing w:after="100"/>
      </w:pPr>
      <w:r>
        <w:t xml:space="preserve">Możliwość publikacji projektów mechanicznych (pliki STL obudowy) oraz schematów elektrycznych jako część otwartego repozytorium, zgodnie z modelem open source opisanym w rozdziale 3 i 10.</w:t>
      </w:r>
    </w:p>
    <w:p>
      <w:pPr>
        <w:spacing w:after="160"/>
        <w:jc w:val="both"/>
      </w:pPr>
      <w:r>
        <w:t xml:space="preserve">Ważne zastrzeżenie prawne: sprzedaż takiego zestawu komponentów, nawet jeśli wymaga samodzielnego montażu przez nabywcę, nadal podlega ocenie w świetle dyrektywy RED, jeśli zestaw jest przeznaczony i reklamowany jako komplet do zbudowania działającego urządzenia radiowego. Sama sprzedaż pojedynczych, uniwersalnych podzespołów elektronicznych (np. ogólnego modułu LoRa, niepowiązanego z konkretnym projektem) zazwyczaj nie podlega tym samym wymogom co sprzedaż kompletnego, dedykowanego zestawu — rozróżnienie to warto zweryfikować z prawnikiem przed rozpoczęciem sprzedaży.</w:t>
      </w:r>
    </w:p>
    <w:p>
      <w:pPr>
        <w:pStyle w:val="Heading2"/>
        <w:spacing w:after="150" w:before="300"/>
      </w:pPr>
      <w:r>
        <w:t xml:space="preserve">8.3 Zużycie energii i autonomia</w:t>
      </w:r>
    </w:p>
    <w:p>
      <w:pPr>
        <w:spacing w:after="160"/>
        <w:jc w:val="both"/>
      </w:pPr>
      <w:r>
        <w:t xml:space="preserve">Moduły LoRa charakteryzują się niskim poborem prądu w trybie nasłuchu i krótkimi, energochłonnymi impulsami podczas transmisji. Przy typowym cyklu pracy (beacon obecności co 60–120 sekund, sporadyczna transmisja wiadomości) urządzenie zasilane pojedynczym ogniwem 18650 (ok. 3000 mAh) może działać autonomicznie od kilku dni do ponad tygodnia, w zależności od intensywności ruchu w sieci. Dla węzłów stacjonarnych (np. w oknie mieszkania) zalecane jest zasilanie stałe przez zasilacz USB-C z ogniwem jako zabezpieczeniem na wypadek zaniku zasilania.</w:t>
      </w:r>
    </w:p>
    <w:p>
      <w:r>
        <w:br w:type="page"/>
      </w:r>
    </w:p>
    <w:p>
      <w:pPr>
        <w:pStyle w:val="Heading1"/>
        <w:spacing w:after="200" w:before="400"/>
      </w:pPr>
      <w:r>
        <w:t xml:space="preserve">9. Oprogramowanie urządzenia (firmware)</w:t>
      </w:r>
    </w:p>
    <w:p>
      <w:pPr>
        <w:pStyle w:val="Heading2"/>
        <w:spacing w:after="150" w:before="300"/>
      </w:pPr>
      <w:r>
        <w:t xml:space="preserve">9.1 Architektura warstwowa</w:t>
      </w:r>
    </w:p>
    <w:p>
      <w:pPr>
        <w:spacing w:after="160"/>
        <w:jc w:val="both"/>
      </w:pPr>
      <w:r>
        <w:t xml:space="preserve">Rekomendowana struktura oprogramowania urządzenia dzieli się na niezależne warstwy, co ułatwia testowanie, audyt bezpieczeństwa i niezależny rozwój poszczególnych komponentów przez społeczność open source:</w:t>
      </w:r>
    </w:p>
    <w:p>
      <w:pPr>
        <w:pStyle w:val="ListParagraph"/>
        <w:numPr>
          <w:ilvl w:val="0"/>
          <w:numId w:val="2"/>
        </w:numPr>
        <w:spacing w:after="100"/>
      </w:pPr>
      <w:r>
        <w:t xml:space="preserve">Warstwa sprzętowa (HAL) — sterowniki modułu radiowego, modułu bezpiecznego, wyświetlacza.</w:t>
      </w:r>
    </w:p>
    <w:p>
      <w:pPr>
        <w:pStyle w:val="ListParagraph"/>
        <w:numPr>
          <w:ilvl w:val="0"/>
          <w:numId w:val="2"/>
        </w:numPr>
        <w:spacing w:after="100"/>
      </w:pPr>
      <w:r>
        <w:t xml:space="preserve">Warstwa radiowa — modulacja/demodulacja LoRa, zarządzanie parametrami transmisji (spreading factor, bandwidth, moc nadawania), zgodność z limitami regulacyjnymi danego regionu.</w:t>
      </w:r>
    </w:p>
    <w:p>
      <w:pPr>
        <w:pStyle w:val="ListParagraph"/>
        <w:numPr>
          <w:ilvl w:val="0"/>
          <w:numId w:val="2"/>
        </w:numPr>
        <w:spacing w:after="100"/>
      </w:pPr>
      <w:r>
        <w:t xml:space="preserve">Warstwa mesh/routing — implementacja protokołu opisanego w rozdziale 5 (flooding z TTL, tabela obecności, deduplikacja, rate-limiting).</w:t>
      </w:r>
    </w:p>
    <w:p>
      <w:pPr>
        <w:pStyle w:val="ListParagraph"/>
        <w:numPr>
          <w:ilvl w:val="0"/>
          <w:numId w:val="2"/>
        </w:numPr>
        <w:spacing w:after="100"/>
      </w:pPr>
      <w:r>
        <w:t xml:space="preserve">Warstwa kryptograficzna — implementacja Signal Protocol (libsignal), zarządzanie kluczami, szyfrowanie warstwy transmisyjnej.</w:t>
      </w:r>
    </w:p>
    <w:p>
      <w:pPr>
        <w:pStyle w:val="ListParagraph"/>
        <w:numPr>
          <w:ilvl w:val="0"/>
          <w:numId w:val="2"/>
        </w:numPr>
        <w:spacing w:after="100"/>
      </w:pPr>
      <w:r>
        <w:t xml:space="preserve">Warstwa aplikacyjna — format wiadomości, fragmentacja/składanie długich wiadomości, interfejs komunikacji z aplikacją kliencką (telefon).</w:t>
      </w:r>
    </w:p>
    <w:p>
      <w:pPr>
        <w:pStyle w:val="ListParagraph"/>
        <w:numPr>
          <w:ilvl w:val="0"/>
          <w:numId w:val="2"/>
        </w:numPr>
        <w:spacing w:after="100"/>
      </w:pPr>
      <w:r>
        <w:t xml:space="preserve">Warstwa synchronizacji z serwerem — opcjonalna, aktywowana wyłącznie po świadomej zgodzie użytkownika, odpowiedzialna za przesyłanie zaszyfrowanych wiadomości do i z serwera centralnego.</w:t>
      </w:r>
    </w:p>
    <w:p>
      <w:pPr>
        <w:pStyle w:val="Heading2"/>
        <w:spacing w:after="150" w:before="300"/>
      </w:pPr>
      <w:r>
        <w:t xml:space="preserve">9.2 Środowisko developerskie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F5496" w:val="clear"/>
            <w:tcMar>
              <w:top w:type="dxa" w:w="80"/>
              <w:left w:type="dxa" w:w="100"/>
              <w:bottom w:type="dxa" w:w="80"/>
              <w:right w:type="dxa" w:w="100"/>
            </w:tcMar>
            <w:vAlign w:val="center"/>
          </w:tcPr>
          <w:p>
            <w:r>
              <w:rPr>
                <w:b/>
                <w:bCs/>
                <w:color w:val="FFFFFF"/>
                <w:sz w:val="20"/>
                <w:szCs w:val="20"/>
              </w:rPr>
              <w:t xml:space="preserve">Element</w:t>
            </w:r>
          </w:p>
        </w:tc>
        <w:tc>
          <w:tcPr>
            <w:tcW w:type="dxa" w:w="6400"/>
            <w:shd w:fill="2F5496" w:val="clear"/>
            <w:tcMar>
              <w:top w:type="dxa" w:w="80"/>
              <w:left w:type="dxa" w:w="100"/>
              <w:bottom w:type="dxa" w:w="80"/>
              <w:right w:type="dxa" w:w="100"/>
            </w:tcMar>
            <w:vAlign w:val="center"/>
          </w:tcPr>
          <w:p>
            <w:r>
              <w:rPr>
                <w:b/>
                <w:bCs/>
                <w:color w:val="FFFFFF"/>
                <w:sz w:val="20"/>
                <w:szCs w:val="20"/>
              </w:rPr>
              <w:t xml:space="preserve">Rekomendacja</w:t>
            </w:r>
          </w:p>
        </w:tc>
      </w:tr>
      <w:tr>
        <w:tc>
          <w:tcPr>
            <w:tcW w:type="dxa" w:w="2600"/>
            <w:tcMar>
              <w:top w:type="dxa" w:w="80"/>
              <w:left w:type="dxa" w:w="100"/>
              <w:bottom w:type="dxa" w:w="80"/>
              <w:right w:type="dxa" w:w="100"/>
            </w:tcMar>
            <w:vAlign w:val="center"/>
          </w:tcPr>
          <w:p>
            <w:r>
              <w:rPr>
                <w:b w:val="false"/>
                <w:bCs w:val="false"/>
                <w:sz w:val="20"/>
                <w:szCs w:val="20"/>
              </w:rPr>
              <w:t xml:space="preserve">Framework</w:t>
            </w:r>
          </w:p>
        </w:tc>
        <w:tc>
          <w:tcPr>
            <w:tcW w:type="dxa" w:w="6400"/>
            <w:tcMar>
              <w:top w:type="dxa" w:w="80"/>
              <w:left w:type="dxa" w:w="100"/>
              <w:bottom w:type="dxa" w:w="80"/>
              <w:right w:type="dxa" w:w="100"/>
            </w:tcMar>
            <w:vAlign w:val="center"/>
          </w:tcPr>
          <w:p>
            <w:r>
              <w:rPr>
                <w:b w:val="false"/>
                <w:bCs w:val="false"/>
                <w:sz w:val="20"/>
                <w:szCs w:val="20"/>
              </w:rPr>
              <w:t xml:space="preserve">ESP-IDF (natywny framework Espressif) lub Arduino jako warstwa uproszczona dla społeczności</w:t>
            </w:r>
          </w:p>
        </w:tc>
      </w:tr>
      <w:tr>
        <w:tc>
          <w:tcPr>
            <w:tcW w:type="dxa" w:w="2600"/>
            <w:tcMar>
              <w:top w:type="dxa" w:w="80"/>
              <w:left w:type="dxa" w:w="100"/>
              <w:bottom w:type="dxa" w:w="80"/>
              <w:right w:type="dxa" w:w="100"/>
            </w:tcMar>
            <w:vAlign w:val="center"/>
          </w:tcPr>
          <w:p>
            <w:r>
              <w:rPr>
                <w:b w:val="false"/>
                <w:bCs w:val="false"/>
                <w:sz w:val="20"/>
                <w:szCs w:val="20"/>
              </w:rPr>
              <w:t xml:space="preserve">Język</w:t>
            </w:r>
          </w:p>
        </w:tc>
        <w:tc>
          <w:tcPr>
            <w:tcW w:type="dxa" w:w="6400"/>
            <w:tcMar>
              <w:top w:type="dxa" w:w="80"/>
              <w:left w:type="dxa" w:w="100"/>
              <w:bottom w:type="dxa" w:w="80"/>
              <w:right w:type="dxa" w:w="100"/>
            </w:tcMar>
            <w:vAlign w:val="center"/>
          </w:tcPr>
          <w:p>
            <w:r>
              <w:rPr>
                <w:b w:val="false"/>
                <w:bCs w:val="false"/>
                <w:sz w:val="20"/>
                <w:szCs w:val="20"/>
              </w:rPr>
              <w:t xml:space="preserve">C/C++ dla firmware; Rust jako opcja dla nowych modułów wymagających wyższego poziomu bezpieczeństwa pamięci</w:t>
            </w:r>
          </w:p>
        </w:tc>
      </w:tr>
      <w:tr>
        <w:tc>
          <w:tcPr>
            <w:tcW w:type="dxa" w:w="2600"/>
            <w:tcMar>
              <w:top w:type="dxa" w:w="80"/>
              <w:left w:type="dxa" w:w="100"/>
              <w:bottom w:type="dxa" w:w="80"/>
              <w:right w:type="dxa" w:w="100"/>
            </w:tcMar>
            <w:vAlign w:val="center"/>
          </w:tcPr>
          <w:p>
            <w:r>
              <w:rPr>
                <w:b w:val="false"/>
                <w:bCs w:val="false"/>
                <w:sz w:val="20"/>
                <w:szCs w:val="20"/>
              </w:rPr>
              <w:t xml:space="preserve">Biblioteka kryptograficzna</w:t>
            </w:r>
          </w:p>
        </w:tc>
        <w:tc>
          <w:tcPr>
            <w:tcW w:type="dxa" w:w="6400"/>
            <w:tcMar>
              <w:top w:type="dxa" w:w="80"/>
              <w:left w:type="dxa" w:w="100"/>
              <w:bottom w:type="dxa" w:w="80"/>
              <w:right w:type="dxa" w:w="100"/>
            </w:tcMar>
            <w:vAlign w:val="center"/>
          </w:tcPr>
          <w:p>
            <w:r>
              <w:rPr>
                <w:b w:val="false"/>
                <w:bCs w:val="false"/>
                <w:sz w:val="20"/>
                <w:szCs w:val="20"/>
              </w:rPr>
              <w:t xml:space="preserve">libsignal-protocol-c lub port dedykowany do mikrokontrolerów</w:t>
            </w:r>
          </w:p>
        </w:tc>
      </w:tr>
      <w:tr>
        <w:tc>
          <w:tcPr>
            <w:tcW w:type="dxa" w:w="2600"/>
            <w:tcMar>
              <w:top w:type="dxa" w:w="80"/>
              <w:left w:type="dxa" w:w="100"/>
              <w:bottom w:type="dxa" w:w="80"/>
              <w:right w:type="dxa" w:w="100"/>
            </w:tcMar>
            <w:vAlign w:val="center"/>
          </w:tcPr>
          <w:p>
            <w:r>
              <w:rPr>
                <w:b w:val="false"/>
                <w:bCs w:val="false"/>
                <w:sz w:val="20"/>
                <w:szCs w:val="20"/>
              </w:rPr>
              <w:t xml:space="preserve">System budowania</w:t>
            </w:r>
          </w:p>
        </w:tc>
        <w:tc>
          <w:tcPr>
            <w:tcW w:type="dxa" w:w="6400"/>
            <w:tcMar>
              <w:top w:type="dxa" w:w="80"/>
              <w:left w:type="dxa" w:w="100"/>
              <w:bottom w:type="dxa" w:w="80"/>
              <w:right w:type="dxa" w:w="100"/>
            </w:tcMar>
            <w:vAlign w:val="center"/>
          </w:tcPr>
          <w:p>
            <w:r>
              <w:rPr>
                <w:b w:val="false"/>
                <w:bCs w:val="false"/>
                <w:sz w:val="20"/>
                <w:szCs w:val="20"/>
              </w:rPr>
              <w:t xml:space="preserve">CMake / PlatformIO dla łatwiejszego wdrożenia przez społeczność</w:t>
            </w:r>
          </w:p>
        </w:tc>
      </w:tr>
      <w:tr>
        <w:tc>
          <w:tcPr>
            <w:tcW w:type="dxa" w:w="2600"/>
            <w:tcMar>
              <w:top w:type="dxa" w:w="80"/>
              <w:left w:type="dxa" w:w="100"/>
              <w:bottom w:type="dxa" w:w="80"/>
              <w:right w:type="dxa" w:w="100"/>
            </w:tcMar>
            <w:vAlign w:val="center"/>
          </w:tcPr>
          <w:p>
            <w:r>
              <w:rPr>
                <w:b w:val="false"/>
                <w:bCs w:val="false"/>
                <w:sz w:val="20"/>
                <w:szCs w:val="20"/>
              </w:rPr>
              <w:t xml:space="preserve">Testowanie</w:t>
            </w:r>
          </w:p>
        </w:tc>
        <w:tc>
          <w:tcPr>
            <w:tcW w:type="dxa" w:w="6400"/>
            <w:tcMar>
              <w:top w:type="dxa" w:w="80"/>
              <w:left w:type="dxa" w:w="100"/>
              <w:bottom w:type="dxa" w:w="80"/>
              <w:right w:type="dxa" w:w="100"/>
            </w:tcMar>
            <w:vAlign w:val="center"/>
          </w:tcPr>
          <w:p>
            <w:r>
              <w:rPr>
                <w:b w:val="false"/>
                <w:bCs w:val="false"/>
                <w:sz w:val="20"/>
                <w:szCs w:val="20"/>
              </w:rPr>
              <w:t xml:space="preserve">Emulacja sieci mesh w symulatorze przed testami na rzeczywistym sprzęcie</w:t>
            </w:r>
          </w:p>
        </w:tc>
      </w:tr>
    </w:tbl>
    <w:p>
      <w:pPr>
        <w:pStyle w:val="Heading2"/>
        <w:spacing w:after="150" w:before="300"/>
      </w:pPr>
      <w:r>
        <w:t xml:space="preserve">9.3 Aktualizacje firmware</w:t>
      </w:r>
    </w:p>
    <w:p>
      <w:pPr>
        <w:spacing w:after="160"/>
        <w:jc w:val="both"/>
      </w:pPr>
      <w:r>
        <w:t xml:space="preserve">Zalecany jest mechanizm aktualizacji OTA (over-the-air) z obowiązkową weryfikacją podpisu kryptograficznego nowej wersji firmware przed instalacją, aby uniemożliwić wgranie złośliwego oprogramowania nawet w przypadku przejęcia kanału dystrybucji aktualizacji. Klucz podpisujący aktualizacje powinien być odrębny od kluczy komunikacyjnych użytkowników.</w:t>
      </w:r>
    </w:p>
    <w:p>
      <w:pPr>
        <w:pStyle w:val="Heading2"/>
        <w:spacing w:after="150" w:before="300"/>
      </w:pPr>
      <w:r>
        <w:t xml:space="preserve">9.4 Aplikacja kliencka</w:t>
      </w:r>
    </w:p>
    <w:p>
      <w:pPr>
        <w:spacing w:after="160"/>
        <w:jc w:val="both"/>
      </w:pPr>
      <w:r>
        <w:t xml:space="preserve">Urządzenie nadawczo-odbiorcze komunikuje się z telefonem użytkownika przez interfejs lokalny (Bluetooth Low Energy lub USB-C), a interfejs użytkownika (lista kontaktów, historia wiadomości, ustawienia) jest realizowany w aplikacji mobilnej, nie na samym urządzeniu (poza opcjonalnym prostym wyświetlaczem statusu). Takie rozdzielenie upraszcza konstrukcję urządzenia i pozwala na szybszy rozwój interfejsu użytkownika niezależnie od cyklu rozwoju firmware.</w:t>
      </w:r>
    </w:p>
    <w:p>
      <w:r>
        <w:br w:type="page"/>
      </w:r>
    </w:p>
    <w:p>
      <w:pPr>
        <w:pStyle w:val="Heading1"/>
        <w:spacing w:after="200" w:before="400"/>
      </w:pPr>
      <w:r>
        <w:t xml:space="preserve">10. Serwer centralny i dystrybucja Linux</w:t>
      </w:r>
    </w:p>
    <w:p>
      <w:pPr>
        <w:pStyle w:val="Heading2"/>
        <w:spacing w:after="150" w:before="300"/>
      </w:pPr>
      <w:r>
        <w:t xml:space="preserve">10.1 Rola serwera centralnego</w:t>
      </w:r>
    </w:p>
    <w:p>
      <w:pPr>
        <w:spacing w:after="160"/>
        <w:jc w:val="both"/>
      </w:pPr>
      <w:r>
        <w:t xml:space="preserve">Serwer centralny pełni trzy funkcje: (1) magazyn zaszyfrowanych wiadomości oczekujących na dostarczenie do odbiorców offline, (2) katalog kluczy publicznych użytkowników, ułatwiający inicjowanie nowych sesji szyfrowanych, (3) rejestr urządzeń dla celów administracyjnych (np. lista zablokowanych identyfikatorów sprzętowych, o której mowa w rozdziale 7.3).</w:t>
      </w:r>
    </w:p>
    <w:p>
      <w:pPr>
        <w:pStyle w:val="Heading2"/>
        <w:spacing w:after="150" w:before="300"/>
      </w:pPr>
      <w:r>
        <w:t xml:space="preserve">10.2 Rekomendowany stos technologiczny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shd w:fill="2F5496" w:val="clear"/>
            <w:tcMar>
              <w:top w:type="dxa" w:w="80"/>
              <w:left w:type="dxa" w:w="100"/>
              <w:bottom w:type="dxa" w:w="80"/>
              <w:right w:type="dxa" w:w="100"/>
            </w:tcMar>
            <w:vAlign w:val="center"/>
          </w:tcPr>
          <w:p>
            <w:r>
              <w:rPr>
                <w:b/>
                <w:bCs/>
                <w:color w:val="FFFFFF"/>
                <w:sz w:val="20"/>
                <w:szCs w:val="20"/>
              </w:rPr>
              <w:t xml:space="preserve">Warstwa</w:t>
            </w:r>
          </w:p>
        </w:tc>
        <w:tc>
          <w:tcPr>
            <w:tcW w:type="dxa" w:w="2800"/>
            <w:shd w:fill="2F5496" w:val="clear"/>
            <w:tcMar>
              <w:top w:type="dxa" w:w="80"/>
              <w:left w:type="dxa" w:w="100"/>
              <w:bottom w:type="dxa" w:w="80"/>
              <w:right w:type="dxa" w:w="100"/>
            </w:tcMar>
            <w:vAlign w:val="center"/>
          </w:tcPr>
          <w:p>
            <w:r>
              <w:rPr>
                <w:b/>
                <w:bCs/>
                <w:color w:val="FFFFFF"/>
                <w:sz w:val="20"/>
                <w:szCs w:val="20"/>
              </w:rPr>
              <w:t xml:space="preserve">Rekomendacja</w:t>
            </w:r>
          </w:p>
        </w:tc>
        <w:tc>
          <w:tcPr>
            <w:tcW w:type="dxa" w:w="4000"/>
            <w:shd w:fill="2F5496" w:val="clear"/>
            <w:tcMar>
              <w:top w:type="dxa" w:w="80"/>
              <w:left w:type="dxa" w:w="100"/>
              <w:bottom w:type="dxa" w:w="80"/>
              <w:right w:type="dxa" w:w="100"/>
            </w:tcMar>
            <w:vAlign w:val="center"/>
          </w:tcPr>
          <w:p>
            <w:r>
              <w:rPr>
                <w:b/>
                <w:bCs/>
                <w:color w:val="FFFFFF"/>
                <w:sz w:val="20"/>
                <w:szCs w:val="20"/>
              </w:rPr>
              <w:t xml:space="preserve">Uzasadnienie</w:t>
            </w:r>
          </w:p>
        </w:tc>
      </w:tr>
      <w:tr>
        <w:tc>
          <w:tcPr>
            <w:tcW w:type="dxa" w:w="2200"/>
            <w:tcMar>
              <w:top w:type="dxa" w:w="80"/>
              <w:left w:type="dxa" w:w="100"/>
              <w:bottom w:type="dxa" w:w="80"/>
              <w:right w:type="dxa" w:w="100"/>
            </w:tcMar>
            <w:vAlign w:val="center"/>
          </w:tcPr>
          <w:p>
            <w:r>
              <w:rPr>
                <w:b w:val="false"/>
                <w:bCs w:val="false"/>
                <w:sz w:val="20"/>
                <w:szCs w:val="20"/>
              </w:rPr>
              <w:t xml:space="preserve">Baza danych</w:t>
            </w:r>
          </w:p>
        </w:tc>
        <w:tc>
          <w:tcPr>
            <w:tcW w:type="dxa" w:w="2800"/>
            <w:tcMar>
              <w:top w:type="dxa" w:w="80"/>
              <w:left w:type="dxa" w:w="100"/>
              <w:bottom w:type="dxa" w:w="80"/>
              <w:right w:type="dxa" w:w="100"/>
            </w:tcMar>
            <w:vAlign w:val="center"/>
          </w:tcPr>
          <w:p>
            <w:r>
              <w:rPr>
                <w:b w:val="false"/>
                <w:bCs w:val="false"/>
                <w:sz w:val="20"/>
                <w:szCs w:val="20"/>
              </w:rPr>
              <w:t xml:space="preserve">PostgreSQL</w:t>
            </w:r>
          </w:p>
        </w:tc>
        <w:tc>
          <w:tcPr>
            <w:tcW w:type="dxa" w:w="4000"/>
            <w:tcMar>
              <w:top w:type="dxa" w:w="80"/>
              <w:left w:type="dxa" w:w="100"/>
              <w:bottom w:type="dxa" w:w="80"/>
              <w:right w:type="dxa" w:w="100"/>
            </w:tcMar>
            <w:vAlign w:val="center"/>
          </w:tcPr>
          <w:p>
            <w:r>
              <w:rPr>
                <w:b w:val="false"/>
                <w:bCs w:val="false"/>
                <w:sz w:val="20"/>
                <w:szCs w:val="20"/>
              </w:rPr>
              <w:t xml:space="preserve">Dojrzała, wspiera indeksowanie po znacznikach czasu do automatycznego czyszczenia retencji</w:t>
            </w:r>
          </w:p>
        </w:tc>
      </w:tr>
      <w:tr>
        <w:tc>
          <w:tcPr>
            <w:tcW w:type="dxa" w:w="2200"/>
            <w:tcMar>
              <w:top w:type="dxa" w:w="80"/>
              <w:left w:type="dxa" w:w="100"/>
              <w:bottom w:type="dxa" w:w="80"/>
              <w:right w:type="dxa" w:w="100"/>
            </w:tcMar>
            <w:vAlign w:val="center"/>
          </w:tcPr>
          <w:p>
            <w:r>
              <w:rPr>
                <w:b w:val="false"/>
                <w:bCs w:val="false"/>
                <w:sz w:val="20"/>
                <w:szCs w:val="20"/>
              </w:rPr>
              <w:t xml:space="preserve">Kolejkowanie wiadomości</w:t>
            </w:r>
          </w:p>
        </w:tc>
        <w:tc>
          <w:tcPr>
            <w:tcW w:type="dxa" w:w="2800"/>
            <w:tcMar>
              <w:top w:type="dxa" w:w="80"/>
              <w:left w:type="dxa" w:w="100"/>
              <w:bottom w:type="dxa" w:w="80"/>
              <w:right w:type="dxa" w:w="100"/>
            </w:tcMar>
            <w:vAlign w:val="center"/>
          </w:tcPr>
          <w:p>
            <w:r>
              <w:rPr>
                <w:b w:val="false"/>
                <w:bCs w:val="false"/>
                <w:sz w:val="20"/>
                <w:szCs w:val="20"/>
              </w:rPr>
              <w:t xml:space="preserve">Redis lub RabbitMQ</w:t>
            </w:r>
          </w:p>
        </w:tc>
        <w:tc>
          <w:tcPr>
            <w:tcW w:type="dxa" w:w="4000"/>
            <w:tcMar>
              <w:top w:type="dxa" w:w="80"/>
              <w:left w:type="dxa" w:w="100"/>
              <w:bottom w:type="dxa" w:w="80"/>
              <w:right w:type="dxa" w:w="100"/>
            </w:tcMar>
            <w:vAlign w:val="center"/>
          </w:tcPr>
          <w:p>
            <w:r>
              <w:rPr>
                <w:b w:val="false"/>
                <w:bCs w:val="false"/>
                <w:sz w:val="20"/>
                <w:szCs w:val="20"/>
              </w:rPr>
              <w:t xml:space="preserve">Obsługa kolejki wiadomości oczekujących na dostarczenie</w:t>
            </w:r>
          </w:p>
        </w:tc>
      </w:tr>
      <w:tr>
        <w:tc>
          <w:tcPr>
            <w:tcW w:type="dxa" w:w="2200"/>
            <w:tcMar>
              <w:top w:type="dxa" w:w="80"/>
              <w:left w:type="dxa" w:w="100"/>
              <w:bottom w:type="dxa" w:w="80"/>
              <w:right w:type="dxa" w:w="100"/>
            </w:tcMar>
            <w:vAlign w:val="center"/>
          </w:tcPr>
          <w:p>
            <w:r>
              <w:rPr>
                <w:b w:val="false"/>
                <w:bCs w:val="false"/>
                <w:sz w:val="20"/>
                <w:szCs w:val="20"/>
              </w:rPr>
              <w:t xml:space="preserve">Backend API</w:t>
            </w:r>
          </w:p>
        </w:tc>
        <w:tc>
          <w:tcPr>
            <w:tcW w:type="dxa" w:w="2800"/>
            <w:tcMar>
              <w:top w:type="dxa" w:w="80"/>
              <w:left w:type="dxa" w:w="100"/>
              <w:bottom w:type="dxa" w:w="80"/>
              <w:right w:type="dxa" w:w="100"/>
            </w:tcMar>
            <w:vAlign w:val="center"/>
          </w:tcPr>
          <w:p>
            <w:r>
              <w:rPr>
                <w:b w:val="false"/>
                <w:bCs w:val="false"/>
                <w:sz w:val="20"/>
                <w:szCs w:val="20"/>
              </w:rPr>
              <w:t xml:space="preserve">Rust (Axum) lub Go</w:t>
            </w:r>
          </w:p>
        </w:tc>
        <w:tc>
          <w:tcPr>
            <w:tcW w:type="dxa" w:w="4000"/>
            <w:tcMar>
              <w:top w:type="dxa" w:w="80"/>
              <w:left w:type="dxa" w:w="100"/>
              <w:bottom w:type="dxa" w:w="80"/>
              <w:right w:type="dxa" w:w="100"/>
            </w:tcMar>
            <w:vAlign w:val="center"/>
          </w:tcPr>
          <w:p>
            <w:r>
              <w:rPr>
                <w:b w:val="false"/>
                <w:bCs w:val="false"/>
                <w:sz w:val="20"/>
                <w:szCs w:val="20"/>
              </w:rPr>
              <w:t xml:space="preserve">Wysoka wydajność, bezpieczeństwo pamięci, niskie zużycie zasobów na małym serwerze</w:t>
            </w:r>
          </w:p>
        </w:tc>
      </w:tr>
      <w:tr>
        <w:tc>
          <w:tcPr>
            <w:tcW w:type="dxa" w:w="2200"/>
            <w:tcMar>
              <w:top w:type="dxa" w:w="80"/>
              <w:left w:type="dxa" w:w="100"/>
              <w:bottom w:type="dxa" w:w="80"/>
              <w:right w:type="dxa" w:w="100"/>
            </w:tcMar>
            <w:vAlign w:val="center"/>
          </w:tcPr>
          <w:p>
            <w:r>
              <w:rPr>
                <w:b w:val="false"/>
                <w:bCs w:val="false"/>
                <w:sz w:val="20"/>
                <w:szCs w:val="20"/>
              </w:rPr>
              <w:t xml:space="preserve">Panel administracyjny</w:t>
            </w:r>
          </w:p>
        </w:tc>
        <w:tc>
          <w:tcPr>
            <w:tcW w:type="dxa" w:w="2800"/>
            <w:tcMar>
              <w:top w:type="dxa" w:w="80"/>
              <w:left w:type="dxa" w:w="100"/>
              <w:bottom w:type="dxa" w:w="80"/>
              <w:right w:type="dxa" w:w="100"/>
            </w:tcMar>
            <w:vAlign w:val="center"/>
          </w:tcPr>
          <w:p>
            <w:r>
              <w:rPr>
                <w:b w:val="false"/>
                <w:bCs w:val="false"/>
                <w:sz w:val="20"/>
                <w:szCs w:val="20"/>
              </w:rPr>
              <w:t xml:space="preserve">Aplikacja webowa (np. React) z uwierzytelnianiem dwuskładnikowym dla administratora</w:t>
            </w:r>
          </w:p>
        </w:tc>
        <w:tc>
          <w:tcPr>
            <w:tcW w:type="dxa" w:w="4000"/>
            <w:tcMar>
              <w:top w:type="dxa" w:w="80"/>
              <w:left w:type="dxa" w:w="100"/>
              <w:bottom w:type="dxa" w:w="80"/>
              <w:right w:type="dxa" w:w="100"/>
            </w:tcMar>
            <w:vAlign w:val="center"/>
          </w:tcPr>
          <w:p>
            <w:r>
              <w:rPr>
                <w:b w:val="false"/>
                <w:bCs w:val="false"/>
                <w:sz w:val="20"/>
                <w:szCs w:val="20"/>
              </w:rPr>
              <w:t xml:space="preserve">Zarządzanie retencją, blokadami, monitoring sieci</w:t>
            </w:r>
          </w:p>
        </w:tc>
      </w:tr>
      <w:tr>
        <w:tc>
          <w:tcPr>
            <w:tcW w:type="dxa" w:w="2200"/>
            <w:tcMar>
              <w:top w:type="dxa" w:w="80"/>
              <w:left w:type="dxa" w:w="100"/>
              <w:bottom w:type="dxa" w:w="80"/>
              <w:right w:type="dxa" w:w="100"/>
            </w:tcMar>
            <w:vAlign w:val="center"/>
          </w:tcPr>
          <w:p>
            <w:r>
              <w:rPr>
                <w:b w:val="false"/>
                <w:bCs w:val="false"/>
                <w:sz w:val="20"/>
                <w:szCs w:val="20"/>
              </w:rPr>
              <w:t xml:space="preserve">Automatyczne czyszczenie retencji</w:t>
            </w:r>
          </w:p>
        </w:tc>
        <w:tc>
          <w:tcPr>
            <w:tcW w:type="dxa" w:w="2800"/>
            <w:tcMar>
              <w:top w:type="dxa" w:w="80"/>
              <w:left w:type="dxa" w:w="100"/>
              <w:bottom w:type="dxa" w:w="80"/>
              <w:right w:type="dxa" w:w="100"/>
            </w:tcMar>
            <w:vAlign w:val="center"/>
          </w:tcPr>
          <w:p>
            <w:r>
              <w:rPr>
                <w:b w:val="false"/>
                <w:bCs w:val="false"/>
                <w:sz w:val="20"/>
                <w:szCs w:val="20"/>
              </w:rPr>
              <w:t xml:space="preserve">Zadanie cykliczne (cron) usuwające wiadomości starsze niż ustalony okres (np. 90 dni)</w:t>
            </w:r>
          </w:p>
        </w:tc>
        <w:tc>
          <w:tcPr>
            <w:tcW w:type="dxa" w:w="4000"/>
            <w:tcMar>
              <w:top w:type="dxa" w:w="80"/>
              <w:left w:type="dxa" w:w="100"/>
              <w:bottom w:type="dxa" w:w="80"/>
              <w:right w:type="dxa" w:w="100"/>
            </w:tcMar>
            <w:vAlign w:val="center"/>
          </w:tcPr>
          <w:p>
            <w:r>
              <w:rPr>
                <w:b w:val="false"/>
                <w:bCs w:val="false"/>
                <w:sz w:val="20"/>
                <w:szCs w:val="20"/>
              </w:rPr>
              <w:t xml:space="preserve">Zgodność z zasadą minimalizacji przechowywania danych (RODO)</w:t>
            </w:r>
          </w:p>
        </w:tc>
      </w:tr>
    </w:tbl>
    <w:p>
      <w:pPr>
        <w:pStyle w:val="Heading2"/>
        <w:spacing w:after="150" w:before="300"/>
      </w:pPr>
      <w:r>
        <w:t xml:space="preserve">10.3 Dystrybucja Linux do samodzielnego hostingu</w:t>
      </w:r>
    </w:p>
    <w:p>
      <w:pPr>
        <w:spacing w:after="160"/>
        <w:jc w:val="both"/>
      </w:pPr>
      <w:r>
        <w:t xml:space="preserve">Aby umożliwić innym użytkownikom stawianie własnych, niezależnych serwerów (analogicznie do self-hostingu Mastodona czy Nextcloud), rekomenduje się przygotowanie gotowego obrazu systemu opartego na lekkiej dystrybucji (np. Debian lub Alpine Linux), z preinstalowanym oprogramowaniem serwera i skryptem konfiguracyjnym prowadzącym użytkownika przez proces uruchomienia (analogicznie do projektu YunoHost, który stosuje ten model dla wielu aplikacji self-hostowanych).</w:t>
      </w:r>
    </w:p>
    <w:p>
      <w:pPr>
        <w:spacing w:after="160"/>
        <w:jc w:val="both"/>
      </w:pPr>
      <w:r>
        <w:t xml:space="preserve">Kluczowe dla modelu prawnego opisanego w rozdziale 3: serwery postawione przez innych użytkowników na tej dystrybucji są prawnie niezależne od autora projektu — to operator danego serwera staje się administratorem danych osobowych swoich użytkowników, nie autor dystrybucji. Analogiczna zasada obowiązuje np. dla WordPress.org (autor oprogramowania) w relacji do niezliczonych niezależnych instalacji WordPressa.</w:t>
      </w:r>
    </w:p>
    <w:p>
      <w:pPr>
        <w:pStyle w:val="Heading2"/>
        <w:spacing w:after="150" w:before="300"/>
      </w:pPr>
      <w:r>
        <w:t xml:space="preserve">10.4 Pabianice OS — dystrybucja do samodzielnego hostingu serwerów z kanałami i administracją</w:t>
      </w:r>
    </w:p>
    <w:p>
      <w:pPr>
        <w:spacing w:after="160"/>
        <w:jc w:val="both"/>
      </w:pPr>
      <w:r>
        <w:t xml:space="preserve">Rozszerzeniem dystrybucji Linux opisanej w rozdziale 10.3 jest dedykowany system operacyjny — roboczo nazwany Pabianice OS — dostarczający gotowe środowisko do stawiania własnych, w pełni funkcjonalnych serwerów społecznościowych, analogicznych funkcjonalnie do serwera Discorda: z kanałami tekstowymi, rolami i uprawnieniami, panelem administracyjnym oraz możliwością zarządzania użytkownikami. Kluczowa różnica względem klasycznego Discorda polega na tym, że transport wiadomości między użytkownikami a serwerem może odbywać się zarówno przez internet, jak i przez sieć radiową mesh opisaną w rozdziałach 4–5, co czyni taki serwer użytecznym również w warunkach ograniczonej łączności.</w:t>
      </w:r>
    </w:p>
    <w:p>
      <w:pPr>
        <w:pStyle w:val="Heading3"/>
        <w:spacing w:after="100" w:before="200"/>
      </w:pPr>
      <w:r>
        <w:t xml:space="preserve">10.4.1 Zakres funkcjonalny</w:t>
      </w:r>
    </w:p>
    <w:p>
      <w:pPr>
        <w:pStyle w:val="ListParagraph"/>
        <w:numPr>
          <w:ilvl w:val="0"/>
          <w:numId w:val="2"/>
        </w:numPr>
        <w:spacing w:after="100"/>
      </w:pPr>
      <w:r>
        <w:t xml:space="preserve">Kanały tekstowe z podziałem na kategorie, analogicznie do struktury znanej z Discorda.</w:t>
      </w:r>
    </w:p>
    <w:p>
      <w:pPr>
        <w:pStyle w:val="ListParagraph"/>
        <w:numPr>
          <w:ilvl w:val="0"/>
          <w:numId w:val="2"/>
        </w:numPr>
        <w:spacing w:after="100"/>
      </w:pPr>
      <w:r>
        <w:t xml:space="preserve">System ról i uprawnień (administrator, moderator, użytkownik) konfigurowany przez operatora danego serwera.</w:t>
      </w:r>
    </w:p>
    <w:p>
      <w:pPr>
        <w:pStyle w:val="ListParagraph"/>
        <w:numPr>
          <w:ilvl w:val="0"/>
          <w:numId w:val="2"/>
        </w:numPr>
        <w:spacing w:after="100"/>
      </w:pPr>
      <w:r>
        <w:t xml:space="preserve">Panel administracyjny webowy do zarządzania użytkownikami, kanałami, retencją wiadomości i integracją z siecią mesh.</w:t>
      </w:r>
    </w:p>
    <w:p>
      <w:pPr>
        <w:pStyle w:val="ListParagraph"/>
        <w:numPr>
          <w:ilvl w:val="0"/>
          <w:numId w:val="2"/>
        </w:numPr>
        <w:spacing w:after="100"/>
      </w:pPr>
      <w:r>
        <w:t xml:space="preserve">Historia wiadomości przechowywana lokalnie na serwerze operatora, z konfigurowalną polityką retencji ustalaną przez tego operatora, niezależnie od polityki retencji serwera głównego.</w:t>
      </w:r>
    </w:p>
    <w:p>
      <w:pPr>
        <w:pStyle w:val="ListParagraph"/>
        <w:numPr>
          <w:ilvl w:val="0"/>
          <w:numId w:val="2"/>
        </w:numPr>
        <w:spacing w:after="100"/>
      </w:pPr>
      <w:r>
        <w:t xml:space="preserve">Obsługa tożsamości kryptograficznej użytkowników spójna z resztą systemu — te same klucze Signal Protocol działają zarówno w komunikacji bezpośredniej mesh, jak i na serwerach postawionych na Pabianice OS.</w:t>
      </w:r>
    </w:p>
    <w:p>
      <w:pPr>
        <w:pStyle w:val="Heading3"/>
        <w:spacing w:after="100" w:before="200"/>
      </w:pPr>
      <w:r>
        <w:t xml:space="preserve">10.4.2 Model łączności — federacja opcjonalna, nie wymagana</w:t>
      </w:r>
    </w:p>
    <w:p>
      <w:pPr>
        <w:spacing w:after="160"/>
        <w:jc w:val="both"/>
      </w:pPr>
      <w:r>
        <w:t xml:space="preserve">Fundamentalną zasadą projektową Pabianice OS jest to, że każdy postawiony na nim serwer jest w pełni samodzielny i funkcjonalny bez jakiegokolwiek połączenia z serwerem głównym autora projektu. Operator instalujący Pabianice OS podejmuje świadomą, odrębną decyzję, czy chce włączyć opcjonalną federację z siecią główną. Włączenie federacji umożliwia m.in. wymianę wiadomości między użytkownikami różnych serwerów oraz wykorzystanie sieci mesh i infrastruktury głównej jako zapasowej ścieżki dostarczania wiadomości dla użytkowników offline — ale nie jest to wymagane do normalnego działania lokalnego serwera.</w:t>
      </w:r>
    </w:p>
    <w:p>
      <w:pPr>
        <w:spacing w:after="160"/>
        <w:jc w:val="both"/>
      </w:pPr>
      <w:r>
        <w:t xml:space="preserve">Model ten jest architektonicznie zbliżony do sieci Matrix/federacji ActivityPub (Mastodon) — istnieje możliwość połączenia niezależnych instancji, ale każda instancja pozostaje w pełni funkcjonalna i prawnie odrębna, jeśli operator nie zdecyduje się na federację.</w:t>
      </w:r>
    </w:p>
    <w:p>
      <w:pPr>
        <w:pStyle w:val="Heading3"/>
        <w:spacing w:after="100" w:before="200"/>
      </w:pPr>
      <w:r>
        <w:t xml:space="preserve">10.4.3 Konsekwencje prawne modelu federacyjnego</w:t>
      </w:r>
    </w:p>
    <w:p>
      <w:pPr>
        <w:spacing w:after="160"/>
        <w:jc w:val="both"/>
      </w:pPr>
      <w:r>
        <w:t xml:space="preserve">Ten podział ma bezpośrednie znaczenie dla ram prawnych opisanych w rozdziale 3: dopóki dany serwer postawiony na Pabianice OS nie jest sfederowany z siecią główną, to wyłącznie jego operator jest administratorem danych osobowych jego użytkowników w rozumieniu RODO — analogicznie do sytuacji opisanej w rozdziale 10.3 dla podstawowej dystrybucji self-hostingowej. Włączenie federacji z siecią główną oznacza, że dane zaczynają w określonym zakresie przepływać również do infrastruktury autora projektu, co — zgodnie z zasadami z rozdziału 3.3 — czyni go współadministratorem lub odrębnym administratorem tego zakresu danych, w zależności od dokładnej architektury synchronizacji. Rekomenduje się jasne, techniczne oddzielenie danych objętych federacją od danych czysto lokalnych danego serwera, oraz jednoznaczne poinformowanie operatorów instancji o skutkach włączenia tej opcji, najlepiej przez wyraźny ekran zgody przy aktywacji federacji, nie tylko zapis w dokumentacji.</w:t>
      </w:r>
    </w:p>
    <w:p>
      <w:pPr>
        <w:pStyle w:val="Heading3"/>
        <w:spacing w:after="100" w:before="200"/>
      </w:pPr>
      <w:r>
        <w:t xml:space="preserve">10.4.4 Stos technologiczny Pabianice 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F5496" w:val="clear"/>
            <w:tcMar>
              <w:top w:type="dxa" w:w="80"/>
              <w:left w:type="dxa" w:w="100"/>
              <w:bottom w:type="dxa" w:w="80"/>
              <w:right w:type="dxa" w:w="100"/>
            </w:tcMar>
            <w:vAlign w:val="center"/>
          </w:tcPr>
          <w:p>
            <w:r>
              <w:rPr>
                <w:b/>
                <w:bCs/>
                <w:color w:val="FFFFFF"/>
                <w:sz w:val="20"/>
                <w:szCs w:val="20"/>
              </w:rPr>
              <w:t xml:space="preserve">Warstwa</w:t>
            </w:r>
          </w:p>
        </w:tc>
        <w:tc>
          <w:tcPr>
            <w:tcW w:type="dxa" w:w="6400"/>
            <w:shd w:fill="2F5496" w:val="clear"/>
            <w:tcMar>
              <w:top w:type="dxa" w:w="80"/>
              <w:left w:type="dxa" w:w="100"/>
              <w:bottom w:type="dxa" w:w="80"/>
              <w:right w:type="dxa" w:w="100"/>
            </w:tcMar>
            <w:vAlign w:val="center"/>
          </w:tcPr>
          <w:p>
            <w:r>
              <w:rPr>
                <w:b/>
                <w:bCs/>
                <w:color w:val="FFFFFF"/>
                <w:sz w:val="20"/>
                <w:szCs w:val="20"/>
              </w:rPr>
              <w:t xml:space="preserve">Rekomendacja</w:t>
            </w:r>
          </w:p>
        </w:tc>
      </w:tr>
      <w:tr>
        <w:tc>
          <w:tcPr>
            <w:tcW w:type="dxa" w:w="2600"/>
            <w:tcMar>
              <w:top w:type="dxa" w:w="80"/>
              <w:left w:type="dxa" w:w="100"/>
              <w:bottom w:type="dxa" w:w="80"/>
              <w:right w:type="dxa" w:w="100"/>
            </w:tcMar>
            <w:vAlign w:val="center"/>
          </w:tcPr>
          <w:p>
            <w:r>
              <w:rPr>
                <w:b w:val="false"/>
                <w:bCs w:val="false"/>
                <w:sz w:val="20"/>
                <w:szCs w:val="20"/>
              </w:rPr>
              <w:t xml:space="preserve">Baza systemu</w:t>
            </w:r>
          </w:p>
        </w:tc>
        <w:tc>
          <w:tcPr>
            <w:tcW w:type="dxa" w:w="6400"/>
            <w:tcMar>
              <w:top w:type="dxa" w:w="80"/>
              <w:left w:type="dxa" w:w="100"/>
              <w:bottom w:type="dxa" w:w="80"/>
              <w:right w:type="dxa" w:w="100"/>
            </w:tcMar>
            <w:vAlign w:val="center"/>
          </w:tcPr>
          <w:p>
            <w:r>
              <w:rPr>
                <w:b w:val="false"/>
                <w:bCs w:val="false"/>
                <w:sz w:val="20"/>
                <w:szCs w:val="20"/>
              </w:rPr>
              <w:t xml:space="preserve">Debian lub Alpine Linux (lekka instalacja, minimalny narzut zasobów)</w:t>
            </w:r>
          </w:p>
        </w:tc>
      </w:tr>
      <w:tr>
        <w:tc>
          <w:tcPr>
            <w:tcW w:type="dxa" w:w="2600"/>
            <w:tcMar>
              <w:top w:type="dxa" w:w="80"/>
              <w:left w:type="dxa" w:w="100"/>
              <w:bottom w:type="dxa" w:w="80"/>
              <w:right w:type="dxa" w:w="100"/>
            </w:tcMar>
            <w:vAlign w:val="center"/>
          </w:tcPr>
          <w:p>
            <w:r>
              <w:rPr>
                <w:b w:val="false"/>
                <w:bCs w:val="false"/>
                <w:sz w:val="20"/>
                <w:szCs w:val="20"/>
              </w:rPr>
              <w:t xml:space="preserve">Instalator</w:t>
            </w:r>
          </w:p>
        </w:tc>
        <w:tc>
          <w:tcPr>
            <w:tcW w:type="dxa" w:w="6400"/>
            <w:tcMar>
              <w:top w:type="dxa" w:w="80"/>
              <w:left w:type="dxa" w:w="100"/>
              <w:bottom w:type="dxa" w:w="80"/>
              <w:right w:type="dxa" w:w="100"/>
            </w:tcMar>
            <w:vAlign w:val="center"/>
          </w:tcPr>
          <w:p>
            <w:r>
              <w:rPr>
                <w:b w:val="false"/>
                <w:bCs w:val="false"/>
                <w:sz w:val="20"/>
                <w:szCs w:val="20"/>
              </w:rPr>
              <w:t xml:space="preserve">Skrypt konfiguracyjny prowadzący operatora krok po kroku (analogicznie do modelu YunoHost)</w:t>
            </w:r>
          </w:p>
        </w:tc>
      </w:tr>
      <w:tr>
        <w:tc>
          <w:tcPr>
            <w:tcW w:type="dxa" w:w="2600"/>
            <w:tcMar>
              <w:top w:type="dxa" w:w="80"/>
              <w:left w:type="dxa" w:w="100"/>
              <w:bottom w:type="dxa" w:w="80"/>
              <w:right w:type="dxa" w:w="100"/>
            </w:tcMar>
            <w:vAlign w:val="center"/>
          </w:tcPr>
          <w:p>
            <w:r>
              <w:rPr>
                <w:b w:val="false"/>
                <w:bCs w:val="false"/>
                <w:sz w:val="20"/>
                <w:szCs w:val="20"/>
              </w:rPr>
              <w:t xml:space="preserve">Backend serwera kanałów</w:t>
            </w:r>
          </w:p>
        </w:tc>
        <w:tc>
          <w:tcPr>
            <w:tcW w:type="dxa" w:w="6400"/>
            <w:tcMar>
              <w:top w:type="dxa" w:w="80"/>
              <w:left w:type="dxa" w:w="100"/>
              <w:bottom w:type="dxa" w:w="80"/>
              <w:right w:type="dxa" w:w="100"/>
            </w:tcMar>
            <w:vAlign w:val="center"/>
          </w:tcPr>
          <w:p>
            <w:r>
              <w:rPr>
                <w:b w:val="false"/>
                <w:bCs w:val="false"/>
                <w:sz w:val="20"/>
                <w:szCs w:val="20"/>
              </w:rPr>
              <w:t xml:space="preserve">Wspólny kod z serwerem centralnym (rozdział 10.2), rozszerzony o moduł kanałów i ról</w:t>
            </w:r>
          </w:p>
        </w:tc>
      </w:tr>
      <w:tr>
        <w:tc>
          <w:tcPr>
            <w:tcW w:type="dxa" w:w="2600"/>
            <w:tcMar>
              <w:top w:type="dxa" w:w="80"/>
              <w:left w:type="dxa" w:w="100"/>
              <w:bottom w:type="dxa" w:w="80"/>
              <w:right w:type="dxa" w:w="100"/>
            </w:tcMar>
            <w:vAlign w:val="center"/>
          </w:tcPr>
          <w:p>
            <w:r>
              <w:rPr>
                <w:b w:val="false"/>
                <w:bCs w:val="false"/>
                <w:sz w:val="20"/>
                <w:szCs w:val="20"/>
              </w:rPr>
              <w:t xml:space="preserve">Panel administracyjny</w:t>
            </w:r>
          </w:p>
        </w:tc>
        <w:tc>
          <w:tcPr>
            <w:tcW w:type="dxa" w:w="6400"/>
            <w:tcMar>
              <w:top w:type="dxa" w:w="80"/>
              <w:left w:type="dxa" w:w="100"/>
              <w:bottom w:type="dxa" w:w="80"/>
              <w:right w:type="dxa" w:w="100"/>
            </w:tcMar>
            <w:vAlign w:val="center"/>
          </w:tcPr>
          <w:p>
            <w:r>
              <w:rPr>
                <w:b w:val="false"/>
                <w:bCs w:val="false"/>
                <w:sz w:val="20"/>
                <w:szCs w:val="20"/>
              </w:rPr>
              <w:t xml:space="preserve">Aplikacja webowa z zarządzaniem użytkownikami, kanałami i ustawieniami federacji</w:t>
            </w:r>
          </w:p>
        </w:tc>
      </w:tr>
      <w:tr>
        <w:tc>
          <w:tcPr>
            <w:tcW w:type="dxa" w:w="2600"/>
            <w:tcMar>
              <w:top w:type="dxa" w:w="80"/>
              <w:left w:type="dxa" w:w="100"/>
              <w:bottom w:type="dxa" w:w="80"/>
              <w:right w:type="dxa" w:w="100"/>
            </w:tcMar>
            <w:vAlign w:val="center"/>
          </w:tcPr>
          <w:p>
            <w:r>
              <w:rPr>
                <w:b w:val="false"/>
                <w:bCs w:val="false"/>
                <w:sz w:val="20"/>
                <w:szCs w:val="20"/>
              </w:rPr>
              <w:t xml:space="preserve">Moduł federacji</w:t>
            </w:r>
          </w:p>
        </w:tc>
        <w:tc>
          <w:tcPr>
            <w:tcW w:type="dxa" w:w="6400"/>
            <w:tcMar>
              <w:top w:type="dxa" w:w="80"/>
              <w:left w:type="dxa" w:w="100"/>
              <w:bottom w:type="dxa" w:w="80"/>
              <w:right w:type="dxa" w:w="100"/>
            </w:tcMar>
            <w:vAlign w:val="center"/>
          </w:tcPr>
          <w:p>
            <w:r>
              <w:rPr>
                <w:b w:val="false"/>
                <w:bCs w:val="false"/>
                <w:sz w:val="20"/>
                <w:szCs w:val="20"/>
              </w:rPr>
              <w:t xml:space="preserve">Odrębny, opcjonalny komponent, domyślnie wyłączony po instalacji</w:t>
            </w:r>
          </w:p>
        </w:tc>
      </w:tr>
    </w:tbl>
    <w:p>
      <w:pPr>
        <w:pStyle w:val="Heading3"/>
        <w:spacing w:after="100" w:before="200"/>
      </w:pPr>
      <w:r>
        <w:t xml:space="preserve">10.4.5 Miejsce w harmonogramie wdrożenia</w:t>
      </w:r>
    </w:p>
    <w:p>
      <w:pPr>
        <w:spacing w:after="160"/>
        <w:jc w:val="both"/>
      </w:pPr>
      <w:r>
        <w:t xml:space="preserve">Budowa Pabianice OS jest naturalnym rozszerzeniem Fazy 2 i Fazy 3 opisanych w rozdziale 11 — jej sensowne uruchomienie zakłada, że podstawowy protokół mesh, szyfrowanie end-to-end oraz podstawowy serwer centralny są już zaimplementowane i przetestowane, ponieważ Pabianice OS w dużej mierze opiera się na tych samych komponentach (tożsamość kryptograficzna, format wiadomości, opcjonalna synchronizacja). Rekomenduje się traktowanie go jako finalny etap prac programistycznych w obrębie pierwszego dużego cyklu rozwoju projektu, uruchamiany po ustabilizowaniu warstw niższych.</w:t>
      </w:r>
    </w:p>
    <w:p>
      <w:pPr>
        <w:pStyle w:val="Heading2"/>
        <w:spacing w:after="150" w:before="300"/>
      </w:pPr>
      <w:r>
        <w:t xml:space="preserve">10.5 Dostępność serwera — praca w trybie nieciągłym</w:t>
      </w:r>
    </w:p>
    <w:p>
      <w:pPr>
        <w:spacing w:after="160"/>
        <w:jc w:val="both"/>
      </w:pPr>
      <w:r>
        <w:t xml:space="preserve">Zgodnie z założeniem, że serwer centralny nie musi działać w trybie 24/7 (skoro wiadomości i tak są przechowywane lokalnie na węzłach przez pierwsze 24 godziny), można zaprojektować serwer do pracy w cyklach — np. okresowej synchronizacji co kilka godzin zamiast stałego nasłuchu. Zmniejsza to koszty infrastruktury, ale wydłuża czas dostarczenia wiadomości do odbiorców, którzy nie zostali znalezieni bezpośrednio przez sieć mesh — jest to świadomy kompromis między kosztem a czasem dostarczenia, do ustalenia zależnie od oczekiwań użytkowników.</w:t>
      </w:r>
    </w:p>
    <w:p>
      <w:r>
        <w:br w:type="page"/>
      </w:r>
    </w:p>
    <w:p>
      <w:pPr>
        <w:pStyle w:val="Heading1"/>
        <w:spacing w:after="200" w:before="400"/>
      </w:pPr>
      <w:r>
        <w:t xml:space="preserve">11. Model rozwoju projektu — fazy wdrożenia</w:t>
      </w:r>
    </w:p>
    <w:p>
      <w:pPr>
        <w:pStyle w:val="Heading2"/>
        <w:spacing w:after="150" w:before="300"/>
      </w:pPr>
      <w:r>
        <w:t xml:space="preserve">11.1 Faza 1 — Prototyp dla wąskiego grona (zero rejestracji)</w:t>
      </w:r>
    </w:p>
    <w:p>
      <w:pPr>
        <w:spacing w:after="160"/>
        <w:jc w:val="both"/>
      </w:pPr>
      <w:r>
        <w:t xml:space="preserve">Cel: zweryfikować działanie systemu technicznie, bez żadnych zobowiązań prawnych.</w:t>
      </w:r>
    </w:p>
    <w:p>
      <w:pPr>
        <w:pStyle w:val="ListParagraph"/>
        <w:numPr>
          <w:ilvl w:val="0"/>
          <w:numId w:val="2"/>
        </w:numPr>
        <w:spacing w:after="100"/>
      </w:pPr>
      <w:r>
        <w:t xml:space="preserve">Zbudowanie 3–5 prototypów urządzeń zgodnie z BOM z rozdziału 8.</w:t>
      </w:r>
    </w:p>
    <w:p>
      <w:pPr>
        <w:pStyle w:val="ListParagraph"/>
        <w:numPr>
          <w:ilvl w:val="0"/>
          <w:numId w:val="2"/>
        </w:numPr>
        <w:spacing w:after="100"/>
      </w:pPr>
      <w:r>
        <w:t xml:space="preserve">Test rzeczywistego zasięgu radiowego w warunkach miejskich Pabianic.</w:t>
      </w:r>
    </w:p>
    <w:p>
      <w:pPr>
        <w:pStyle w:val="ListParagraph"/>
        <w:numPr>
          <w:ilvl w:val="0"/>
          <w:numId w:val="2"/>
        </w:numPr>
        <w:spacing w:after="100"/>
      </w:pPr>
      <w:r>
        <w:t xml:space="preserve">Implementacja podstawowej wersji protokołu mesh i szyfrowania Signal Protocol.</w:t>
      </w:r>
    </w:p>
    <w:p>
      <w:pPr>
        <w:pStyle w:val="ListParagraph"/>
        <w:numPr>
          <w:ilvl w:val="0"/>
          <w:numId w:val="2"/>
        </w:numPr>
        <w:spacing w:after="100"/>
      </w:pPr>
      <w:r>
        <w:t xml:space="preserve">Użytkowanie wyłącznie w gronie osobiście znanych osób, bez publicznego udostępniania.</w:t>
      </w:r>
    </w:p>
    <w:p>
      <w:pPr>
        <w:pStyle w:val="Heading2"/>
        <w:spacing w:after="150" w:before="300"/>
      </w:pPr>
      <w:r>
        <w:t xml:space="preserve">11.2 Faza 2 — Publikacja jako projekt open source (zero rejestracji)</w:t>
      </w:r>
    </w:p>
    <w:p>
      <w:pPr>
        <w:spacing w:after="160"/>
        <w:jc w:val="both"/>
      </w:pPr>
      <w:r>
        <w:t xml:space="preserve">Cel: umożliwić organiczny wzrost sieci bez przejmowania odpowiedzialności administratora usługi publicznej.</w:t>
      </w:r>
    </w:p>
    <w:p>
      <w:pPr>
        <w:pStyle w:val="ListParagraph"/>
        <w:numPr>
          <w:ilvl w:val="0"/>
          <w:numId w:val="2"/>
        </w:numPr>
        <w:spacing w:after="100"/>
      </w:pPr>
      <w:r>
        <w:t xml:space="preserve">Publikacja kodu firmware, oprogramowania serwera, protokołu komunikacyjnego oraz plików projektowych obudowy na platformie GitHub, pod licencją open source (np. MIT lub GPL).</w:t>
      </w:r>
    </w:p>
    <w:p>
      <w:pPr>
        <w:pStyle w:val="ListParagraph"/>
        <w:numPr>
          <w:ilvl w:val="0"/>
          <w:numId w:val="2"/>
        </w:numPr>
        <w:spacing w:after="100"/>
      </w:pPr>
      <w:r>
        <w:t xml:space="preserve">Dołączenie jasnego zastrzeżenia (disclaimer), że użytkownik samodzielnie odpowiada za zgodność zbudowanego przez siebie urządzenia z lokalnymi przepisami radiowymi.</w:t>
      </w:r>
    </w:p>
    <w:p>
      <w:pPr>
        <w:pStyle w:val="ListParagraph"/>
        <w:numPr>
          <w:ilvl w:val="0"/>
          <w:numId w:val="2"/>
        </w:numPr>
        <w:spacing w:after="100"/>
      </w:pPr>
      <w:r>
        <w:t xml:space="preserve">Sieć rośnie w trybie w pełni lokalnym (peer-to-peer), bez zależności od serwera centralnego autora projektu.</w:t>
      </w:r>
    </w:p>
    <w:p>
      <w:pPr>
        <w:pStyle w:val="ListParagraph"/>
        <w:numPr>
          <w:ilvl w:val="0"/>
          <w:numId w:val="2"/>
        </w:numPr>
        <w:spacing w:after="100"/>
      </w:pPr>
      <w:r>
        <w:t xml:space="preserve">Pod koniec tej fazy, po ustabilizowaniu protokołu mesh, szyfrowania i podstawowego serwera centralnego, udostępniana jest Pabianice OS — dystrybucja do stawiania własnych serwerów z kanałami i panelem administracyjnym, opisana szczegółowo w rozdziale 10.4, z opcjonalną (domyślnie wyłączoną) federacją z siecią główną.</w:t>
      </w:r>
    </w:p>
    <w:p>
      <w:pPr>
        <w:pStyle w:val="Heading2"/>
        <w:spacing w:after="150" w:before="300"/>
      </w:pPr>
      <w:r>
        <w:t xml:space="preserve">11.3 Faza 3 — Opcjonalny tryb scentralizowany (RODO, bez CE/CEIDG jeśli nadal bezpłatnie)</w:t>
      </w:r>
    </w:p>
    <w:p>
      <w:pPr>
        <w:spacing w:after="160"/>
        <w:jc w:val="both"/>
      </w:pPr>
      <w:r>
        <w:t xml:space="preserve">Cel: zaoferować wygodę przechowywania wiadomości offline tym użytkownikom, którzy tego chcą, przy zachowaniu pełnej zgodności prawnej.</w:t>
      </w:r>
    </w:p>
    <w:p>
      <w:pPr>
        <w:pStyle w:val="ListParagraph"/>
        <w:numPr>
          <w:ilvl w:val="0"/>
          <w:numId w:val="2"/>
        </w:numPr>
        <w:spacing w:after="100"/>
      </w:pPr>
      <w:r>
        <w:t xml:space="preserve">Sporządzenie rzetelnej polityki prywatności opisującej faktyczne praktyki (retencja, zakres danych, prawa użytkownika).</w:t>
      </w:r>
    </w:p>
    <w:p>
      <w:pPr>
        <w:pStyle w:val="ListParagraph"/>
        <w:numPr>
          <w:ilvl w:val="0"/>
          <w:numId w:val="2"/>
        </w:numPr>
        <w:spacing w:after="100"/>
      </w:pPr>
      <w:r>
        <w:t xml:space="preserve">Przygotowanie wewnętrznego rejestru czynności przetwarzania.</w:t>
      </w:r>
    </w:p>
    <w:p>
      <w:pPr>
        <w:pStyle w:val="ListParagraph"/>
        <w:numPr>
          <w:ilvl w:val="0"/>
          <w:numId w:val="2"/>
        </w:numPr>
        <w:spacing w:after="100"/>
      </w:pPr>
      <w:r>
        <w:t xml:space="preserve">Wdrożenie realnych mechanizmów realizacji praw użytkownika (usunięcie danych na żądanie).</w:t>
      </w:r>
    </w:p>
    <w:p>
      <w:pPr>
        <w:pStyle w:val="ListParagraph"/>
        <w:numPr>
          <w:ilvl w:val="0"/>
          <w:numId w:val="2"/>
        </w:numPr>
        <w:spacing w:after="100"/>
      </w:pPr>
      <w:r>
        <w:t xml:space="preserve">Ze względu na zastosowanie end-to-end encryption, faktyczny zakres przechowywanych danych pozostaje minimalny (zaszyfrowane bloby i metadane routingu).</w:t>
      </w:r>
    </w:p>
    <w:p>
      <w:pPr>
        <w:pStyle w:val="Heading2"/>
        <w:spacing w:after="150" w:before="300"/>
      </w:pPr>
      <w:r>
        <w:t xml:space="preserve">11.4 Faza 4 — Sprzedaż gotowych zestawów (pełna formalizacja)</w:t>
      </w:r>
    </w:p>
    <w:p>
      <w:pPr>
        <w:spacing w:after="160"/>
        <w:jc w:val="both"/>
      </w:pPr>
      <w:r>
        <w:t xml:space="preserve">Cel: umożliwić dystrybucję komercyjną dla osób niechcących samodzielnie kompletować komponentów.</w:t>
      </w:r>
    </w:p>
    <w:p>
      <w:pPr>
        <w:pStyle w:val="ListParagraph"/>
        <w:numPr>
          <w:ilvl w:val="0"/>
          <w:numId w:val="2"/>
        </w:numPr>
        <w:spacing w:after="100"/>
      </w:pPr>
      <w:r>
        <w:t xml:space="preserve">Rejestracja jednoosobowej działalności gospodarczej w CEIDG.</w:t>
      </w:r>
    </w:p>
    <w:p>
      <w:pPr>
        <w:pStyle w:val="ListParagraph"/>
        <w:numPr>
          <w:ilvl w:val="0"/>
          <w:numId w:val="2"/>
        </w:numPr>
        <w:spacing w:after="100"/>
      </w:pPr>
      <w:r>
        <w:t xml:space="preserve">Przeprowadzenie oceny zgodności i uzyskanie oznakowania CE zgodnie z dyrektywą RED dla oferowanego zestawu.</w:t>
      </w:r>
    </w:p>
    <w:p>
      <w:pPr>
        <w:pStyle w:val="ListParagraph"/>
        <w:numPr>
          <w:ilvl w:val="0"/>
          <w:numId w:val="2"/>
        </w:numPr>
        <w:spacing w:after="100"/>
      </w:pPr>
      <w:r>
        <w:t xml:space="preserve">Konsultacja z prawnikiem specjalizującym się w RODO i prawie telekomunikacyjnym przed uruchomieniem sprzedaży, celem weryfikacji dokumentacji dopasowanej do konkretnej skali działania.</w:t>
      </w:r>
    </w:p>
    <w:p>
      <w:pPr>
        <w:pStyle w:val="ListParagraph"/>
        <w:numPr>
          <w:ilvl w:val="0"/>
          <w:numId w:val="2"/>
        </w:numPr>
        <w:spacing w:after="100"/>
      </w:pPr>
      <w:r>
        <w:t xml:space="preserve">Rozważenie modelu sprzedaży samej licencji (dostęp do sieci przy użyciu cudzych nadajników) jako uzupełnienia sprzedaży sprzętu, zgodnie z modelem wspomnianym we wcześniejszej dyskusji, analogicznym do rozwiązania zastosowanego przez sieć Helium dla LoRaWAN.</w:t>
      </w:r>
    </w:p>
    <w:p>
      <w:pPr>
        <w:pStyle w:val="Heading2"/>
        <w:spacing w:after="150" w:before="300"/>
      </w:pPr>
      <w:r>
        <w:t xml:space="preserve">11.5 Oś czasu — orientacyjny harmonogram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c>
          <w:tcPr>
            <w:tcW w:type="dxa" w:w="2400"/>
            <w:shd w:fill="2F5496" w:val="clear"/>
            <w:tcMar>
              <w:top w:type="dxa" w:w="80"/>
              <w:left w:type="dxa" w:w="100"/>
              <w:bottom w:type="dxa" w:w="80"/>
              <w:right w:type="dxa" w:w="100"/>
            </w:tcMar>
            <w:vAlign w:val="center"/>
          </w:tcPr>
          <w:p>
            <w:r>
              <w:rPr>
                <w:b/>
                <w:bCs/>
                <w:color w:val="FFFFFF"/>
                <w:sz w:val="20"/>
                <w:szCs w:val="20"/>
              </w:rPr>
              <w:t xml:space="preserve">Faza</w:t>
            </w:r>
          </w:p>
        </w:tc>
        <w:tc>
          <w:tcPr>
            <w:tcW w:type="dxa" w:w="2800"/>
            <w:shd w:fill="2F5496" w:val="clear"/>
            <w:tcMar>
              <w:top w:type="dxa" w:w="80"/>
              <w:left w:type="dxa" w:w="100"/>
              <w:bottom w:type="dxa" w:w="80"/>
              <w:right w:type="dxa" w:w="100"/>
            </w:tcMar>
            <w:vAlign w:val="center"/>
          </w:tcPr>
          <w:p>
            <w:r>
              <w:rPr>
                <w:b/>
                <w:bCs/>
                <w:color w:val="FFFFFF"/>
                <w:sz w:val="20"/>
                <w:szCs w:val="20"/>
              </w:rPr>
              <w:t xml:space="preserve">Szacowany czas trwania</w:t>
            </w:r>
          </w:p>
        </w:tc>
        <w:tc>
          <w:tcPr>
            <w:tcW w:type="dxa" w:w="3800"/>
            <w:shd w:fill="2F5496" w:val="clear"/>
            <w:tcMar>
              <w:top w:type="dxa" w:w="80"/>
              <w:left w:type="dxa" w:w="100"/>
              <w:bottom w:type="dxa" w:w="80"/>
              <w:right w:type="dxa" w:w="100"/>
            </w:tcMar>
            <w:vAlign w:val="center"/>
          </w:tcPr>
          <w:p>
            <w:r>
              <w:rPr>
                <w:b/>
                <w:bCs/>
                <w:color w:val="FFFFFF"/>
                <w:sz w:val="20"/>
                <w:szCs w:val="20"/>
              </w:rPr>
              <w:t xml:space="preserve">Kluczowy rezultat</w:t>
            </w:r>
          </w:p>
        </w:tc>
      </w:tr>
      <w:tr>
        <w:tc>
          <w:tcPr>
            <w:tcW w:type="dxa" w:w="2400"/>
            <w:tcMar>
              <w:top w:type="dxa" w:w="80"/>
              <w:left w:type="dxa" w:w="100"/>
              <w:bottom w:type="dxa" w:w="80"/>
              <w:right w:type="dxa" w:w="100"/>
            </w:tcMar>
            <w:vAlign w:val="center"/>
          </w:tcPr>
          <w:p>
            <w:r>
              <w:rPr>
                <w:b w:val="false"/>
                <w:bCs w:val="false"/>
                <w:sz w:val="20"/>
                <w:szCs w:val="20"/>
              </w:rPr>
              <w:t xml:space="preserve">Faza 1 — Prototyp</w:t>
            </w:r>
          </w:p>
        </w:tc>
        <w:tc>
          <w:tcPr>
            <w:tcW w:type="dxa" w:w="2800"/>
            <w:tcMar>
              <w:top w:type="dxa" w:w="80"/>
              <w:left w:type="dxa" w:w="100"/>
              <w:bottom w:type="dxa" w:w="80"/>
              <w:right w:type="dxa" w:w="100"/>
            </w:tcMar>
            <w:vAlign w:val="center"/>
          </w:tcPr>
          <w:p>
            <w:r>
              <w:rPr>
                <w:b w:val="false"/>
                <w:bCs w:val="false"/>
                <w:sz w:val="20"/>
                <w:szCs w:val="20"/>
              </w:rPr>
              <w:t xml:space="preserve">2–4 miesiące</w:t>
            </w:r>
          </w:p>
        </w:tc>
        <w:tc>
          <w:tcPr>
            <w:tcW w:type="dxa" w:w="3800"/>
            <w:tcMar>
              <w:top w:type="dxa" w:w="80"/>
              <w:left w:type="dxa" w:w="100"/>
              <w:bottom w:type="dxa" w:w="80"/>
              <w:right w:type="dxa" w:w="100"/>
            </w:tcMar>
            <w:vAlign w:val="center"/>
          </w:tcPr>
          <w:p>
            <w:r>
              <w:rPr>
                <w:b w:val="false"/>
                <w:bCs w:val="false"/>
                <w:sz w:val="20"/>
                <w:szCs w:val="20"/>
              </w:rPr>
              <w:t xml:space="preserve">Działający prototyp, zmierzony realny zasięg</w:t>
            </w:r>
          </w:p>
        </w:tc>
      </w:tr>
      <w:tr>
        <w:tc>
          <w:tcPr>
            <w:tcW w:type="dxa" w:w="2400"/>
            <w:tcMar>
              <w:top w:type="dxa" w:w="80"/>
              <w:left w:type="dxa" w:w="100"/>
              <w:bottom w:type="dxa" w:w="80"/>
              <w:right w:type="dxa" w:w="100"/>
            </w:tcMar>
            <w:vAlign w:val="center"/>
          </w:tcPr>
          <w:p>
            <w:r>
              <w:rPr>
                <w:b w:val="false"/>
                <w:bCs w:val="false"/>
                <w:sz w:val="20"/>
                <w:szCs w:val="20"/>
              </w:rPr>
              <w:t xml:space="preserve">Faza 2 — Open source</w:t>
            </w:r>
          </w:p>
        </w:tc>
        <w:tc>
          <w:tcPr>
            <w:tcW w:type="dxa" w:w="2800"/>
            <w:tcMar>
              <w:top w:type="dxa" w:w="80"/>
              <w:left w:type="dxa" w:w="100"/>
              <w:bottom w:type="dxa" w:w="80"/>
              <w:right w:type="dxa" w:w="100"/>
            </w:tcMar>
            <w:vAlign w:val="center"/>
          </w:tcPr>
          <w:p>
            <w:r>
              <w:rPr>
                <w:b w:val="false"/>
                <w:bCs w:val="false"/>
                <w:sz w:val="20"/>
                <w:szCs w:val="20"/>
              </w:rPr>
              <w:t xml:space="preserve">1–2 miesiące od zakończenia Fazy 1</w:t>
            </w:r>
          </w:p>
        </w:tc>
        <w:tc>
          <w:tcPr>
            <w:tcW w:type="dxa" w:w="3800"/>
            <w:tcMar>
              <w:top w:type="dxa" w:w="80"/>
              <w:left w:type="dxa" w:w="100"/>
              <w:bottom w:type="dxa" w:w="80"/>
              <w:right w:type="dxa" w:w="100"/>
            </w:tcMar>
            <w:vAlign w:val="center"/>
          </w:tcPr>
          <w:p>
            <w:r>
              <w:rPr>
                <w:b w:val="false"/>
                <w:bCs w:val="false"/>
                <w:sz w:val="20"/>
                <w:szCs w:val="20"/>
              </w:rPr>
              <w:t xml:space="preserve">Publiczne repozytorium, pierwsi zewnętrzni budowniczowie</w:t>
            </w:r>
          </w:p>
        </w:tc>
      </w:tr>
      <w:tr>
        <w:tc>
          <w:tcPr>
            <w:tcW w:type="dxa" w:w="2400"/>
            <w:tcMar>
              <w:top w:type="dxa" w:w="80"/>
              <w:left w:type="dxa" w:w="100"/>
              <w:bottom w:type="dxa" w:w="80"/>
              <w:right w:type="dxa" w:w="100"/>
            </w:tcMar>
            <w:vAlign w:val="center"/>
          </w:tcPr>
          <w:p>
            <w:r>
              <w:rPr>
                <w:b w:val="false"/>
                <w:bCs w:val="false"/>
                <w:sz w:val="20"/>
                <w:szCs w:val="20"/>
              </w:rPr>
              <w:t xml:space="preserve">Faza 3 — Tryb scentralizowany</w:t>
            </w:r>
          </w:p>
        </w:tc>
        <w:tc>
          <w:tcPr>
            <w:tcW w:type="dxa" w:w="2800"/>
            <w:tcMar>
              <w:top w:type="dxa" w:w="80"/>
              <w:left w:type="dxa" w:w="100"/>
              <w:bottom w:type="dxa" w:w="80"/>
              <w:right w:type="dxa" w:w="100"/>
            </w:tcMar>
            <w:vAlign w:val="center"/>
          </w:tcPr>
          <w:p>
            <w:r>
              <w:rPr>
                <w:b w:val="false"/>
                <w:bCs w:val="false"/>
                <w:sz w:val="20"/>
                <w:szCs w:val="20"/>
              </w:rPr>
              <w:t xml:space="preserve">1–2 miesiące</w:t>
            </w:r>
          </w:p>
        </w:tc>
        <w:tc>
          <w:tcPr>
            <w:tcW w:type="dxa" w:w="3800"/>
            <w:tcMar>
              <w:top w:type="dxa" w:w="80"/>
              <w:left w:type="dxa" w:w="100"/>
              <w:bottom w:type="dxa" w:w="80"/>
              <w:right w:type="dxa" w:w="100"/>
            </w:tcMar>
            <w:vAlign w:val="center"/>
          </w:tcPr>
          <w:p>
            <w:r>
              <w:rPr>
                <w:b w:val="false"/>
                <w:bCs w:val="false"/>
                <w:sz w:val="20"/>
                <w:szCs w:val="20"/>
              </w:rPr>
              <w:t xml:space="preserve">Polityka prywatności, rejestr RODO, serwer produkcyjny</w:t>
            </w:r>
          </w:p>
        </w:tc>
      </w:tr>
      <w:tr>
        <w:tc>
          <w:tcPr>
            <w:tcW w:type="dxa" w:w="2400"/>
            <w:tcMar>
              <w:top w:type="dxa" w:w="80"/>
              <w:left w:type="dxa" w:w="100"/>
              <w:bottom w:type="dxa" w:w="80"/>
              <w:right w:type="dxa" w:w="100"/>
            </w:tcMar>
            <w:vAlign w:val="center"/>
          </w:tcPr>
          <w:p>
            <w:r>
              <w:rPr>
                <w:b w:val="false"/>
                <w:bCs w:val="false"/>
                <w:sz w:val="20"/>
                <w:szCs w:val="20"/>
              </w:rPr>
              <w:t xml:space="preserve">Faza 4 — Sprzedaż</w:t>
            </w:r>
          </w:p>
        </w:tc>
        <w:tc>
          <w:tcPr>
            <w:tcW w:type="dxa" w:w="2800"/>
            <w:tcMar>
              <w:top w:type="dxa" w:w="80"/>
              <w:left w:type="dxa" w:w="100"/>
              <w:bottom w:type="dxa" w:w="80"/>
              <w:right w:type="dxa" w:w="100"/>
            </w:tcMar>
            <w:vAlign w:val="center"/>
          </w:tcPr>
          <w:p>
            <w:r>
              <w:rPr>
                <w:b w:val="false"/>
                <w:bCs w:val="false"/>
                <w:sz w:val="20"/>
                <w:szCs w:val="20"/>
              </w:rPr>
              <w:t xml:space="preserve">3–6 miesięcy (w tym certyfikacja CE)</w:t>
            </w:r>
          </w:p>
        </w:tc>
        <w:tc>
          <w:tcPr>
            <w:tcW w:type="dxa" w:w="3800"/>
            <w:tcMar>
              <w:top w:type="dxa" w:w="80"/>
              <w:left w:type="dxa" w:w="100"/>
              <w:bottom w:type="dxa" w:w="80"/>
              <w:right w:type="dxa" w:w="100"/>
            </w:tcMar>
            <w:vAlign w:val="center"/>
          </w:tcPr>
          <w:p>
            <w:r>
              <w:rPr>
                <w:b w:val="false"/>
                <w:bCs w:val="false"/>
                <w:sz w:val="20"/>
                <w:szCs w:val="20"/>
              </w:rPr>
              <w:t xml:space="preserve">Zarejestrowana działalność, certyfikowany produkt</w:t>
            </w:r>
          </w:p>
        </w:tc>
      </w:tr>
    </w:tbl>
    <w:p>
      <w:r>
        <w:br w:type="page"/>
      </w:r>
    </w:p>
    <w:p>
      <w:pPr>
        <w:pStyle w:val="Heading1"/>
        <w:spacing w:after="200" w:before="400"/>
      </w:pPr>
      <w:r>
        <w:t xml:space="preserve">12. Kalkulacja pokrycia radiowego Pabianic</w:t>
      </w:r>
    </w:p>
    <w:p>
      <w:pPr>
        <w:pStyle w:val="Heading2"/>
        <w:spacing w:after="150" w:before="300"/>
      </w:pPr>
      <w:r>
        <w:t xml:space="preserve">12.1 Dane wejściowe</w:t>
      </w:r>
    </w:p>
    <w:p>
      <w:pPr>
        <w:spacing w:after="160"/>
        <w:jc w:val="both"/>
      </w:pPr>
      <w:r>
        <w:t xml:space="preserve">Miasto Pabianice zajmuje powierzchnię ok. 32 km² i liczy ok. 60 tysięcy mieszkańców. Analiza zakłada typowe dla zabudowy miejskiej ograniczenie zasięgu radiowego wynikające z tłumienia sygnału przez budynki, w przeciwieństwie do znacznie większych zasięgów osiąganych w terenie otwartym przy widoczności bezpośredniej (line-of-sight).</w:t>
      </w:r>
    </w:p>
    <w:p>
      <w:pPr>
        <w:pStyle w:val="Heading2"/>
        <w:spacing w:after="150" w:before="300"/>
      </w:pPr>
      <w:r>
        <w:t xml:space="preserve">12.2 Założenia zasięgu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c>
          <w:tcPr>
            <w:tcW w:type="dxa" w:w="4600"/>
            <w:shd w:fill="2F5496" w:val="clear"/>
            <w:tcMar>
              <w:top w:type="dxa" w:w="80"/>
              <w:left w:type="dxa" w:w="100"/>
              <w:bottom w:type="dxa" w:w="80"/>
              <w:right w:type="dxa" w:w="100"/>
            </w:tcMar>
            <w:vAlign w:val="center"/>
          </w:tcPr>
          <w:p>
            <w:r>
              <w:rPr>
                <w:b/>
                <w:bCs/>
                <w:color w:val="FFFFFF"/>
                <w:sz w:val="20"/>
                <w:szCs w:val="20"/>
              </w:rPr>
              <w:t xml:space="preserve">Scenariusz anteny</w:t>
            </w:r>
          </w:p>
        </w:tc>
        <w:tc>
          <w:tcPr>
            <w:tcW w:type="dxa" w:w="4400"/>
            <w:shd w:fill="2F5496" w:val="clear"/>
            <w:tcMar>
              <w:top w:type="dxa" w:w="80"/>
              <w:left w:type="dxa" w:w="100"/>
              <w:bottom w:type="dxa" w:w="80"/>
              <w:right w:type="dxa" w:w="100"/>
            </w:tcMar>
            <w:vAlign w:val="center"/>
          </w:tcPr>
          <w:p>
            <w:r>
              <w:rPr>
                <w:b/>
                <w:bCs/>
                <w:color w:val="FFFFFF"/>
                <w:sz w:val="20"/>
                <w:szCs w:val="20"/>
              </w:rPr>
              <w:t xml:space="preserve">Szacowany zasięg efektywny</w:t>
            </w:r>
          </w:p>
        </w:tc>
      </w:tr>
      <w:tr>
        <w:tc>
          <w:tcPr>
            <w:tcW w:type="dxa" w:w="4600"/>
            <w:tcMar>
              <w:top w:type="dxa" w:w="80"/>
              <w:left w:type="dxa" w:w="100"/>
              <w:bottom w:type="dxa" w:w="80"/>
              <w:right w:type="dxa" w:w="100"/>
            </w:tcMar>
            <w:vAlign w:val="center"/>
          </w:tcPr>
          <w:p>
            <w:r>
              <w:rPr>
                <w:b w:val="false"/>
                <w:bCs w:val="false"/>
                <w:sz w:val="20"/>
                <w:szCs w:val="20"/>
              </w:rPr>
              <w:t xml:space="preserve">Antena wewnątrz budynku, niska kondygnacja</w:t>
            </w:r>
          </w:p>
        </w:tc>
        <w:tc>
          <w:tcPr>
            <w:tcW w:type="dxa" w:w="4400"/>
            <w:tcMar>
              <w:top w:type="dxa" w:w="80"/>
              <w:left w:type="dxa" w:w="100"/>
              <w:bottom w:type="dxa" w:w="80"/>
              <w:right w:type="dxa" w:w="100"/>
            </w:tcMar>
            <w:vAlign w:val="center"/>
          </w:tcPr>
          <w:p>
            <w:r>
              <w:rPr>
                <w:b w:val="false"/>
                <w:bCs w:val="false"/>
                <w:sz w:val="20"/>
                <w:szCs w:val="20"/>
              </w:rPr>
              <w:t xml:space="preserve">100–250 m</w:t>
            </w:r>
          </w:p>
        </w:tc>
      </w:tr>
      <w:tr>
        <w:tc>
          <w:tcPr>
            <w:tcW w:type="dxa" w:w="4600"/>
            <w:tcMar>
              <w:top w:type="dxa" w:w="80"/>
              <w:left w:type="dxa" w:w="100"/>
              <w:bottom w:type="dxa" w:w="80"/>
              <w:right w:type="dxa" w:w="100"/>
            </w:tcMar>
            <w:vAlign w:val="center"/>
          </w:tcPr>
          <w:p>
            <w:r>
              <w:rPr>
                <w:b w:val="false"/>
                <w:bCs w:val="false"/>
                <w:sz w:val="20"/>
                <w:szCs w:val="20"/>
              </w:rPr>
              <w:t xml:space="preserve">Antena przy oknie / na parapecie</w:t>
            </w:r>
          </w:p>
        </w:tc>
        <w:tc>
          <w:tcPr>
            <w:tcW w:type="dxa" w:w="4400"/>
            <w:tcMar>
              <w:top w:type="dxa" w:w="80"/>
              <w:left w:type="dxa" w:w="100"/>
              <w:bottom w:type="dxa" w:w="80"/>
              <w:right w:type="dxa" w:w="100"/>
            </w:tcMar>
            <w:vAlign w:val="center"/>
          </w:tcPr>
          <w:p>
            <w:r>
              <w:rPr>
                <w:b w:val="false"/>
                <w:bCs w:val="false"/>
                <w:sz w:val="20"/>
                <w:szCs w:val="20"/>
              </w:rPr>
              <w:t xml:space="preserve">200–500 m</w:t>
            </w:r>
          </w:p>
        </w:tc>
      </w:tr>
      <w:tr>
        <w:tc>
          <w:tcPr>
            <w:tcW w:type="dxa" w:w="4600"/>
            <w:tcMar>
              <w:top w:type="dxa" w:w="80"/>
              <w:left w:type="dxa" w:w="100"/>
              <w:bottom w:type="dxa" w:w="80"/>
              <w:right w:type="dxa" w:w="100"/>
            </w:tcMar>
            <w:vAlign w:val="center"/>
          </w:tcPr>
          <w:p>
            <w:r>
              <w:rPr>
                <w:b w:val="false"/>
                <w:bCs w:val="false"/>
                <w:sz w:val="20"/>
                <w:szCs w:val="20"/>
              </w:rPr>
              <w:t xml:space="preserve">Antena na dachu / wysokiej kondygnacji</w:t>
            </w:r>
          </w:p>
        </w:tc>
        <w:tc>
          <w:tcPr>
            <w:tcW w:type="dxa" w:w="4400"/>
            <w:tcMar>
              <w:top w:type="dxa" w:w="80"/>
              <w:left w:type="dxa" w:w="100"/>
              <w:bottom w:type="dxa" w:w="80"/>
              <w:right w:type="dxa" w:w="100"/>
            </w:tcMar>
            <w:vAlign w:val="center"/>
          </w:tcPr>
          <w:p>
            <w:r>
              <w:rPr>
                <w:b w:val="false"/>
                <w:bCs w:val="false"/>
                <w:sz w:val="20"/>
                <w:szCs w:val="20"/>
              </w:rPr>
              <w:t xml:space="preserve">500 m – 1,5 km</w:t>
            </w:r>
          </w:p>
        </w:tc>
      </w:tr>
      <w:tr>
        <w:tc>
          <w:tcPr>
            <w:tcW w:type="dxa" w:w="4600"/>
            <w:tcMar>
              <w:top w:type="dxa" w:w="80"/>
              <w:left w:type="dxa" w:w="100"/>
              <w:bottom w:type="dxa" w:w="80"/>
              <w:right w:type="dxa" w:w="100"/>
            </w:tcMar>
            <w:vAlign w:val="center"/>
          </w:tcPr>
          <w:p>
            <w:r>
              <w:rPr>
                <w:b w:val="false"/>
                <w:bCs w:val="false"/>
                <w:sz w:val="20"/>
                <w:szCs w:val="20"/>
              </w:rPr>
              <w:t xml:space="preserve">Teren otwarty, pełna widoczność bezpośrednia</w:t>
            </w:r>
          </w:p>
        </w:tc>
        <w:tc>
          <w:tcPr>
            <w:tcW w:type="dxa" w:w="4400"/>
            <w:tcMar>
              <w:top w:type="dxa" w:w="80"/>
              <w:left w:type="dxa" w:w="100"/>
              <w:bottom w:type="dxa" w:w="80"/>
              <w:right w:type="dxa" w:w="100"/>
            </w:tcMar>
            <w:vAlign w:val="center"/>
          </w:tcPr>
          <w:p>
            <w:r>
              <w:rPr>
                <w:b w:val="false"/>
                <w:bCs w:val="false"/>
                <w:sz w:val="20"/>
                <w:szCs w:val="20"/>
              </w:rPr>
              <w:t xml:space="preserve">kilka–kilkanaście km</w:t>
            </w:r>
          </w:p>
        </w:tc>
      </w:tr>
    </w:tbl>
    <w:p>
      <w:pPr>
        <w:spacing w:after="160"/>
        <w:jc w:val="both"/>
      </w:pPr>
      <w:r>
        <w:t xml:space="preserve">Dla celu tej kalkulacji przyjęto konserwatywne założenie średniego zasięgu efektywnego 400 metrów na węzeł, odpowiadające typowej instalacji przy oknie w zabudowie miejskiej.</w:t>
      </w:r>
    </w:p>
    <w:p>
      <w:pPr>
        <w:pStyle w:val="Heading2"/>
        <w:spacing w:after="150" w:before="300"/>
      </w:pPr>
      <w:r>
        <w:t xml:space="preserve">12.3 Kalkulacja liczby węzłów</w:t>
      </w:r>
    </w:p>
    <w:p>
      <w:pPr>
        <w:pStyle w:val="ListParagraph"/>
        <w:numPr>
          <w:ilvl w:val="0"/>
          <w:numId w:val="2"/>
        </w:numPr>
        <w:spacing w:after="100"/>
      </w:pPr>
      <w:r>
        <w:t xml:space="preserve">Powierzchnia pokrycia pojedynczego węzła przy promieniu r = 0,4 km (przy założeniu upakowania heksagonalnego, typowego dla planowania sieci komórkowych): ok. 0,42 km².</w:t>
      </w:r>
    </w:p>
    <w:p>
      <w:pPr>
        <w:pStyle w:val="ListParagraph"/>
        <w:numPr>
          <w:ilvl w:val="0"/>
          <w:numId w:val="2"/>
        </w:numPr>
        <w:spacing w:after="100"/>
      </w:pPr>
      <w:r>
        <w:t xml:space="preserve">Minimalna teoretyczna liczba węzłów dla pełnego pokrycia geometrycznego: 32 km² ÷ 0,42 km² ≈ 76 węzłów.</w:t>
      </w:r>
    </w:p>
    <w:p>
      <w:pPr>
        <w:pStyle w:val="ListParagraph"/>
        <w:numPr>
          <w:ilvl w:val="0"/>
          <w:numId w:val="2"/>
        </w:numPr>
        <w:spacing w:after="100"/>
      </w:pPr>
      <w:r>
        <w:t xml:space="preserve">Sieć mesh wymaga jednak nadmiarowości przekraczającej minimum geometryczne, aby zapewnić: (a) wzajemną widoczność radiową sąsiednich węzłów niezbędną do trasowania, (b) odporność na awarię lub wyłączenie pojedynczych węzłów bez podziału sieci na izolowane fragmenty, (c) pokrycie obszarów o gęstszej zabudowie i większym tłumieniu sygnału.</w:t>
      </w:r>
    </w:p>
    <w:p>
      <w:pPr>
        <w:pStyle w:val="ListParagraph"/>
        <w:numPr>
          <w:ilvl w:val="0"/>
          <w:numId w:val="2"/>
        </w:numPr>
        <w:spacing w:after="100"/>
      </w:pPr>
      <w:r>
        <w:t xml:space="preserve">Przyjmując mnożnik nadmiarowości x3 do x5, typowy dla planowania odpornych sieci kratowych, realistyczne oszacowanie wynosi 250–400 aktywnych węzłów dla solidnego pokrycia całego miasta.</w:t>
      </w:r>
    </w:p>
    <w:p>
      <w:pPr>
        <w:pStyle w:val="Heading2"/>
        <w:spacing w:after="150" w:before="300"/>
      </w:pPr>
      <w:r>
        <w:t xml:space="preserve">12.4 Zastrzeżenie metodologiczne</w:t>
      </w:r>
    </w:p>
    <w:p>
      <w:pPr>
        <w:spacing w:after="160"/>
        <w:jc w:val="both"/>
      </w:pPr>
      <w:r>
        <w:t xml:space="preserve">Powyższe wyliczenie jest oszacowaniem teoretycznym opartym na uproszczonym modelu propagacji sygnału. Rzeczywisty zasięg zależy od wielu czynników trudnych do uwzględnienia bez pomiarów terenowych: gęstości i wysokości zabudowy, materiałów budowlanych, ukształtowania terenu, interferencji z innymi urządzeniami w tym samym paśmie oraz wysokości montażu anten. Rekomenduje się przeprowadzenie rzeczywistego testu terenowego (RF site survey) z użyciem 3–5 prototypów rozmieszczonych w reprezentatywnych punktach miasta przed sporządzeniem ostatecznego planu rozmieszczenia węzłów.</w:t>
      </w:r>
    </w:p>
    <w:p>
      <w:pPr>
        <w:pStyle w:val="Heading2"/>
        <w:spacing w:after="150" w:before="300"/>
      </w:pPr>
      <w:r>
        <w:t xml:space="preserve">12.5 Strategia rozmieszczenia węzłów</w:t>
      </w:r>
    </w:p>
    <w:p>
      <w:pPr>
        <w:spacing w:after="160"/>
        <w:jc w:val="both"/>
      </w:pPr>
      <w:r>
        <w:t xml:space="preserve">Rekomendowany model rozmieszczenia opiera się na zaangażowaniu społeczności — zamiast centralnej instalacji wszystkich węzłów przez jedną osobę, mieszkańcy zainteresowani udziałem w sieci sami budują i instalują własne urządzenia w swoich domach, co jest zgodne z modelem open source opisanym w rozdziale 11.2 i naturalnie prowadzi do organicznego wzrostu gęstości sieci w obszarach o największym zainteresowaniu.</w:t>
      </w:r>
    </w:p>
    <w:p>
      <w:r>
        <w:br w:type="page"/>
      </w:r>
    </w:p>
    <w:p>
      <w:pPr>
        <w:pStyle w:val="Heading1"/>
        <w:spacing w:after="200" w:before="400"/>
      </w:pPr>
      <w:r>
        <w:t xml:space="preserve">13. Ryzyka i ograniczenia projektu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2F5496" w:val="clear"/>
            <w:tcMar>
              <w:top w:type="dxa" w:w="80"/>
              <w:left w:type="dxa" w:w="100"/>
              <w:bottom w:type="dxa" w:w="80"/>
              <w:right w:type="dxa" w:w="100"/>
            </w:tcMar>
            <w:vAlign w:val="center"/>
          </w:tcPr>
          <w:p>
            <w:r>
              <w:rPr>
                <w:b/>
                <w:bCs/>
                <w:color w:val="FFFFFF"/>
                <w:sz w:val="20"/>
                <w:szCs w:val="20"/>
              </w:rPr>
              <w:t xml:space="preserve">Kategoria ryzyka</w:t>
            </w:r>
          </w:p>
        </w:tc>
        <w:tc>
          <w:tcPr>
            <w:tcW w:type="dxa" w:w="3600"/>
            <w:shd w:fill="2F5496" w:val="clear"/>
            <w:tcMar>
              <w:top w:type="dxa" w:w="80"/>
              <w:left w:type="dxa" w:w="100"/>
              <w:bottom w:type="dxa" w:w="80"/>
              <w:right w:type="dxa" w:w="100"/>
            </w:tcMar>
            <w:vAlign w:val="center"/>
          </w:tcPr>
          <w:p>
            <w:r>
              <w:rPr>
                <w:b/>
                <w:bCs/>
                <w:color w:val="FFFFFF"/>
                <w:sz w:val="20"/>
                <w:szCs w:val="20"/>
              </w:rPr>
              <w:t xml:space="preserve">Opis</w:t>
            </w:r>
          </w:p>
        </w:tc>
        <w:tc>
          <w:tcPr>
            <w:tcW w:type="dxa" w:w="3600"/>
            <w:shd w:fill="2F5496" w:val="clear"/>
            <w:tcMar>
              <w:top w:type="dxa" w:w="80"/>
              <w:left w:type="dxa" w:w="100"/>
              <w:bottom w:type="dxa" w:w="80"/>
              <w:right w:type="dxa" w:w="100"/>
            </w:tcMar>
            <w:vAlign w:val="center"/>
          </w:tcPr>
          <w:p>
            <w:r>
              <w:rPr>
                <w:b/>
                <w:bCs/>
                <w:color w:val="FFFFFF"/>
                <w:sz w:val="20"/>
                <w:szCs w:val="20"/>
              </w:rPr>
              <w:t xml:space="preserve">Rekomendowane podejście</w:t>
            </w:r>
          </w:p>
        </w:tc>
      </w:tr>
      <w:tr>
        <w:tc>
          <w:tcPr>
            <w:tcW w:type="dxa" w:w="1800"/>
            <w:tcMar>
              <w:top w:type="dxa" w:w="80"/>
              <w:left w:type="dxa" w:w="100"/>
              <w:bottom w:type="dxa" w:w="80"/>
              <w:right w:type="dxa" w:w="100"/>
            </w:tcMar>
            <w:vAlign w:val="center"/>
          </w:tcPr>
          <w:p>
            <w:r>
              <w:rPr>
                <w:b w:val="false"/>
                <w:bCs w:val="false"/>
                <w:sz w:val="20"/>
                <w:szCs w:val="20"/>
              </w:rPr>
              <w:t xml:space="preserve">Prawne</w:t>
            </w:r>
          </w:p>
        </w:tc>
        <w:tc>
          <w:tcPr>
            <w:tcW w:type="dxa" w:w="3600"/>
            <w:tcMar>
              <w:top w:type="dxa" w:w="80"/>
              <w:left w:type="dxa" w:w="100"/>
              <w:bottom w:type="dxa" w:w="80"/>
              <w:right w:type="dxa" w:w="100"/>
            </w:tcMar>
            <w:vAlign w:val="center"/>
          </w:tcPr>
          <w:p>
            <w:r>
              <w:rPr>
                <w:b w:val="false"/>
                <w:bCs w:val="false"/>
                <w:sz w:val="20"/>
                <w:szCs w:val="20"/>
              </w:rPr>
              <w:t xml:space="preserve">Nieświadome przekroczenie progu skali generującego obowiązki RODO/CE</w:t>
            </w:r>
          </w:p>
        </w:tc>
        <w:tc>
          <w:tcPr>
            <w:tcW w:type="dxa" w:w="3600"/>
            <w:tcMar>
              <w:top w:type="dxa" w:w="80"/>
              <w:left w:type="dxa" w:w="100"/>
              <w:bottom w:type="dxa" w:w="80"/>
              <w:right w:type="dxa" w:w="100"/>
            </w:tcMar>
            <w:vAlign w:val="center"/>
          </w:tcPr>
          <w:p>
            <w:r>
              <w:rPr>
                <w:b w:val="false"/>
                <w:bCs w:val="false"/>
                <w:sz w:val="20"/>
                <w:szCs w:val="20"/>
              </w:rPr>
              <w:t xml:space="preserve">Jasne wewnętrzne zasady, kiedy projekt przechodzi między fazami opisanymi w rozdziale 11</w:t>
            </w:r>
          </w:p>
        </w:tc>
      </w:tr>
      <w:tr>
        <w:tc>
          <w:tcPr>
            <w:tcW w:type="dxa" w:w="1800"/>
            <w:tcMar>
              <w:top w:type="dxa" w:w="80"/>
              <w:left w:type="dxa" w:w="100"/>
              <w:bottom w:type="dxa" w:w="80"/>
              <w:right w:type="dxa" w:w="100"/>
            </w:tcMar>
            <w:vAlign w:val="center"/>
          </w:tcPr>
          <w:p>
            <w:r>
              <w:rPr>
                <w:b w:val="false"/>
                <w:bCs w:val="false"/>
                <w:sz w:val="20"/>
                <w:szCs w:val="20"/>
              </w:rPr>
              <w:t xml:space="preserve">Techniczne</w:t>
            </w:r>
          </w:p>
        </w:tc>
        <w:tc>
          <w:tcPr>
            <w:tcW w:type="dxa" w:w="3600"/>
            <w:tcMar>
              <w:top w:type="dxa" w:w="80"/>
              <w:left w:type="dxa" w:w="100"/>
              <w:bottom w:type="dxa" w:w="80"/>
              <w:right w:type="dxa" w:w="100"/>
            </w:tcMar>
            <w:vAlign w:val="center"/>
          </w:tcPr>
          <w:p>
            <w:r>
              <w:rPr>
                <w:b w:val="false"/>
                <w:bCs w:val="false"/>
                <w:sz w:val="20"/>
                <w:szCs w:val="20"/>
              </w:rPr>
              <w:t xml:space="preserve">Rzeczywisty zasięg radiowy znacząco niższy od zakładanego w gęstej zabudowie</w:t>
            </w:r>
          </w:p>
        </w:tc>
        <w:tc>
          <w:tcPr>
            <w:tcW w:type="dxa" w:w="3600"/>
            <w:tcMar>
              <w:top w:type="dxa" w:w="80"/>
              <w:left w:type="dxa" w:w="100"/>
              <w:bottom w:type="dxa" w:w="80"/>
              <w:right w:type="dxa" w:w="100"/>
            </w:tcMar>
            <w:vAlign w:val="center"/>
          </w:tcPr>
          <w:p>
            <w:r>
              <w:rPr>
                <w:b w:val="false"/>
                <w:bCs w:val="false"/>
                <w:sz w:val="20"/>
                <w:szCs w:val="20"/>
              </w:rPr>
              <w:t xml:space="preserve">Test terenowy przed skalowaniem (rozdział 12.4)</w:t>
            </w:r>
          </w:p>
        </w:tc>
      </w:tr>
      <w:tr>
        <w:tc>
          <w:tcPr>
            <w:tcW w:type="dxa" w:w="1800"/>
            <w:tcMar>
              <w:top w:type="dxa" w:w="80"/>
              <w:left w:type="dxa" w:w="100"/>
              <w:bottom w:type="dxa" w:w="80"/>
              <w:right w:type="dxa" w:w="100"/>
            </w:tcMar>
            <w:vAlign w:val="center"/>
          </w:tcPr>
          <w:p>
            <w:r>
              <w:rPr>
                <w:b w:val="false"/>
                <w:bCs w:val="false"/>
                <w:sz w:val="20"/>
                <w:szCs w:val="20"/>
              </w:rPr>
              <w:t xml:space="preserve">Bezpieczeństwo</w:t>
            </w:r>
          </w:p>
        </w:tc>
        <w:tc>
          <w:tcPr>
            <w:tcW w:type="dxa" w:w="3600"/>
            <w:tcMar>
              <w:top w:type="dxa" w:w="80"/>
              <w:left w:type="dxa" w:w="100"/>
              <w:bottom w:type="dxa" w:w="80"/>
              <w:right w:type="dxa" w:w="100"/>
            </w:tcMar>
            <w:vAlign w:val="center"/>
          </w:tcPr>
          <w:p>
            <w:r>
              <w:rPr>
                <w:b w:val="false"/>
                <w:bCs w:val="false"/>
                <w:sz w:val="20"/>
                <w:szCs w:val="20"/>
              </w:rPr>
              <w:t xml:space="preserve">Błąd w implementacji kryptografii mimo poprawnego wyboru protokołu</w:t>
            </w:r>
          </w:p>
        </w:tc>
        <w:tc>
          <w:tcPr>
            <w:tcW w:type="dxa" w:w="3600"/>
            <w:tcMar>
              <w:top w:type="dxa" w:w="80"/>
              <w:left w:type="dxa" w:w="100"/>
              <w:bottom w:type="dxa" w:w="80"/>
              <w:right w:type="dxa" w:w="100"/>
            </w:tcMar>
            <w:vAlign w:val="center"/>
          </w:tcPr>
          <w:p>
            <w:r>
              <w:rPr>
                <w:b w:val="false"/>
                <w:bCs w:val="false"/>
                <w:sz w:val="20"/>
                <w:szCs w:val="20"/>
              </w:rPr>
              <w:t xml:space="preserve">Otwarty kod, niezależny audyt bezpieczeństwa przed Fazą 3</w:t>
            </w:r>
          </w:p>
        </w:tc>
      </w:tr>
      <w:tr>
        <w:tc>
          <w:tcPr>
            <w:tcW w:type="dxa" w:w="1800"/>
            <w:tcMar>
              <w:top w:type="dxa" w:w="80"/>
              <w:left w:type="dxa" w:w="100"/>
              <w:bottom w:type="dxa" w:w="80"/>
              <w:right w:type="dxa" w:w="100"/>
            </w:tcMar>
            <w:vAlign w:val="center"/>
          </w:tcPr>
          <w:p>
            <w:r>
              <w:rPr>
                <w:b w:val="false"/>
                <w:bCs w:val="false"/>
                <w:sz w:val="20"/>
                <w:szCs w:val="20"/>
              </w:rPr>
              <w:t xml:space="preserve">Bezpieczeństwo</w:t>
            </w:r>
          </w:p>
        </w:tc>
        <w:tc>
          <w:tcPr>
            <w:tcW w:type="dxa" w:w="3600"/>
            <w:tcMar>
              <w:top w:type="dxa" w:w="80"/>
              <w:left w:type="dxa" w:w="100"/>
              <w:bottom w:type="dxa" w:w="80"/>
              <w:right w:type="dxa" w:w="100"/>
            </w:tcMar>
            <w:vAlign w:val="center"/>
          </w:tcPr>
          <w:p>
            <w:r>
              <w:rPr>
                <w:b w:val="false"/>
                <w:bCs w:val="false"/>
                <w:sz w:val="20"/>
                <w:szCs w:val="20"/>
              </w:rPr>
              <w:t xml:space="preserve">Brak absolutnej odporności na fizyczną modyfikację urządzenia</w:t>
            </w:r>
          </w:p>
        </w:tc>
        <w:tc>
          <w:tcPr>
            <w:tcW w:type="dxa" w:w="3600"/>
            <w:tcMar>
              <w:top w:type="dxa" w:w="80"/>
              <w:left w:type="dxa" w:w="100"/>
              <w:bottom w:type="dxa" w:w="80"/>
              <w:right w:type="dxa" w:w="100"/>
            </w:tcMar>
            <w:vAlign w:val="center"/>
          </w:tcPr>
          <w:p>
            <w:r>
              <w:rPr>
                <w:b w:val="false"/>
                <w:bCs w:val="false"/>
                <w:sz w:val="20"/>
                <w:szCs w:val="20"/>
              </w:rPr>
              <w:t xml:space="preserve">Traktowanie zabezpieczeń jako podniesienia kosztu ataku, nie gwarancji absolutnej</w:t>
            </w:r>
          </w:p>
        </w:tc>
      </w:tr>
      <w:tr>
        <w:tc>
          <w:tcPr>
            <w:tcW w:type="dxa" w:w="1800"/>
            <w:tcMar>
              <w:top w:type="dxa" w:w="80"/>
              <w:left w:type="dxa" w:w="100"/>
              <w:bottom w:type="dxa" w:w="80"/>
              <w:right w:type="dxa" w:w="100"/>
            </w:tcMar>
            <w:vAlign w:val="center"/>
          </w:tcPr>
          <w:p>
            <w:r>
              <w:rPr>
                <w:b w:val="false"/>
                <w:bCs w:val="false"/>
                <w:sz w:val="20"/>
                <w:szCs w:val="20"/>
              </w:rPr>
              <w:t xml:space="preserve">Operacyjne</w:t>
            </w:r>
          </w:p>
        </w:tc>
        <w:tc>
          <w:tcPr>
            <w:tcW w:type="dxa" w:w="3600"/>
            <w:tcMar>
              <w:top w:type="dxa" w:w="80"/>
              <w:left w:type="dxa" w:w="100"/>
              <w:bottom w:type="dxa" w:w="80"/>
              <w:right w:type="dxa" w:w="100"/>
            </w:tcMar>
            <w:vAlign w:val="center"/>
          </w:tcPr>
          <w:p>
            <w:r>
              <w:rPr>
                <w:b w:val="false"/>
                <w:bCs w:val="false"/>
                <w:sz w:val="20"/>
                <w:szCs w:val="20"/>
              </w:rPr>
              <w:t xml:space="preserve">Nadużycia sieci (spam, flooding) mimo mechanizmów rate-limiting</w:t>
            </w:r>
          </w:p>
        </w:tc>
        <w:tc>
          <w:tcPr>
            <w:tcW w:type="dxa" w:w="3600"/>
            <w:tcMar>
              <w:top w:type="dxa" w:w="80"/>
              <w:left w:type="dxa" w:w="100"/>
              <w:bottom w:type="dxa" w:w="80"/>
              <w:right w:type="dxa" w:w="100"/>
            </w:tcMar>
            <w:vAlign w:val="center"/>
          </w:tcPr>
          <w:p>
            <w:r>
              <w:rPr>
                <w:b w:val="false"/>
                <w:bCs w:val="false"/>
                <w:sz w:val="20"/>
                <w:szCs w:val="20"/>
              </w:rPr>
              <w:t xml:space="preserve">Monitoring ruchu sieciowego, iteracyjne dostrajanie limitów</w:t>
            </w:r>
          </w:p>
        </w:tc>
      </w:tr>
      <w:tr>
        <w:tc>
          <w:tcPr>
            <w:tcW w:type="dxa" w:w="1800"/>
            <w:tcMar>
              <w:top w:type="dxa" w:w="80"/>
              <w:left w:type="dxa" w:w="100"/>
              <w:bottom w:type="dxa" w:w="80"/>
              <w:right w:type="dxa" w:w="100"/>
            </w:tcMar>
            <w:vAlign w:val="center"/>
          </w:tcPr>
          <w:p>
            <w:r>
              <w:rPr>
                <w:b w:val="false"/>
                <w:bCs w:val="false"/>
                <w:sz w:val="20"/>
                <w:szCs w:val="20"/>
              </w:rPr>
              <w:t xml:space="preserve">Biznesowe</w:t>
            </w:r>
          </w:p>
        </w:tc>
        <w:tc>
          <w:tcPr>
            <w:tcW w:type="dxa" w:w="3600"/>
            <w:tcMar>
              <w:top w:type="dxa" w:w="80"/>
              <w:left w:type="dxa" w:w="100"/>
              <w:bottom w:type="dxa" w:w="80"/>
              <w:right w:type="dxa" w:w="100"/>
            </w:tcMar>
            <w:vAlign w:val="center"/>
          </w:tcPr>
          <w:p>
            <w:r>
              <w:rPr>
                <w:b w:val="false"/>
                <w:bCs w:val="false"/>
                <w:sz w:val="20"/>
                <w:szCs w:val="20"/>
              </w:rPr>
              <w:t xml:space="preserve">Koszt i czas certyfikacji CE przy przejściu do Fazy 4</w:t>
            </w:r>
          </w:p>
        </w:tc>
        <w:tc>
          <w:tcPr>
            <w:tcW w:type="dxa" w:w="3600"/>
            <w:tcMar>
              <w:top w:type="dxa" w:w="80"/>
              <w:left w:type="dxa" w:w="100"/>
              <w:bottom w:type="dxa" w:w="80"/>
              <w:right w:type="dxa" w:w="100"/>
            </w:tcMar>
            <w:vAlign w:val="center"/>
          </w:tcPr>
          <w:p>
            <w:r>
              <w:rPr>
                <w:b w:val="false"/>
                <w:bCs w:val="false"/>
                <w:sz w:val="20"/>
                <w:szCs w:val="20"/>
              </w:rPr>
              <w:t xml:space="preserve">Rozłożenie w czasie, wdrożenie dopiero po pełnej walidacji technicznej</w:t>
            </w:r>
          </w:p>
        </w:tc>
      </w:tr>
      <w:tr>
        <w:tc>
          <w:tcPr>
            <w:tcW w:type="dxa" w:w="1800"/>
            <w:tcMar>
              <w:top w:type="dxa" w:w="80"/>
              <w:left w:type="dxa" w:w="100"/>
              <w:bottom w:type="dxa" w:w="80"/>
              <w:right w:type="dxa" w:w="100"/>
            </w:tcMar>
            <w:vAlign w:val="center"/>
          </w:tcPr>
          <w:p>
            <w:r>
              <w:rPr>
                <w:b w:val="false"/>
                <w:bCs w:val="false"/>
                <w:sz w:val="20"/>
                <w:szCs w:val="20"/>
              </w:rPr>
              <w:t xml:space="preserve">Społeczne</w:t>
            </w:r>
          </w:p>
        </w:tc>
        <w:tc>
          <w:tcPr>
            <w:tcW w:type="dxa" w:w="3600"/>
            <w:tcMar>
              <w:top w:type="dxa" w:w="80"/>
              <w:left w:type="dxa" w:w="100"/>
              <w:bottom w:type="dxa" w:w="80"/>
              <w:right w:type="dxa" w:w="100"/>
            </w:tcMar>
            <w:vAlign w:val="center"/>
          </w:tcPr>
          <w:p>
            <w:r>
              <w:rPr>
                <w:b w:val="false"/>
                <w:bCs w:val="false"/>
                <w:sz w:val="20"/>
                <w:szCs w:val="20"/>
              </w:rPr>
              <w:t xml:space="preserve">Niska adopcja przez mieszkańców utrudniająca osiągnięcie gęstości sieci z rozdziału 12</w:t>
            </w:r>
          </w:p>
        </w:tc>
        <w:tc>
          <w:tcPr>
            <w:tcW w:type="dxa" w:w="3600"/>
            <w:tcMar>
              <w:top w:type="dxa" w:w="80"/>
              <w:left w:type="dxa" w:w="100"/>
              <w:bottom w:type="dxa" w:w="80"/>
              <w:right w:type="dxa" w:w="100"/>
            </w:tcMar>
            <w:vAlign w:val="center"/>
          </w:tcPr>
          <w:p>
            <w:r>
              <w:rPr>
                <w:b w:val="false"/>
                <w:bCs w:val="false"/>
                <w:sz w:val="20"/>
                <w:szCs w:val="20"/>
              </w:rPr>
              <w:t xml:space="preserve">Rozpoczęcie od wąskiego, zaangażowanego grona (Faza 1) przed próbą skalowania</w:t>
            </w:r>
          </w:p>
        </w:tc>
      </w:tr>
    </w:tbl>
    <w:p>
      <w:r>
        <w:br w:type="page"/>
      </w:r>
    </w:p>
    <w:p>
      <w:pPr>
        <w:pStyle w:val="Heading1"/>
        <w:spacing w:after="200" w:before="400"/>
      </w:pPr>
      <w:r>
        <w:t xml:space="preserve">14. Podsumowanie i rekomendacje końcowe</w:t>
      </w:r>
    </w:p>
    <w:p>
      <w:pPr>
        <w:spacing w:after="160"/>
        <w:jc w:val="both"/>
      </w:pPr>
      <w:r>
        <w:t xml:space="preserve">Projekt Pabianice Comms jest technicznie wykonalny przy użyciu dostępnych na rynku, sprawdzonych komponentów (moduły LoRa, mikrokontrolery ESP32, biblioteka libsignal) oraz uznanych wzorców architektonicznych (sieci DTN, routing epidemiczny, Signal Protocol). Nie wymaga to opracowywania nowych technologii radiowych ani kryptograficznych od podstaw — cała wartość projektu leży w integracji istniejących, sprawdzonych elementów w spójny, prywatny system komunikacji.</w:t>
      </w:r>
    </w:p>
    <w:p>
      <w:pPr>
        <w:spacing w:after="160"/>
        <w:jc w:val="both"/>
      </w:pPr>
      <w:r>
        <w:t xml:space="preserve">Kluczowa rekomendacja dotycząca strategii prawnej: rozpoczęcie od wąskiego, w pełni legalnego grona (Faza 1), a następnie skalowanie przez model open source (Faza 2), pozwala zbudować i przetestować cały system praktycznie bez ryzyka prawnego i bez opóźniania startu projektu formalnościami. Dopiero decyzja o komercjalizacji (Faza 4) wymaga pełnej formalizacji — i powinna zostać podjęta dopiero po walidacji technicznej w mniejszej skali.</w:t>
      </w:r>
    </w:p>
    <w:p>
      <w:pPr>
        <w:spacing w:after="160"/>
        <w:jc w:val="both"/>
      </w:pPr>
      <w:r>
        <w:t xml:space="preserve">Kluczowa rekomendacja dotycząca bezpieczeństwa: zastosowanie prawdziwego szyfrowania end-to-end od samego początku projektu (nie jako późniejsze dodatek) jest jednocześnie najlepszą ochroną techniczną dla użytkowników i najprostszą drogą do zgodności z RODO w fazach, w których stanie się ona wymagana — te dwa cele nie są w konflikcie, lecz się wzajemnie wzmacniają.</w:t>
      </w:r>
    </w:p>
    <w:p>
      <w:pPr>
        <w:spacing w:after="160"/>
        <w:jc w:val="both"/>
      </w:pPr>
      <w:r>
        <w:t xml:space="preserve">Kluczowa rekomendacja dotycząca skalowania geograficznego: osiągnięcie pełnego pokrycia Pabianic (szacunkowo 250–400 węzłów) realistycznie wymaga zaangażowania społeczności budującej własne urządzenia, a nie centralnej instalacji — co naturalnie wynika z przyjętego modelu open source i jest zgodne z filozofią projektów takich jak Meshtastic, które osiągnęły globalny zasięg właśnie w tym modelu.</w:t>
      </w:r>
    </w:p>
    <w:p>
      <w:pPr>
        <w:spacing w:after="160"/>
      </w:pPr>
      <w:r>
        <w:rPr>
          <w:b/>
          <w:bCs/>
        </w:rPr>
        <w:t xml:space="preserve">Sugerowane pierwsze kroki:</w:t>
      </w:r>
    </w:p>
    <w:p>
      <w:pPr>
        <w:pStyle w:val="ListParagraph"/>
        <w:numPr>
          <w:ilvl w:val="0"/>
          <w:numId w:val="3"/>
        </w:numPr>
        <w:spacing w:after="100"/>
      </w:pPr>
      <w:r>
        <w:t xml:space="preserve">Zamówienie komponentów na 3–5 prototypów zgodnie z zestawieniem z rozdziału 8.1.</w:t>
      </w:r>
    </w:p>
    <w:p>
      <w:pPr>
        <w:pStyle w:val="ListParagraph"/>
        <w:numPr>
          <w:ilvl w:val="0"/>
          <w:numId w:val="3"/>
        </w:numPr>
        <w:spacing w:after="100"/>
      </w:pPr>
      <w:r>
        <w:t xml:space="preserve">Implementacja minimalnej wersji firmware obsługującej podstawową transmisję LoRa i prosty routing mesh, bez pełnego szyfrowania na tym etapie testowym.</w:t>
      </w:r>
    </w:p>
    <w:p>
      <w:pPr>
        <w:pStyle w:val="ListParagraph"/>
        <w:numPr>
          <w:ilvl w:val="0"/>
          <w:numId w:val="3"/>
        </w:numPr>
        <w:spacing w:after="100"/>
      </w:pPr>
      <w:r>
        <w:t xml:space="preserve">Test zasięgu radiowego w kilku punktach Pabianic, udokumentowanie rzeczywistych wyników.</w:t>
      </w:r>
    </w:p>
    <w:p>
      <w:pPr>
        <w:pStyle w:val="ListParagraph"/>
        <w:numPr>
          <w:ilvl w:val="0"/>
          <w:numId w:val="3"/>
        </w:numPr>
        <w:spacing w:after="100"/>
      </w:pPr>
      <w:r>
        <w:t xml:space="preserve">Integracja biblioteki libsignal i wdrożenie pełnego szyfrowania end-to-end.</w:t>
      </w:r>
    </w:p>
    <w:p>
      <w:pPr>
        <w:pStyle w:val="ListParagraph"/>
        <w:numPr>
          <w:ilvl w:val="0"/>
          <w:numId w:val="3"/>
        </w:numPr>
        <w:spacing w:after="100"/>
      </w:pPr>
      <w:r>
        <w:t xml:space="preserve">Test użytkowy w gronie kilku znajomych przez okres kilku tygodni przed podjęciem decyzji o publikacji projektu jako open source.</w:t>
      </w:r>
    </w:p>
    <w:p>
      <w:pPr>
        <w:spacing w:after="160"/>
        <w:jc w:val="both"/>
      </w:pPr>
      <w:r>
        <w:t xml:space="preserve"/>
      </w:r>
    </w:p>
    <w:p>
      <w:pPr>
        <w:spacing w:after="160"/>
        <w:jc w:val="both"/>
      </w:pPr>
      <w:r>
        <w:t xml:space="preserve">Ten dokument stanowi ramę planistyczną opartą na ogólnodostępnej wiedzy technicznej oraz ogólnych zasadach prawa polskiego i unijnego w zakresie telekomunikacji, zgodności urządzeń i ochrony danych osobowych, obowiązujących według stanu wiedzy na moment jego sporządzenia. Nie stanowi porady prawnej ani inżynierskiej w rozumieniu formalnym — przed podjęciem decyzji wiążących finansowo lub prawnie (w szczególności przed Fazą 3 i Fazą 4) rekomenduje się konsultację z prawnikiem specjalizującym się w RODO i prawie telekomunikacyjnym oraz z inżynierem RF posiadającym doświadczenie w certyfikacji urządzeń radiowych.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F5496"/>
      <w:sz w:val="32"/>
      <w:szCs w:val="32"/>
    </w:rPr>
  </w:style>
  <w:style w:type="paragraph" w:styleId="Heading2">
    <w:name w:val="Heading 2"/>
    <w:basedOn w:val="Normal"/>
    <w:next w:val="Normal"/>
    <w:qFormat/>
    <w:pPr>
      <w:spacing w:after="150" w:before="300"/>
      <w:outlineLvl w:val="1"/>
    </w:pPr>
    <w:rPr>
      <w:b/>
      <w:bCs/>
      <w:color w:val="2F5496"/>
      <w:sz w:val="26"/>
      <w:szCs w:val="26"/>
    </w:rPr>
  </w:style>
  <w:style w:type="paragraph" w:styleId="Heading3">
    <w:name w:val="Heading 3"/>
    <w:basedOn w:val="Normal"/>
    <w:next w:val="Normal"/>
    <w:qFormat/>
    <w:pPr>
      <w:spacing w:after="100" w:before="200"/>
      <w:outlineLvl w:val="2"/>
    </w:pPr>
    <w:rPr>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2026-07-23T12:45:00.519Z</dcterms:created>
  <dcterms:modified xsi:type="dcterms:W3CDTF">2026-07-23T12:45:00.531Z</dcterms:modified>
</cp:coreProperties>
</file>

<file path=docProps/custom.xml><?xml version="1.0" encoding="utf-8"?>
<Properties xmlns="http://schemas.openxmlformats.org/officeDocument/2006/custom-properties" xmlns:vt="http://schemas.openxmlformats.org/officeDocument/2006/docPropsVTypes"/>
</file>