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微软雅黑" w:hAnsi="微软雅黑" w:eastAsia="微软雅黑"/>
          <w:b/>
          <w:color w:val="5B9BD5"/>
          <w:sz w:val="22"/>
        </w:rPr>
        <w:t>医学 RAG 系统 · 本周汇报</w:t>
      </w:r>
    </w:p>
    <w:p>
      <w:pPr>
        <w:pStyle w:val="Title"/>
        <w:jc w:val="center"/>
      </w:pPr>
      <w:r>
        <w:t>服务化与接口开发第二部分</w:t>
      </w:r>
    </w:p>
    <w:p>
      <w:pPr>
        <w:pStyle w:val="Subtitle"/>
        <w:jc w:val="center"/>
      </w:pPr>
      <w:r>
        <w:t>任务完成报告</w:t>
      </w:r>
    </w:p>
    <w:p>
      <w:pPr>
        <w:spacing w:before="560"/>
        <w:jc w:val="center"/>
      </w:pPr>
      <w:r>
        <w:rPr>
          <w:rFonts w:ascii="微软雅黑" w:hAnsi="微软雅黑" w:eastAsia="微软雅黑"/>
          <w:color w:val="666666"/>
          <w:sz w:val="20"/>
        </w:rPr>
        <w:t>基于任务书、执行计划、测试与全量运行证据重写</w:t>
      </w:r>
    </w:p>
    <w:p>
      <w:pPr>
        <w:spacing w:before="2400"/>
        <w:jc w:val="center"/>
      </w:pPr>
      <w:r>
        <w:rPr>
          <w:rFonts w:ascii="微软雅黑" w:hAnsi="微软雅黑" w:eastAsia="微软雅黑"/>
          <w:color w:val="666666"/>
          <w:sz w:val="20"/>
        </w:rPr>
        <w:t>完成日期：2026 年 7 月 29 日</w:t>
      </w:r>
    </w:p>
    <w:p>
      <w:r>
        <w:br w:type="page"/>
      </w:r>
    </w:p>
    <w:p>
      <w:pPr>
        <w:pStyle w:val="Heading1"/>
      </w:pPr>
      <w:r>
        <w:t>一、汇报摘要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EEF5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 xml:space="preserve">结论  </w:t>
            </w:r>
            <w:r>
              <w:rPr>
                <w:rFonts w:ascii="微软雅黑" w:hAnsi="微软雅黑" w:eastAsia="微软雅黑"/>
                <w:sz w:val="20"/>
              </w:rPr>
              <w:t>本周已完成任务书要求的会话管理、运营统计、文档管理、测试与 API 文档，并在 455.76 万篇文档、610.73 万个检索块及本地 Ollama 模型条件下完成全量连通仿真。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512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60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完成结果</w:t>
            </w:r>
          </w:p>
        </w:tc>
        <w:tc>
          <w:tcPr>
            <w:tcW w:type="dxa" w:w="352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验证证据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功能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 sessions / stats / documents 运营层接口，并复用原问答服务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样本 smoke C0–C4；18 项 pytest 通过</w:t>
            </w:r>
          </w:p>
        </w:tc>
      </w:tr>
      <w:tr>
        <w:tc>
          <w:tcPr>
            <w:tcW w:type="dxa" w:w="15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</w:t>
            </w:r>
          </w:p>
        </w:tc>
        <w:tc>
          <w:tcPr>
            <w:tcW w:type="dxa" w:w="46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建立 sample 与 full 篇级文档索引，doc_id 统一为 PMCID</w:t>
            </w:r>
          </w:p>
        </w:tc>
        <w:tc>
          <w:tcPr>
            <w:tcW w:type="dxa" w:w="352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full 索引 4,557,627 篇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运行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全量检索、两轮会话、统计、文档回查、伪 SSE 串联成功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full_ops_smoke.json：ok=true</w:t>
            </w:r>
          </w:p>
        </w:tc>
      </w:tr>
      <w:tr>
        <w:tc>
          <w:tcPr>
            <w:tcW w:type="dxa" w:w="15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交付</w:t>
            </w:r>
          </w:p>
        </w:tc>
        <w:tc>
          <w:tcPr>
            <w:tcW w:type="dxa" w:w="46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OpenAPI、Postman、环境变量、部署与调用示例齐备</w:t>
            </w:r>
          </w:p>
        </w:tc>
        <w:tc>
          <w:tcPr>
            <w:tcW w:type="dxa" w:w="352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/docs、collection、.env.example、部署文档</w:t>
            </w:r>
          </w:p>
        </w:tc>
      </w:tr>
    </w:tbl>
    <w:p>
      <w:pPr>
        <w:spacing w:after="20"/>
      </w:pPr>
    </w:p>
    <w:p>
      <w:pPr>
        <w:pStyle w:val="Heading1"/>
      </w:pPr>
      <w:r>
        <w:t>二、任务目标与项目位置</w:t>
      </w:r>
    </w:p>
    <w:p>
      <w:r>
        <w:t>本项目以 PMC 开放获取医学文献为知识源，已完成数据处理、文档分块、向量与 BM25 索引、混合检索、重排、受约束生成和问答服务。本阶段位于服务化收尾环节：在第 11 阶段的 /qa 服务之上补齐可运营、可查询、可交付的 HTTP 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88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任务书要求</w:t>
            </w:r>
          </w:p>
        </w:tc>
        <w:tc>
          <w:tcPr>
            <w:tcW w:type="dxa" w:w="568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本阶段实现</w:t>
            </w:r>
          </w:p>
        </w:tc>
        <w:tc>
          <w:tcPr>
            <w:tcW w:type="dxa" w:w="108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会话管理与多轮上下文</w:t>
            </w:r>
          </w:p>
        </w:tc>
        <w:tc>
          <w:tcPr>
            <w:tcW w:type="dxa" w:w="56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创建、历史查询、删除；/qa 自动追加一轮问答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完成</w:t>
            </w:r>
          </w:p>
        </w:tc>
      </w:tr>
      <w:tr>
        <w:tc>
          <w:tcPr>
            <w:tcW w:type="dxa" w:w="28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运营统计</w:t>
            </w:r>
          </w:p>
        </w:tc>
        <w:tc>
          <w:tcPr>
            <w:tcW w:type="dxa" w:w="568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问答量/耗时/成功率，索引规模，组件健康</w:t>
            </w:r>
          </w:p>
        </w:tc>
        <w:tc>
          <w:tcPr>
            <w:tcW w:type="dxa" w:w="10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完成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文档管理</w:t>
            </w:r>
          </w:p>
        </w:tc>
        <w:tc>
          <w:tcPr>
            <w:tcW w:type="dxa" w:w="56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DocumentIn、分页列表、按 PMCID 查询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完成</w:t>
            </w:r>
          </w:p>
        </w:tc>
      </w:tr>
      <w:tr>
        <w:tc>
          <w:tcPr>
            <w:tcW w:type="dxa" w:w="28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测试与接口文档</w:t>
            </w:r>
          </w:p>
        </w:tc>
        <w:tc>
          <w:tcPr>
            <w:tcW w:type="dxa" w:w="568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单元/集成测试、Postman、Swagger、.env</w:t>
            </w:r>
          </w:p>
        </w:tc>
        <w:tc>
          <w:tcPr>
            <w:tcW w:type="dxa" w:w="10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完成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部署文档与调用示例</w:t>
            </w:r>
          </w:p>
        </w:tc>
        <w:tc>
          <w:tcPr>
            <w:tcW w:type="dxa" w:w="56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本地部署、sample/full 切换、curl/httpx 示例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完成</w:t>
            </w:r>
          </w:p>
        </w:tc>
      </w:tr>
    </w:tbl>
    <w:p>
      <w:pPr>
        <w:spacing w:after="20"/>
      </w:pPr>
    </w:p>
    <w:p>
      <w:pPr>
        <w:pStyle w:val="Heading1"/>
      </w:pPr>
      <w:r>
        <w:t>三、核心解决思路</w:t>
      </w:r>
    </w:p>
    <w:p>
      <w:pPr>
        <w:pStyle w:val="Heading2"/>
      </w:pPr>
      <w:r>
        <w:t>3.1 复用同一运行状态，避免“接口看得见但数据不一致”</w:t>
      </w:r>
    </w:p>
    <w:p>
      <w:r>
        <w:t>关键设计不是简单新增路由，而是让第 12 阶段与第 11 阶段的问答接口共用同一个 SessionStore 和 QACallLogger。这样，/qa 写入的会话轮次能被 /sessions 立即读取，问答日志也能被 /stats/qa 直接聚合，避免出现两套内存会话或两份日志目录造成的数据分裂。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EEF5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 xml:space="preserve">数据流  </w:t>
            </w:r>
            <w:r>
              <w:rPr>
                <w:rFonts w:ascii="微软雅黑" w:hAnsi="微软雅黑" w:eastAsia="微软雅黑"/>
                <w:sz w:val="20"/>
              </w:rPr>
              <w:t>Client → /sessions 创建会话 → /qa 调用 RAG 并 append(SessionTurn) → /sessions 回读历史；同时 /qa 写入 qa_calls.jsonl → /stats/qa 聚合。</w:t>
            </w:r>
          </w:p>
        </w:tc>
      </w:tr>
    </w:tbl>
    <w:p>
      <w:pPr>
        <w:spacing w:after="0"/>
      </w:pPr>
    </w:p>
    <w:p>
      <w:pPr>
        <w:pStyle w:val="Heading2"/>
      </w:pPr>
      <w:r>
        <w:t>3.2 统一“篇”与“块”的统计语义</w:t>
      </w:r>
    </w:p>
    <w:p>
      <w:r>
        <w:t>检索系统中的 Chroma/BM25 以 chunk 为单位，而文档接口以论文篇目为单位。为避免把 610 万个 chunk 错报成 610 万篇文档，本阶段建立独立 SQLite 篇级目录，并明确区分 document_count、chunk_count 和 index_size_bytes。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232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464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2952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全量值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document_count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documents_full.sqlite 行数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4,557,627 篇</w:t>
            </w:r>
          </w:p>
        </w:tc>
      </w:tr>
      <w:t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chunk_count</w:t>
            </w:r>
          </w:p>
        </w:tc>
        <w:tc>
          <w:tcPr>
            <w:tcW w:type="dxa" w:w="44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Chroma/BM25 检索条目</w:t>
            </w:r>
          </w:p>
        </w:tc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6,107,296 块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index_size_bytes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检索索引目录体积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约 70.8 GB</w:t>
            </w:r>
          </w:p>
        </w:tc>
      </w:tr>
      <w:t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incremental_update_count</w:t>
            </w:r>
          </w:p>
        </w:tc>
        <w:tc>
          <w:tcPr>
            <w:tcW w:type="dxa" w:w="44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 MVP 占位</w:t>
            </w:r>
          </w:p>
        </w:tc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0（已在接口 note 中说明）</w:t>
            </w:r>
          </w:p>
        </w:tc>
      </w:tr>
    </w:tbl>
    <w:p>
      <w:pPr>
        <w:spacing w:after="20"/>
      </w:pPr>
    </w:p>
    <w:p>
      <w:pPr>
        <w:pStyle w:val="Heading2"/>
      </w:pPr>
      <w:r>
        <w:t>3.3 样本契约与全量仿真分轨</w:t>
      </w:r>
    </w:p>
    <w:p>
      <w:r>
        <w:t>日常开发使用 sample 模式完成快速、可重复的接口契约测试；交付前再切换 full 模式，挂载全量 Chroma、BM25、文档目录和真实 Ollama 模型进行长链路验证。这一分轨同时保证开发反馈速度和生产路径可信度。</w:t>
      </w:r>
    </w:p>
    <w:p>
      <w:pPr>
        <w:pStyle w:val="ListBullet"/>
        <w:spacing w:after="60"/>
      </w:pPr>
      <w:r>
        <w:t>api-ops-smoke.ipynb：C0–C4，覆盖骨架、会话、统计、文档和 OpenAPI。</w:t>
      </w:r>
    </w:p>
    <w:p>
      <w:pPr>
        <w:pStyle w:val="ListBullet"/>
        <w:spacing w:after="60"/>
      </w:pPr>
      <w:r>
        <w:t>api-ops-full.ipynb / run_full_ops_smoke.py：覆盖全量资源、自检、两轮问答、伪 SSE、统计与文档回查。</w:t>
      </w:r>
    </w:p>
    <w:p>
      <w:pPr>
        <w:pStyle w:val="Heading1"/>
      </w:pPr>
      <w:r>
        <w:t>四、功能完成情况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656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672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接口/能力</w:t>
            </w:r>
          </w:p>
        </w:tc>
        <w:tc>
          <w:tcPr>
            <w:tcW w:type="dxa" w:w="432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关键行为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会话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POST/GET/DELETE /api/v1/sessions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一轮问答存为 1 条 turn；GET/DELETE 缺失返回 3002</w:t>
            </w:r>
          </w:p>
        </w:tc>
      </w:tr>
      <w:tr>
        <w:tc>
          <w:tcPr>
            <w:tcW w:type="dxa" w:w="165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问答衔接</w:t>
            </w:r>
          </w:p>
        </w:tc>
        <w:tc>
          <w:tcPr>
            <w:tcW w:type="dxa" w:w="367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 /api/v1/qa</w:t>
            </w:r>
          </w:p>
        </w:tc>
        <w:tc>
          <w:tcPr>
            <w:tcW w:type="dxa" w:w="43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无效 session_id 自动创建；成功后自动 append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统计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 /api/v1/stats/qa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聚合总调用、成功/失败、成功率与平均耗时</w:t>
            </w:r>
          </w:p>
        </w:tc>
      </w:tr>
      <w:tr>
        <w:tc>
          <w:tcPr>
            <w:tcW w:type="dxa" w:w="165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索引统计</w:t>
            </w:r>
          </w:p>
        </w:tc>
        <w:tc>
          <w:tcPr>
            <w:tcW w:type="dxa" w:w="367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 /api/v1/stats/index</w:t>
            </w:r>
          </w:p>
        </w:tc>
        <w:tc>
          <w:tcPr>
            <w:tcW w:type="dxa" w:w="43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分开报告篇数、块数、体积和增量次数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组件健康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 /api/v1/stats/health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LLM、向量库、API；无独立 DB 时明确 skipped</w:t>
            </w:r>
          </w:p>
        </w:tc>
      </w:tr>
      <w:tr>
        <w:tc>
          <w:tcPr>
            <w:tcW w:type="dxa" w:w="165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</w:t>
            </w:r>
          </w:p>
        </w:tc>
        <w:tc>
          <w:tcPr>
            <w:tcW w:type="dxa" w:w="367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 /api/v1/documents[/{doc_id}]</w:t>
            </w:r>
          </w:p>
        </w:tc>
        <w:tc>
          <w:tcPr>
            <w:tcW w:type="dxa" w:w="43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分页与检索；doc_id=pmcid；缺失返回 3001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接口契约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/docs、/redoc、Postman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tags、描述、示例与环境变量齐全</w:t>
            </w:r>
          </w:p>
        </w:tc>
      </w:tr>
    </w:tbl>
    <w:p>
      <w:pPr>
        <w:spacing w:after="20"/>
      </w:pPr>
    </w:p>
    <w:p>
      <w:pPr>
        <w:pStyle w:val="Heading1"/>
      </w:pPr>
      <w:r>
        <w:t>五、验证结果与证据</w:t>
      </w:r>
    </w:p>
    <w:p>
      <w:r>
        <w:t>样本环境中完成 18 项单元与集成测试；全量环境中 full_ops_smoke.json 的总结果为 ok=true，关键检查项全部通过。以下图表直接来自本次全量运行产物。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ops_smok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7"/>
        </w:rPr>
        <w:t>图 1  全量运维仿真墙钟耗时：预热 1.8 s，两轮问答与伪流式均完成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64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ops_smoke_stage_ti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6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7"/>
        </w:rPr>
        <w:t>图 2  第一轮生成阶段耗时：主要时间集中在上下文组装/检索链路</w:t>
      </w:r>
    </w:p>
    <w:p>
      <w:pPr>
        <w:pStyle w:val="Heading2"/>
      </w:pPr>
      <w:r>
        <w:t>5.1 全量规模与接口闭环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244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20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资源就绪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全量文档索引 completed；Ollama deepseek-r1:7b 可用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两轮问答</w:t>
            </w:r>
          </w:p>
        </w:tc>
        <w:tc>
          <w:tcPr>
            <w:tcW w:type="dxa" w:w="7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同一 session_id；两轮均返回 5 个来源，引用与格式检查通过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文档回查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从问答来源 PMCID 回查 PMC6213955，标题与摘要命中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统计增长</w:t>
            </w:r>
          </w:p>
        </w:tc>
        <w:tc>
          <w:tcPr>
            <w:tcW w:type="dxa" w:w="7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运行后 total_calls=3，success_rate=1.0，平均耗时约 212 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健康状态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llm/vector_db/api=ok；database=skipped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01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ops_smoke_constra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7"/>
        </w:rPr>
        <w:t>图 3  关键约束检查：引用、格式、文档回查与统计均通过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35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ops_smoke_sse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3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7"/>
        </w:rPr>
        <w:t>图 4  伪 SSE 事件序列：meta → 45 个 token 事件 → done</w:t>
      </w:r>
    </w:p>
    <w:p>
      <w:pPr>
        <w:pStyle w:val="Heading1"/>
      </w:pPr>
      <w:r>
        <w:t>六、问题、取舍与解决过程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52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32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280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意义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会话与问答可能各自维护状态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通过 bridge 复用第 11 阶段依赖单例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保证历史、统计与问答一致</w:t>
            </w:r>
          </w:p>
        </w:tc>
      </w:tr>
      <w:t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篇数与 chunk 数易混淆</w:t>
            </w:r>
          </w:p>
        </w:tc>
        <w:tc>
          <w:tcPr>
            <w:tcW w:type="dxa" w:w="43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建立篇级 SQLite，并拆分统计字段</w:t>
            </w:r>
          </w:p>
        </w:tc>
        <w:tc>
          <w:tcPr>
            <w:tcW w:type="dxa" w:w="28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导师汇报和运营指标语义准确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全量路径启动慢且占用大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sample 快速测试 + full 交付仿真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兼顾迭代效率与真实性</w:t>
            </w:r>
          </w:p>
        </w:tc>
      </w:tr>
      <w:t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Windows 中文路径下内核加载不稳定</w:t>
            </w:r>
          </w:p>
        </w:tc>
        <w:tc>
          <w:tcPr>
            <w:tcW w:type="dxa" w:w="43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live QA 主线程运行；notebook 使用独立子进程</w:t>
            </w:r>
          </w:p>
        </w:tc>
        <w:tc>
          <w:tcPr>
            <w:tcW w:type="dxa" w:w="28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规避 WinError 6714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当前生成不支持原生 token 流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保持伪 SSE，并在文档中明确边界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不越界改写上游生成内核</w:t>
            </w:r>
          </w:p>
        </w:tc>
      </w:tr>
    </w:tbl>
    <w:p>
      <w:pPr>
        <w:spacing w:after="20"/>
      </w:pPr>
    </w:p>
    <w:p>
      <w:pPr>
        <w:pStyle w:val="Heading1"/>
      </w:pPr>
      <w:r>
        <w:t>七、边界、评估与下一步</w:t>
      </w:r>
    </w:p>
    <w:p>
      <w:r>
        <w:t>本周任务已按任务书完成，但当前成果定位仍是“可部署的本地研究原型”，不是生产级互联网服务。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468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已完成</w:t>
            </w:r>
          </w:p>
        </w:tc>
        <w:tc>
          <w:tcPr>
            <w:tcW w:type="dxa" w:w="496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当前边界/后续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运营层 API 与全量数据连通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增加鉴权、限流、CORS 白名单和审计</w:t>
            </w:r>
          </w:p>
        </w:tc>
      </w:tr>
      <w:tr>
        <w:tc>
          <w:tcPr>
            <w:tcW w:type="dxa" w:w="46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进程内会话管理</w:t>
            </w:r>
          </w:p>
        </w:tc>
        <w:tc>
          <w:tcPr>
            <w:tcW w:type="dxa" w:w="49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迁移到 SQLite/Redis，实现跨进程与重启恢复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只读文档目录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增加上传、增量解析、索引更新与任务状态 API</w:t>
            </w:r>
          </w:p>
        </w:tc>
      </w:tr>
      <w:tr>
        <w:tc>
          <w:tcPr>
            <w:tcW w:type="dxa" w:w="46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伪 SSE</w:t>
            </w:r>
          </w:p>
        </w:tc>
        <w:tc>
          <w:tcPr>
            <w:tcW w:type="dxa" w:w="49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改造上游生成器，输出真实 token 流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单机部署说明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补充容器化、GPU/CPU 资源基线与并发压测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E5F2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 xml:space="preserve">最终判断  </w:t>
            </w:r>
            <w:r>
              <w:rPr>
                <w:rFonts w:ascii="微软雅黑" w:hAnsi="微软雅黑" w:eastAsia="微软雅黑"/>
                <w:sz w:val="20"/>
              </w:rPr>
              <w:t>从任务完成度看，本阶段已经形成“能启动、能调用、能观察、能回查、能复现”的完整交付闭环；下一阶段重点应从功能补齐转向持久化、性能与生产安全。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37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6"/>
      </w:rPr>
      <w:t xml:space="preserve">医学 RAG 系统 · 第 12 阶段  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66666"/>
        <w:sz w:val="17"/>
      </w:rPr>
      <w:t>服务化与接口开发第二部分 · 任务完成报告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微软雅黑" w:hAnsi="微软雅黑" w:eastAsia="微软雅黑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