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33008" w14:textId="77777777" w:rsidR="00D72B2B" w:rsidRPr="00D72B2B" w:rsidRDefault="00D72B2B" w:rsidP="00D72B2B">
      <w:r w:rsidRPr="00D72B2B">
        <w:t>In this section, we treat kinematics in which the relative</w:t>
      </w:r>
    </w:p>
    <w:p w14:paraId="3EA65363" w14:textId="77777777" w:rsidR="00D72B2B" w:rsidRPr="00D72B2B" w:rsidRDefault="00D72B2B" w:rsidP="00D72B2B">
      <w:r w:rsidRPr="00D72B2B">
        <w:t>orientation between two reference frames is time dependent. The time-dependent</w:t>
      </w:r>
    </w:p>
    <w:p w14:paraId="0DD9C473" w14:textId="77777777" w:rsidR="00D72B2B" w:rsidRPr="00D72B2B" w:rsidRDefault="00D72B2B" w:rsidP="00D72B2B">
      <w:r w:rsidRPr="00D72B2B">
        <w:t>relationship between two reference frames is described by the so-called kinematic</w:t>
      </w:r>
    </w:p>
    <w:p w14:paraId="76522E31" w14:textId="77777777" w:rsidR="00D72B2B" w:rsidRPr="00D72B2B" w:rsidRDefault="00D72B2B" w:rsidP="00D72B2B">
      <w:r w:rsidRPr="00D72B2B">
        <w:t>differential equations. In this section, we derive the kinematic differ</w:t>
      </w:r>
    </w:p>
    <w:p w14:paraId="7B8E9A2F" w14:textId="77777777" w:rsidR="00D72B2B" w:rsidRPr="00D72B2B" w:rsidRDefault="00D72B2B" w:rsidP="00D72B2B">
      <w:r w:rsidRPr="00D72B2B">
        <w:t> we derive the kinematic differential equations</w:t>
      </w:r>
    </w:p>
    <w:p w14:paraId="28BDF75C" w14:textId="77777777" w:rsidR="00D72B2B" w:rsidRPr="00D72B2B" w:rsidRDefault="00D72B2B" w:rsidP="00D72B2B">
      <w:r w:rsidRPr="00D72B2B">
        <w:t xml:space="preserve">for the direction cosine matrix, Euler angles, and </w:t>
      </w:r>
      <w:proofErr w:type="spellStart"/>
      <w:r w:rsidRPr="00D72B2B">
        <w:t>quatemions</w:t>
      </w:r>
      <w:proofErr w:type="spellEnd"/>
      <w:r w:rsidRPr="00D72B2B">
        <w:t>.</w:t>
      </w:r>
    </w:p>
    <w:p w14:paraId="6CE64D0A" w14:textId="2B58804E" w:rsidR="00D72B2B" w:rsidRDefault="00D72B2B" w:rsidP="00D72B2B">
      <w:r>
        <w:rPr>
          <w:noProof/>
        </w:rPr>
        <w:drawing>
          <wp:inline distT="0" distB="0" distL="0" distR="0" wp14:anchorId="7D3F0C0B" wp14:editId="7E306F7C">
            <wp:extent cx="5731510" cy="4498975"/>
            <wp:effectExtent l="0" t="0" r="0" b="0"/>
            <wp:docPr id="143549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1763" name="Picture 14354917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5214" w14:textId="77777777" w:rsidR="00D72B2B" w:rsidRDefault="00D72B2B" w:rsidP="00D72B2B"/>
    <w:p w14:paraId="2BA9BEC3" w14:textId="77777777" w:rsidR="00D72B2B" w:rsidRDefault="00D72B2B" w:rsidP="00D72B2B">
      <w:pPr>
        <w:pStyle w:val="p1"/>
      </w:pPr>
      <w:r>
        <w:rPr>
          <w:rStyle w:val="apple-converted-space"/>
          <w:rFonts w:eastAsiaTheme="majorEastAsia"/>
        </w:rPr>
        <w:t> </w:t>
      </w:r>
      <w:r>
        <w:t>we derive the kinematic differential equations</w:t>
      </w:r>
    </w:p>
    <w:p w14:paraId="2A080B6B" w14:textId="77777777" w:rsidR="00D72B2B" w:rsidRDefault="00D72B2B" w:rsidP="00D72B2B">
      <w:pPr>
        <w:pStyle w:val="p1"/>
      </w:pPr>
      <w:r>
        <w:t xml:space="preserve">for the direction cosine matrix, Euler angles, and </w:t>
      </w:r>
      <w:proofErr w:type="spellStart"/>
      <w:r>
        <w:t>quatemions</w:t>
      </w:r>
      <w:proofErr w:type="spellEnd"/>
      <w:r>
        <w:t>.</w:t>
      </w:r>
    </w:p>
    <w:p w14:paraId="3DD8C17C" w14:textId="1A6FDC57" w:rsidR="00D72B2B" w:rsidRDefault="00D72B2B" w:rsidP="00D72B2B">
      <w:r>
        <w:rPr>
          <w:noProof/>
        </w:rPr>
        <w:lastRenderedPageBreak/>
        <w:drawing>
          <wp:inline distT="0" distB="0" distL="0" distR="0" wp14:anchorId="003837A4" wp14:editId="2EB55952">
            <wp:extent cx="5731510" cy="4498975"/>
            <wp:effectExtent l="0" t="0" r="0" b="0"/>
            <wp:docPr id="1936609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9525" name="Picture 1936609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0610" w14:textId="77777777" w:rsidR="00D72B2B" w:rsidRDefault="00D72B2B" w:rsidP="00D72B2B"/>
    <w:p w14:paraId="4E3D7B6F" w14:textId="27B53954" w:rsidR="00D72B2B" w:rsidRDefault="00D72B2B" w:rsidP="00D72B2B">
      <w:r>
        <w:rPr>
          <w:noProof/>
        </w:rPr>
        <w:lastRenderedPageBreak/>
        <w:drawing>
          <wp:inline distT="0" distB="0" distL="0" distR="0" wp14:anchorId="6E65037C" wp14:editId="6948F394">
            <wp:extent cx="5731510" cy="4498975"/>
            <wp:effectExtent l="0" t="0" r="0" b="0"/>
            <wp:docPr id="1211757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7059" name="Picture 1211757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5851" w14:textId="77777777" w:rsidR="00D72B2B" w:rsidRPr="00D72B2B" w:rsidRDefault="00D72B2B" w:rsidP="00D72B2B"/>
    <w:p w14:paraId="30C9650A" w14:textId="77777777" w:rsidR="00D72B2B" w:rsidRPr="00D72B2B" w:rsidRDefault="00D72B2B" w:rsidP="00D72B2B"/>
    <w:p w14:paraId="299801F8" w14:textId="77777777" w:rsidR="00D72B2B" w:rsidRPr="00D72B2B" w:rsidRDefault="00D72B2B" w:rsidP="00D72B2B">
      <w:r w:rsidRPr="00D72B2B">
        <w:t>For further details of rotational kinematics and spacecraft attitude determination,</w:t>
      </w:r>
    </w:p>
    <w:p w14:paraId="479043A3" w14:textId="77777777" w:rsidR="00D72B2B" w:rsidRPr="00D72B2B" w:rsidRDefault="00D72B2B" w:rsidP="00D72B2B">
      <w:r w:rsidRPr="00D72B2B">
        <w:t>the reader is referred to Refs. 11-15.</w:t>
      </w:r>
    </w:p>
    <w:p w14:paraId="047F9511" w14:textId="77777777" w:rsidR="00D72B2B" w:rsidRPr="00D72B2B" w:rsidRDefault="00D72B2B" w:rsidP="00D72B2B">
      <w:r w:rsidRPr="00D72B2B">
        <w:t>Currently, spacecraft attitude determination using the Global Positioning Sys-</w:t>
      </w:r>
    </w:p>
    <w:p w14:paraId="2D866047" w14:textId="77777777" w:rsidR="00D72B2B" w:rsidRPr="00D72B2B" w:rsidRDefault="00D72B2B" w:rsidP="00D72B2B">
      <w:proofErr w:type="spellStart"/>
      <w:r w:rsidRPr="00D72B2B">
        <w:t>tem</w:t>
      </w:r>
      <w:proofErr w:type="spellEnd"/>
      <w:r w:rsidRPr="00D72B2B">
        <w:t xml:space="preserve"> (GPS) is also being considered for near-Earth satellites. The GPS, consisting</w:t>
      </w:r>
    </w:p>
    <w:p w14:paraId="172858FD" w14:textId="77777777" w:rsidR="00D72B2B" w:rsidRPr="00D72B2B" w:rsidRDefault="00D72B2B" w:rsidP="00D72B2B">
      <w:r w:rsidRPr="00D72B2B">
        <w:t>of a constellation of 24 satellites and a ground monitoring and control network,</w:t>
      </w:r>
    </w:p>
    <w:p w14:paraId="01EAA98C" w14:textId="77777777" w:rsidR="00D72B2B" w:rsidRPr="00D72B2B" w:rsidRDefault="00D72B2B" w:rsidP="00D72B2B">
      <w:r w:rsidRPr="00D72B2B">
        <w:t>is widely used for positioning vehicles near the surface of the Earth and for orbit</w:t>
      </w:r>
    </w:p>
    <w:p w14:paraId="227705DA" w14:textId="77777777" w:rsidR="00D72B2B" w:rsidRPr="00D72B2B" w:rsidRDefault="00D72B2B" w:rsidP="00D72B2B">
      <w:r w:rsidRPr="00D72B2B">
        <w:t xml:space="preserve">determination of near-Earth satellites. 16 The GPS is also capable of providing </w:t>
      </w:r>
      <w:proofErr w:type="spellStart"/>
      <w:r w:rsidRPr="00D72B2B">
        <w:t>vehi</w:t>
      </w:r>
      <w:proofErr w:type="spellEnd"/>
      <w:r w:rsidRPr="00D72B2B">
        <w:t>-</w:t>
      </w:r>
    </w:p>
    <w:p w14:paraId="4B283332" w14:textId="77777777" w:rsidR="00D72B2B" w:rsidRPr="00D72B2B" w:rsidRDefault="00D72B2B" w:rsidP="00D72B2B">
      <w:proofErr w:type="spellStart"/>
      <w:r w:rsidRPr="00D72B2B">
        <w:t>cle</w:t>
      </w:r>
      <w:proofErr w:type="spellEnd"/>
      <w:r w:rsidRPr="00D72B2B">
        <w:t xml:space="preserve"> attitude using L-band carrier phase interferometry between multiple antennas.</w:t>
      </w:r>
    </w:p>
    <w:p w14:paraId="6040DC14" w14:textId="77777777" w:rsidR="00D72B2B" w:rsidRPr="00D72B2B" w:rsidRDefault="00D72B2B" w:rsidP="00D72B2B">
      <w:r w:rsidRPr="00D72B2B">
        <w:t>Consequently, GPS-based attitude determination is of current research interest for</w:t>
      </w:r>
    </w:p>
    <w:p w14:paraId="3347E014" w14:textId="77777777" w:rsidR="00D72B2B" w:rsidRPr="00D72B2B" w:rsidRDefault="00D72B2B" w:rsidP="00D72B2B">
      <w:r w:rsidRPr="00D72B2B">
        <w:t>near-Earth satellites because of the potential for reducing the number of onboard</w:t>
      </w:r>
    </w:p>
    <w:p w14:paraId="676C3FEC" w14:textId="77777777" w:rsidR="00D72B2B" w:rsidRPr="00D72B2B" w:rsidRDefault="00D72B2B" w:rsidP="00D72B2B">
      <w:r w:rsidRPr="00D72B2B">
        <w:t>navigation and attitude sensor</w:t>
      </w:r>
    </w:p>
    <w:p w14:paraId="6964D3D1" w14:textId="77777777" w:rsidR="00D72B2B" w:rsidRPr="00D72B2B" w:rsidRDefault="00D72B2B" w:rsidP="00D72B2B"/>
    <w:sectPr w:rsidR="00D72B2B" w:rsidRPr="00D7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2B"/>
    <w:rsid w:val="006460D8"/>
    <w:rsid w:val="00D7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C99F3"/>
  <w15:chartTrackingRefBased/>
  <w15:docId w15:val="{61BE5B95-9824-D842-B896-6E2ED6C6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2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2B2B"/>
    <w:pPr>
      <w:spacing w:after="0" w:line="240" w:lineRule="auto"/>
    </w:pPr>
    <w:rPr>
      <w:rFonts w:ascii="Times New Roman" w:eastAsia="Times New Roman" w:hAnsi="Times New Roman" w:cs="Times New Roman"/>
      <w:color w:val="FFFFFF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72B2B"/>
    <w:rPr>
      <w:rFonts w:ascii="Times New Roman" w:hAnsi="Times New Roman" w:cs="Times New Roman" w:hint="default"/>
      <w:sz w:val="15"/>
      <w:szCs w:val="15"/>
    </w:rPr>
  </w:style>
  <w:style w:type="character" w:customStyle="1" w:styleId="apple-converted-space">
    <w:name w:val="apple-converted-space"/>
    <w:basedOn w:val="DefaultParagraphFont"/>
    <w:rsid w:val="00D72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1</cp:revision>
  <dcterms:created xsi:type="dcterms:W3CDTF">2025-12-04T08:23:00Z</dcterms:created>
  <dcterms:modified xsi:type="dcterms:W3CDTF">2025-12-04T08:29:00Z</dcterms:modified>
</cp:coreProperties>
</file>