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9F94D" w14:textId="6FBC1E9C" w:rsidR="00552C6E" w:rsidRPr="00B030CC" w:rsidRDefault="00B030CC" w:rsidP="00B030CC">
      <w:pPr>
        <w:rPr>
          <w:rFonts w:ascii="Times New Roman" w:hAnsi="Times New Roman" w:cs="Times New Roman"/>
        </w:rPr>
      </w:pPr>
      <w:r w:rsidRPr="00B030CC">
        <w:rPr>
          <w:rFonts w:ascii="Times New Roman" w:hAnsi="Times New Roman" w:cs="Times New Roman"/>
        </w:rPr>
        <w:t>Introduction</w:t>
      </w:r>
    </w:p>
    <w:p w14:paraId="05186551" w14:textId="77777777" w:rsidR="00B030CC" w:rsidRDefault="00B030CC" w:rsidP="00B030CC">
      <w:pPr>
        <w:rPr>
          <w:rFonts w:asciiTheme="majorBidi" w:hAnsiTheme="majorBidi" w:cstheme="majorBidi"/>
        </w:rPr>
      </w:pPr>
      <w:r w:rsidRPr="009668A6">
        <w:rPr>
          <w:rFonts w:asciiTheme="majorBidi" w:hAnsiTheme="majorBidi" w:cstheme="majorBidi"/>
        </w:rPr>
        <w:t xml:space="preserve">Organic solar cells are a promising source of renewable energy that can be widely adopted </w:t>
      </w:r>
      <w:proofErr w:type="gramStart"/>
      <w:r w:rsidRPr="009668A6">
        <w:rPr>
          <w:rFonts w:asciiTheme="majorBidi" w:hAnsiTheme="majorBidi" w:cstheme="majorBidi"/>
        </w:rPr>
        <w:t>in order to</w:t>
      </w:r>
      <w:proofErr w:type="gramEnd"/>
      <w:r w:rsidRPr="009668A6">
        <w:rPr>
          <w:rFonts w:asciiTheme="majorBidi" w:hAnsiTheme="majorBidi" w:cstheme="majorBidi"/>
        </w:rPr>
        <w:t xml:space="preserve"> reduce carbon emissions and dependence on energy imports, while increasing energy security. We reported a theoretical study of new thiophene derivatives (M1-M4) as electron </w:t>
      </w:r>
      <w:proofErr w:type="gramStart"/>
      <w:r w:rsidRPr="009668A6">
        <w:rPr>
          <w:rFonts w:asciiTheme="majorBidi" w:hAnsiTheme="majorBidi" w:cstheme="majorBidi"/>
        </w:rPr>
        <w:t>donor</w:t>
      </w:r>
      <w:proofErr w:type="gramEnd"/>
      <w:r w:rsidRPr="009668A6">
        <w:rPr>
          <w:rFonts w:asciiTheme="majorBidi" w:hAnsiTheme="majorBidi" w:cstheme="majorBidi"/>
        </w:rPr>
        <w:t xml:space="preserve"> in organic solar cells using density functional theory and time dependent density functional theory. We examined the molecular electrostatic potential, frontier orbitals, global reactivity, and optical properties of the designed molecules. The results indicate that the molecules have a low band gap and good optical properties. By using phenyl-C61-butyric acid methyl ester (PCBM) as the electron acceptor, we also investigated the photovoltaic characteristics of the donors and found that they have an optimum open-circuit voltage, and an efficient alignment energy level between the designed donor molecules and the acceptor PCBM. These findings suggest that further research in this area may improve the efficiency of organic solar cells.</w:t>
      </w:r>
    </w:p>
    <w:p w14:paraId="7D0E0488" w14:textId="77777777" w:rsidR="005B257C" w:rsidRPr="00C64CA0" w:rsidRDefault="005B257C" w:rsidP="005B257C">
      <w:pPr>
        <w:rPr>
          <w:b/>
          <w:bCs/>
        </w:rPr>
      </w:pPr>
      <w:r w:rsidRPr="00C64CA0">
        <w:rPr>
          <w:b/>
          <w:bCs/>
        </w:rPr>
        <w:t>Computational Methods</w:t>
      </w:r>
    </w:p>
    <w:p w14:paraId="58245687" w14:textId="011B0E13" w:rsidR="00B030CC" w:rsidRPr="009825CE" w:rsidRDefault="005B257C" w:rsidP="009825CE">
      <w:pPr>
        <w:jc w:val="both"/>
        <w:rPr>
          <w:rFonts w:ascii="Times New Roman" w:hAnsi="Times New Roman" w:cs="Times New Roman"/>
        </w:rPr>
      </w:pPr>
      <w:r w:rsidRPr="009825CE">
        <w:rPr>
          <w:rFonts w:ascii="Times New Roman" w:hAnsi="Times New Roman" w:cs="Times New Roman"/>
        </w:rPr>
        <w:t xml:space="preserve">Quantum chemistry calculations have been performed utilizing the Gaussian 16 software package </w:t>
      </w:r>
      <w:r w:rsidRPr="009825CE">
        <w:rPr>
          <w:rFonts w:ascii="Times New Roman" w:hAnsi="Times New Roman" w:cs="Times New Roman"/>
        </w:rPr>
        <w:fldChar w:fldCharType="begin"/>
      </w:r>
      <w:r w:rsidRPr="009825CE">
        <w:rPr>
          <w:rFonts w:ascii="Times New Roman" w:hAnsi="Times New Roman" w:cs="Times New Roman"/>
        </w:rPr>
        <w:instrText xml:space="preserve"> ADDIN ZOTERO_ITEM CSL_CITATION {"citationID":"ThLFsP7G","properties":{"formattedCitation":"[14]","plainCitation":"[14]","noteIndex":0},"citationItems":[{"id":1429,"uris":["http://zotero.org/users/13602426/items/KQUS7QN6"],"itemData":{"id":1429,"type":"article-journal","abstract":"Perylenediimides are ideal candidates for the substitution of fullerene derivatives as electron acceptors in bulk heterojunction organic solar cells due to their extremely intense light absorbance, high electron mobility and excellent photochemical stability.\n          , \n            Perylenediimides are ideal candidates for the substitution of fullerene derivatives as electron acceptors in bulk heterojunction organic solar cells due to their extremely intense light absorbance, high electron mobility and excellent photochemical stability. In this review article, we briefly highlight the recent progress in highly efficient perylenediimide dyes characterized by a reduction of the cofacial stacking without an adverse impact in their charge-transport properties, which has led to PCEs higher than 8.4%.","container-title":"Journal of Materials Chemistry A","DOI":"10.1039/C6TA02045C","ISSN":"2050-7488, 2050-7496","issue":"24","journalAbbreviation":"J. Mater. Chem. A","language":"en","page":"9336-9346","source":"DOI.org (Crossref)","title":"Perylenediimides as non-fullerene acceptors in bulk-heterojunction solar cells (BHJSCs)","volume":"4","author":[{"family":"Fernández-Lázaro","given":"Fernando"},{"family":"Zink-Lorre","given":"Nathalie"},{"family":"Sastre-Santos","given":"Ángela"}],"issued":{"date-parts":[["2016"]]}}}],"schema":"https://github.com/citation-style-language/schema/raw/master/csl-citation.json"} </w:instrText>
      </w:r>
      <w:r w:rsidRPr="009825CE">
        <w:rPr>
          <w:rFonts w:ascii="Times New Roman" w:hAnsi="Times New Roman" w:cs="Times New Roman"/>
        </w:rPr>
        <w:fldChar w:fldCharType="separate"/>
      </w:r>
      <w:r w:rsidRPr="009825CE">
        <w:rPr>
          <w:rFonts w:ascii="Times New Roman" w:hAnsi="Times New Roman" w:cs="Times New Roman"/>
        </w:rPr>
        <w:t>[14]</w:t>
      </w:r>
      <w:r w:rsidRPr="009825CE">
        <w:rPr>
          <w:rFonts w:ascii="Times New Roman" w:hAnsi="Times New Roman" w:cs="Times New Roman"/>
          <w:lang w:val="fr-FR"/>
        </w:rPr>
        <w:fldChar w:fldCharType="end"/>
      </w:r>
      <w:r w:rsidRPr="009825CE">
        <w:rPr>
          <w:rFonts w:ascii="Times New Roman" w:hAnsi="Times New Roman" w:cs="Times New Roman"/>
        </w:rPr>
        <w:t xml:space="preserve">. Before selecting the final basis set and DFT functional for geometry optimization and charge transfer excited states of PTP/TMX based evaluated materials, four different representative functionals of density functional theory, namely B3LYP </w:t>
      </w:r>
      <w:r w:rsidRPr="009825CE">
        <w:rPr>
          <w:rFonts w:ascii="Times New Roman" w:hAnsi="Times New Roman" w:cs="Times New Roman"/>
        </w:rPr>
        <w:fldChar w:fldCharType="begin"/>
      </w:r>
      <w:r w:rsidRPr="009825CE">
        <w:rPr>
          <w:rFonts w:ascii="Times New Roman" w:hAnsi="Times New Roman" w:cs="Times New Roman"/>
        </w:rPr>
        <w:instrText xml:space="preserve"> ADDIN ZOTERO_ITEM CSL_CITATION {"citationID":"oHGh3PBg","properties":{"formattedCitation":"[17]","plainCitation":"[17]","noteIndex":0},"citationItems":[{"id":1433,"uris":["http://zotero.org/users/13602426/items/ZN2QPHHS"],"itemData":{"id":1433,"type":"article-journal","container-title":"CrystEngComm","DOI":"10.1039/B715018K","ISSN":"1466-8033","issue":"4","journalAbbreviation":"CrystEngComm","language":"en","page":"405-410","source":"DOI.org (Crossref)","title":"B3LYP augmented with an empirical dispersion term (B3LYP-D*) as applied to molecular crystals","volume":"10","author":[{"family":"Civalleri","given":"Bartolomeo"},{"family":"Zicovich-Wilson","given":"Claudio M."},{"family":"Valenzano","given":"Loredana"},{"family":"Ugliengo","given":"Piero"}],"issued":{"date-parts":[["2008"]]}}}],"schema":"https://github.com/citation-style-language/schema/raw/master/csl-citation.json"} </w:instrText>
      </w:r>
      <w:r w:rsidRPr="009825CE">
        <w:rPr>
          <w:rFonts w:ascii="Times New Roman" w:hAnsi="Times New Roman" w:cs="Times New Roman"/>
        </w:rPr>
        <w:fldChar w:fldCharType="separate"/>
      </w:r>
      <w:r w:rsidRPr="009825CE">
        <w:rPr>
          <w:rFonts w:ascii="Times New Roman" w:hAnsi="Times New Roman" w:cs="Times New Roman"/>
        </w:rPr>
        <w:t>[15]</w:t>
      </w:r>
      <w:r w:rsidRPr="009825CE">
        <w:rPr>
          <w:rFonts w:ascii="Times New Roman" w:hAnsi="Times New Roman" w:cs="Times New Roman"/>
          <w:lang w:val="fr-FR"/>
        </w:rPr>
        <w:fldChar w:fldCharType="end"/>
      </w:r>
      <w:r w:rsidRPr="009825CE">
        <w:rPr>
          <w:rFonts w:ascii="Times New Roman" w:hAnsi="Times New Roman" w:cs="Times New Roman"/>
        </w:rPr>
        <w:t xml:space="preserve">, CAM-B3LYP </w:t>
      </w:r>
      <w:r w:rsidRPr="009825CE">
        <w:rPr>
          <w:rFonts w:ascii="Times New Roman" w:hAnsi="Times New Roman" w:cs="Times New Roman"/>
        </w:rPr>
        <w:fldChar w:fldCharType="begin"/>
      </w:r>
      <w:r w:rsidRPr="009825CE">
        <w:rPr>
          <w:rFonts w:ascii="Times New Roman" w:hAnsi="Times New Roman" w:cs="Times New Roman"/>
        </w:rPr>
        <w:instrText xml:space="preserve"> ADDIN ZOTERO_ITEM CSL_CITATION {"citationID":"W8H0TWmi","properties":{"formattedCitation":"[18]","plainCitation":"[18]","noteIndex":0},"citationItems":[{"id":1434,"uris":["http://zotero.org/users/13602426/items/ST723L6E"],"itemData":{"id":1434,"type":"article-journal","container-title":"Chemical Physics Letters","DOI":"10.1016/j.cplett.2004.06.011","ISSN":"00092614","issue":"1-3","journalAbbreviation":"Chemical Physics Letters","language":"en","license":"https://www.elsevier.com/tdm/userlicense/1.0/","page":"51-57","source":"DOI.org (Crossref)","title":"A new hybrid exchange–correlation functional using the Coulomb-attenuating method (CAM-B3LYP)","volume":"393","author":[{"family":"Yanai","given":"Takeshi"},{"family":"Tew","given":"David P"},{"family":"Handy","given":"Nicholas C"}],"issued":{"date-parts":[["2004",7]]}}}],"schema":"https://github.com/citation-style-language/schema/raw/master/csl-citation.json"} </w:instrText>
      </w:r>
      <w:r w:rsidRPr="009825CE">
        <w:rPr>
          <w:rFonts w:ascii="Times New Roman" w:hAnsi="Times New Roman" w:cs="Times New Roman"/>
        </w:rPr>
        <w:fldChar w:fldCharType="separate"/>
      </w:r>
      <w:r w:rsidRPr="009825CE">
        <w:rPr>
          <w:rFonts w:ascii="Times New Roman" w:hAnsi="Times New Roman" w:cs="Times New Roman"/>
        </w:rPr>
        <w:t>[16]</w:t>
      </w:r>
      <w:r w:rsidRPr="009825CE">
        <w:rPr>
          <w:rFonts w:ascii="Times New Roman" w:hAnsi="Times New Roman" w:cs="Times New Roman"/>
          <w:lang w:val="fr-FR"/>
        </w:rPr>
        <w:fldChar w:fldCharType="end"/>
      </w:r>
      <w:r w:rsidRPr="009825CE">
        <w:rPr>
          <w:rFonts w:ascii="Times New Roman" w:hAnsi="Times New Roman" w:cs="Times New Roman"/>
        </w:rPr>
        <w:t xml:space="preserve">, MPW1PW91 </w:t>
      </w:r>
      <w:r w:rsidRPr="009825CE">
        <w:rPr>
          <w:rFonts w:ascii="Times New Roman" w:hAnsi="Times New Roman" w:cs="Times New Roman"/>
        </w:rPr>
        <w:fldChar w:fldCharType="begin"/>
      </w:r>
      <w:r w:rsidRPr="009825CE">
        <w:rPr>
          <w:rFonts w:ascii="Times New Roman" w:hAnsi="Times New Roman" w:cs="Times New Roman"/>
        </w:rPr>
        <w:instrText xml:space="preserve"> ADDIN ZOTERO_ITEM CSL_CITATION {"citationID":"pxUzZrD9","properties":{"formattedCitation":"[19]","plainCitation":"[19]","noteIndex":0},"citationItems":[{"id":1436,"uris":["http://zotero.org/users/13602426/items/SYIQPC83"],"itemData":{"id":1436,"type":"article-journal","abstract":"Starting from an analysis of the low-density and large gradient regions which dominate van der Waals interactions, we propose a modification of the exchange functional introduced by Perdew and Wang, which significantly enlarges its field of applications. This is obtained without increasing the number of adjustable parameters and retaining all the asymptotic and scaling properties of the original model. Coupling the new exchange functional to the correlation functional also proposed by Perdew and Wang leads to the mPWPW model, which represents the most accurate generalized gradient approximation available until now. We next introduce an adiabatic connection method in which the ratio between exact and density functional exchange is determined a priori from purely theoretical considerations and no further parameters are present. The resulting mPW1PW model allows to obtain remarkable results both for covalent and noncovalent interactions in a quite satisfactory theoretical framework encompassing the free electron gas limit and most of the known scaling conditions. The new functionals have been coded with their derivatives in the Gaussian series of programs, thus allowing fully self-consistent computations of energy and properties together with analytical evaluation of first and second geometry derivatives.","container-title":"The Journal of Chemical Physics","DOI":"10.1063/1.475428","ISSN":"0021-9606, 1089-7690","issue":"2","language":"en","page":"664-675","source":"DOI.org (Crossref)","title":"Exchange functionals with improved long-range behavior and adiabatic connection methods without adjustable parameters: The mPW and mPW1PW models","title-short":"Exchange functionals with improved long-range behavior and adiabatic connection methods without adjustable parameters","volume":"108","author":[{"family":"Adamo","given":"Carlo"},{"family":"Barone","given":"Vincenzo"}],"issued":{"date-parts":[["1998",1,8]]}}}],"schema":"https://github.com/citation-style-language/schema/raw/master/csl-citation.json"} </w:instrText>
      </w:r>
      <w:r w:rsidRPr="009825CE">
        <w:rPr>
          <w:rFonts w:ascii="Times New Roman" w:hAnsi="Times New Roman" w:cs="Times New Roman"/>
        </w:rPr>
        <w:fldChar w:fldCharType="separate"/>
      </w:r>
      <w:r w:rsidRPr="009825CE">
        <w:rPr>
          <w:rFonts w:ascii="Times New Roman" w:hAnsi="Times New Roman" w:cs="Times New Roman"/>
        </w:rPr>
        <w:t>[17]</w:t>
      </w:r>
      <w:r w:rsidRPr="009825CE">
        <w:rPr>
          <w:rFonts w:ascii="Times New Roman" w:hAnsi="Times New Roman" w:cs="Times New Roman"/>
          <w:lang w:val="fr-FR"/>
        </w:rPr>
        <w:fldChar w:fldCharType="end"/>
      </w:r>
      <w:r w:rsidRPr="009825CE">
        <w:rPr>
          <w:rFonts w:ascii="Times New Roman" w:hAnsi="Times New Roman" w:cs="Times New Roman"/>
        </w:rPr>
        <w:t xml:space="preserve">, and ωb97xd </w:t>
      </w:r>
      <w:r w:rsidRPr="009825CE">
        <w:rPr>
          <w:rFonts w:ascii="Times New Roman" w:hAnsi="Times New Roman" w:cs="Times New Roman"/>
        </w:rPr>
        <w:fldChar w:fldCharType="begin"/>
      </w:r>
      <w:r w:rsidRPr="009825CE">
        <w:rPr>
          <w:rFonts w:ascii="Times New Roman" w:hAnsi="Times New Roman" w:cs="Times New Roman"/>
        </w:rPr>
        <w:instrText xml:space="preserve"> ADDIN ZOTERO_ITEM CSL_CITATION {"citationID":"2D74AKXS","properties":{"formattedCitation":"[20]","plainCitation":"[20]","noteIndex":0},"citationItems":[{"id":1438,"uris":["http://zotero.org/users/13602426/items/Z9Z6AQKG"],"itemData":{"id":1438,"type":"article-journal","container-title":"Physical Chemistry Chemical Physics","DOI":"10.1039/b810189b","ISSN":"1463-9076, 1463-9084","issue":"44","journalAbbreviation":"Phys. Chem. Chem. Phys.","language":"en","page":"6615","source":"DOI.org (Crossref)","title":"Long-range corrected hybrid density functionals with damped atom–atom dispersion corrections","volume":"10","author":[{"family":"Chai","given":"Jeng-Da"},{"family":"Head-Gordon","given":"Martin"}],"issued":{"date-parts":[["2008"]]}}}],"schema":"https://github.com/citation-style-language/schema/raw/master/csl-citation.json"} </w:instrText>
      </w:r>
      <w:r w:rsidRPr="009825CE">
        <w:rPr>
          <w:rFonts w:ascii="Times New Roman" w:hAnsi="Times New Roman" w:cs="Times New Roman"/>
        </w:rPr>
        <w:fldChar w:fldCharType="separate"/>
      </w:r>
      <w:r w:rsidRPr="009825CE">
        <w:rPr>
          <w:rFonts w:ascii="Times New Roman" w:hAnsi="Times New Roman" w:cs="Times New Roman"/>
        </w:rPr>
        <w:t>[18]</w:t>
      </w:r>
      <w:r w:rsidRPr="009825CE">
        <w:rPr>
          <w:rFonts w:ascii="Times New Roman" w:hAnsi="Times New Roman" w:cs="Times New Roman"/>
          <w:lang w:val="fr-FR"/>
        </w:rPr>
        <w:fldChar w:fldCharType="end"/>
      </w:r>
      <w:r w:rsidRPr="009825CE">
        <w:rPr>
          <w:rFonts w:ascii="Times New Roman" w:hAnsi="Times New Roman" w:cs="Times New Roman"/>
        </w:rPr>
        <w:t xml:space="preserve"> with a double zeta basis set 6-31 G (d, p), were utilized for optimal reliability of theoretical calculations. The energy values of the highest occupied molecular orbitals (HOMO) and lowest unoccupied molecular orbitals (LUMO), along with their maximum absorption wavelength and photoexcited characteristics, indicated that the B3LYP functional is particularly appropriate for studying the designed molecules </w:t>
      </w:r>
      <w:r w:rsidRPr="009825CE">
        <w:rPr>
          <w:rFonts w:ascii="Times New Roman" w:hAnsi="Times New Roman" w:cs="Times New Roman"/>
        </w:rPr>
        <w:fldChar w:fldCharType="begin"/>
      </w:r>
      <w:r w:rsidRPr="009825CE">
        <w:rPr>
          <w:rFonts w:ascii="Times New Roman" w:hAnsi="Times New Roman" w:cs="Times New Roman"/>
        </w:rPr>
        <w:instrText xml:space="preserve"> ADDIN ZOTERO_ITEM CSL_CITATION {"citationID":"iqWlIAVO","properties":{"formattedCitation":"[21]","plainCitation":"[21]","noteIndex":0},"citationItems":[{"id":1439,"uris":["http://zotero.org/users/13602426/items/LTG6N27M"],"itemData":{"id":1439,"type":"article-journal","container-title":"Journal of Molecular Graphics and Modelling","DOI":"10.1016/j.jmgm.2023.108622","ISSN":"10933263","journalAbbreviation":"Journal of Molecular Graphics and Modelling","language":"en","page":"108622","source":"DOI.org (Crossref)","title":"Theoretical investigation of novel electron donors for bulk heterojunction solar cells with potential photovoltaic characteristics","volume":"125","author":[{"family":"El Ghazali","given":"Ahlam"},{"family":"Aboulouard","given":"Abdelkhalk"},{"family":"Gultekin","given":"Burak"},{"family":"Tounsi","given":"Abdessamad"},{"family":"El Idrissi","given":"Mohammed"}],"issued":{"date-parts":[["2023",12]]}}}],"schema":"https://github.com/citation-style-language/schema/raw/master/csl-citation.json"} </w:instrText>
      </w:r>
      <w:r w:rsidRPr="009825CE">
        <w:rPr>
          <w:rFonts w:ascii="Times New Roman" w:hAnsi="Times New Roman" w:cs="Times New Roman"/>
        </w:rPr>
        <w:fldChar w:fldCharType="separate"/>
      </w:r>
      <w:r w:rsidRPr="009825CE">
        <w:rPr>
          <w:rFonts w:ascii="Times New Roman" w:hAnsi="Times New Roman" w:cs="Times New Roman"/>
        </w:rPr>
        <w:t>[19]</w:t>
      </w:r>
      <w:r w:rsidRPr="009825CE">
        <w:rPr>
          <w:rFonts w:ascii="Times New Roman" w:hAnsi="Times New Roman" w:cs="Times New Roman"/>
          <w:lang w:val="fr-FR"/>
        </w:rPr>
        <w:fldChar w:fldCharType="end"/>
      </w:r>
      <w:r w:rsidRPr="009825CE">
        <w:rPr>
          <w:rFonts w:ascii="Times New Roman" w:hAnsi="Times New Roman" w:cs="Times New Roman"/>
        </w:rPr>
        <w:t xml:space="preserve">. In this preliminary analysis, ground state properties had computed using density functional theory (DFT), while excited state charge transfer properties were assessed through time-dependent density functional theory (TD-DFT) with the polarizable continuum model (PCM) and in organic chloroform solvent </w:t>
      </w:r>
      <w:r w:rsidRPr="009825CE">
        <w:rPr>
          <w:rFonts w:ascii="Times New Roman" w:hAnsi="Times New Roman" w:cs="Times New Roman"/>
        </w:rPr>
        <w:fldChar w:fldCharType="begin"/>
      </w:r>
      <w:r w:rsidRPr="009825CE">
        <w:rPr>
          <w:rFonts w:ascii="Times New Roman" w:hAnsi="Times New Roman" w:cs="Times New Roman"/>
        </w:rPr>
        <w:instrText xml:space="preserve"> ADDIN ZOTERO_ITEM CSL_CITATION {"citationID":"jn9Kf5G4","properties":{"formattedCitation":"[22]","plainCitation":"[22]","noteIndex":0},"citationItems":[{"id":1440,"uris":["http://zotero.org/users/13602426/items/4LVHHVA5"],"itemData":{"id":1440,"type":"article-journal","container-title":"Spectrochimica Acta Part A: Molecular and Biomolecular Spectroscopy","DOI":"10.1016/j.saa.2022.121610","ISSN":"13861425","journalAbbreviation":"Spectrochimica Acta Part A: Molecular and Biomolecular Spectroscopy","language":"en","page":"121610","source":"DOI.org (Crossref)","title":"An extension of electron acceptor sites around Thiazolothiazole unit for evaluation of large power conversion efficiency: A theoretical insight","title-short":"An extension of electron acceptor sites around Thiazolothiazole unit for evaluation of large power conversion efficiency","volume":"281","author":[{"family":"Ali","given":"Usman"},{"family":"Abbas","given":"Faheem"}],"issued":{"date-parts":[["2022",11]]}}}],"schema":"https://github.com/citation-style-language/schema/raw/master/csl-citation.json"} </w:instrText>
      </w:r>
      <w:r w:rsidRPr="009825CE">
        <w:rPr>
          <w:rFonts w:ascii="Times New Roman" w:hAnsi="Times New Roman" w:cs="Times New Roman"/>
        </w:rPr>
        <w:fldChar w:fldCharType="separate"/>
      </w:r>
      <w:r w:rsidRPr="009825CE">
        <w:rPr>
          <w:rFonts w:ascii="Times New Roman" w:hAnsi="Times New Roman" w:cs="Times New Roman"/>
        </w:rPr>
        <w:t>[20]</w:t>
      </w:r>
      <w:r w:rsidRPr="009825CE">
        <w:rPr>
          <w:rFonts w:ascii="Times New Roman" w:hAnsi="Times New Roman" w:cs="Times New Roman"/>
          <w:lang w:val="fr-FR"/>
        </w:rPr>
        <w:fldChar w:fldCharType="end"/>
      </w:r>
      <w:r w:rsidRPr="009825CE">
        <w:rPr>
          <w:rFonts w:ascii="Times New Roman" w:hAnsi="Times New Roman" w:cs="Times New Roman"/>
        </w:rPr>
        <w:t xml:space="preserve">. Furthermore, the key electronic parameters that govern photovoltaics behavior had computed using optimized geometries. The energy values of the HOMO and the LUMO were directly extracted from the DFT outputs </w:t>
      </w:r>
      <w:r w:rsidRPr="009825CE">
        <w:rPr>
          <w:rFonts w:ascii="Times New Roman" w:hAnsi="Times New Roman" w:cs="Times New Roman"/>
        </w:rPr>
        <w:fldChar w:fldCharType="begin"/>
      </w:r>
      <w:r w:rsidRPr="009825CE">
        <w:rPr>
          <w:rFonts w:ascii="Times New Roman" w:hAnsi="Times New Roman" w:cs="Times New Roman"/>
        </w:rPr>
        <w:instrText xml:space="preserve"> ADDIN ZOTERO_ITEM CSL_CITATION {"citationID":"sL0mb1oY","properties":{"formattedCitation":"[24]","plainCitation":"[24]","noteIndex":0},"citationItems":[{"id":1472,"uris":["http://zotero.org/users/13602426/items/5PERFP9P"],"itemData":{"id":1472,"type":"article-journal","abstract":"Abstract\n            \n              Considering the increased demand and potential of photovoltaic devices in clean, renewable electrical and hi-tech applications, non-fullerene acceptor (NFA) chromophores have gained significant attention. Herein, six novel NFA molecules\n              IBRD1\n              –\n              IBRD6\n              have been designed by structural modification of the terminal moieties from experimentally synthesized A2-A1-D-A1-A2 architecture\n              IBR\n              for better integration in organic solar cells (OSCs). To exploit the electronic, photophysical and photovoltaic behavior, density functional theory/time dependent-density functional theory (DFT/TD-DFT) computations were performed at M06/6-311G(\n              d\n              ,\n              p\n              ) functional. The geometry, electrical and optical properties of the designed acceptor molecules were compared with reported\n              IBR\n              architecture. Interestingly, a reduction in bandgap (2.528–2.126 eV), with a broader absorption spectrum, was studied in\n              IBR\n              derivatives (2.734 eV). Additionally, frontier molecular orbital findings revealed an excellent transfer of charge from donor to terminal acceptors and the central indenoindene-core was considered responsible for the charge transfer. Among all the chromophores,\n              IBRD3\n              manifested the lowest energy gap (2.126 eV) with higher\n              λ\n              \n                max\n              \n              at 734 and 745 nm in gaseous phase and solvent (chloroform), respectively due to the strong electron-withdrawing effect of five end-capped cyano groups present on the terminal acceptor. The transition density matrix map revealed an excellent charge transfer from donor to terminal acceptors. Further, to investigate the charge transfer and open-circuit voltage (\n              V\n              \n                oc\n              \n              ),\n              PBDBT\n              donor polymer was blended with acceptor chromophores, and a significant\n              V\n              \n                oc\n              \n              (0.696–1.854 V) was observed. Intriguingly, all compounds exhibited lower reorganization and binding energy with a higher exciton dissociation in an excited state. This investigation indicates that these designed chromophores can serve as excellent electron acceptor molecules in organic solar cells (OSCs) that make them attractive candidates for the development of scalable and inexpensive optoelectronic devices.","container-title":"Scientific Reports","DOI":"10.1038/s41598-021-99308-7","ISSN":"2045-2322","issue":"1","journalAbbreviation":"Sci Rep","language":"en","page":"20320","source":"DOI.org (Crossref)","title":"Molecular engineering of indenoindene-3-ethylrodanine acceptors with A2-A1-D-A1-A2 architecture for promising fullerene-free organic solar cells","volume":"11","author":[{"family":"Khalid","given":"Muhammad"},{"literal":"Momina"},{"family":"Imran","given":"Muhammad"},{"family":"Rehman","given":"Muhammad Fayyaz Ur"},{"family":"Braga","given":"Ataualpa Albert Carmo"},{"family":"Akram","given":"Muhammad Safwan"}],"issued":{"date-parts":[["2021",10,13]]}}}],"schema":"https://github.com/citation-style-language/schema/raw/master/csl-citation.json"} </w:instrText>
      </w:r>
      <w:r w:rsidRPr="009825CE">
        <w:rPr>
          <w:rFonts w:ascii="Times New Roman" w:hAnsi="Times New Roman" w:cs="Times New Roman"/>
        </w:rPr>
        <w:fldChar w:fldCharType="separate"/>
      </w:r>
      <w:r w:rsidRPr="009825CE">
        <w:rPr>
          <w:rFonts w:ascii="Times New Roman" w:hAnsi="Times New Roman" w:cs="Times New Roman"/>
        </w:rPr>
        <w:t>[21]</w:t>
      </w:r>
      <w:r w:rsidRPr="009825CE">
        <w:rPr>
          <w:rFonts w:ascii="Times New Roman" w:hAnsi="Times New Roman" w:cs="Times New Roman"/>
          <w:lang w:val="fr-FR"/>
        </w:rPr>
        <w:fldChar w:fldCharType="end"/>
      </w:r>
      <w:r w:rsidRPr="009825CE">
        <w:rPr>
          <w:rFonts w:ascii="Times New Roman" w:hAnsi="Times New Roman" w:cs="Times New Roman"/>
        </w:rPr>
        <w:t xml:space="preserve">. This analysis calculates the ground state properties using DFT and charge transfer properties in the excited state had computed with TD-DFT </w:t>
      </w:r>
      <w:r w:rsidRPr="009825CE">
        <w:rPr>
          <w:rFonts w:ascii="Times New Roman" w:hAnsi="Times New Roman" w:cs="Times New Roman"/>
        </w:rPr>
        <w:fldChar w:fldCharType="begin"/>
      </w:r>
      <w:r w:rsidRPr="009825CE">
        <w:rPr>
          <w:rFonts w:ascii="Times New Roman" w:hAnsi="Times New Roman" w:cs="Times New Roman"/>
        </w:rPr>
        <w:instrText xml:space="preserve"> ADDIN ZOTERO_ITEM CSL_CITATION {"citationID":"4Do4Izf3","properties":{"formattedCitation":"[25]","plainCitation":"[25]","noteIndex":0},"citationItems":[{"id":1473,"uris":["http://zotero.org/users/13602426/items/E73G76U3"],"itemData":{"id":1473,"type":"article-journal","container-title":"Journal of Molecular Graphics and Modelling","DOI":"10.1016/j.jmgm.2023.108613","ISSN":"10933263","journalAbbreviation":"Journal of Molecular Graphics and Modelling","language":"en","page":"108613","source":"DOI.org (Crossref)","title":"A DFT study for improving the photovoltaic performance of organic solar cells by designing symmetric non-fullerene acceptors by quantum chemical modification on pre-existed LC81 molecule","volume":"125","author":[{"family":"Zahoor","given":"Amna"},{"family":"Sadiq","given":"Sonia"},{"family":"Khera","given":"Rasheed Ahmad"},{"family":"Essid","given":"Manel"},{"family":"Aloui","given":"Zouhaier"},{"family":"Alatawi","given":"Naifa S."},{"family":"Ibrahim","given":"Mahmoud A.A."},{"family":"Hasanin","given":"Tamer H.A."},{"family":"Waqas","given":"Muhammad"}],"issued":{"date-parts":[["2023",12]]}}}],"schema":"https://github.com/citation-style-language/schema/raw/master/csl-citation.json"} </w:instrText>
      </w:r>
      <w:r w:rsidRPr="009825CE">
        <w:rPr>
          <w:rFonts w:ascii="Times New Roman" w:hAnsi="Times New Roman" w:cs="Times New Roman"/>
        </w:rPr>
        <w:fldChar w:fldCharType="separate"/>
      </w:r>
      <w:r w:rsidRPr="009825CE">
        <w:rPr>
          <w:rFonts w:ascii="Times New Roman" w:hAnsi="Times New Roman" w:cs="Times New Roman"/>
        </w:rPr>
        <w:t>[22]</w:t>
      </w:r>
      <w:r w:rsidRPr="009825CE">
        <w:rPr>
          <w:rFonts w:ascii="Times New Roman" w:hAnsi="Times New Roman" w:cs="Times New Roman"/>
          <w:lang w:val="fr-FR"/>
        </w:rPr>
        <w:fldChar w:fldCharType="end"/>
      </w:r>
      <w:r w:rsidRPr="009825CE">
        <w:rPr>
          <w:rFonts w:ascii="Times New Roman" w:hAnsi="Times New Roman" w:cs="Times New Roman"/>
        </w:rPr>
        <w:t xml:space="preserve">, utilizing the PCM and the organic tetrahydrofuran solvent </w:t>
      </w:r>
      <w:r w:rsidRPr="009825CE">
        <w:rPr>
          <w:rFonts w:ascii="Times New Roman" w:hAnsi="Times New Roman" w:cs="Times New Roman"/>
        </w:rPr>
        <w:fldChar w:fldCharType="begin"/>
      </w:r>
      <w:r w:rsidRPr="009825CE">
        <w:rPr>
          <w:rFonts w:ascii="Times New Roman" w:hAnsi="Times New Roman" w:cs="Times New Roman"/>
        </w:rPr>
        <w:instrText xml:space="preserve"> ADDIN ZOTERO_ITEM CSL_CITATION {"citationID":"vKgnwff4","properties":{"formattedCitation":"[22]","plainCitation":"[22]","noteIndex":0},"citationItems":[{"id":1440,"uris":["http://zotero.org/users/13602426/items/4LVHHVA5"],"itemData":{"id":1440,"type":"article-journal","container-title":"Spectrochimica Acta Part A: Molecular and Biomolecular Spectroscopy","DOI":"10.1016/j.saa.2022.121610","ISSN":"13861425","journalAbbreviation":"Spectrochimica Acta Part A: Molecular and Biomolecular Spectroscopy","language":"en","page":"121610","source":"DOI.org (Crossref)","title":"An extension of electron acceptor sites around Thiazolothiazole unit for evaluation of large power conversion efficiency: A theoretical insight","title-short":"An extension of electron acceptor sites around Thiazolothiazole unit for evaluation of large power conversion efficiency","volume":"281","author":[{"family":"Ali","given":"Usman"},{"family":"Abbas","given":"Faheem"}],"issued":{"date-parts":[["2022",11]]}}}],"schema":"https://github.com/citation-style-language/schema/raw/master/csl-citation.json"} </w:instrText>
      </w:r>
      <w:r w:rsidRPr="009825CE">
        <w:rPr>
          <w:rFonts w:ascii="Times New Roman" w:hAnsi="Times New Roman" w:cs="Times New Roman"/>
        </w:rPr>
        <w:fldChar w:fldCharType="separate"/>
      </w:r>
      <w:r w:rsidRPr="009825CE">
        <w:rPr>
          <w:rFonts w:ascii="Times New Roman" w:hAnsi="Times New Roman" w:cs="Times New Roman"/>
        </w:rPr>
        <w:t>[23]</w:t>
      </w:r>
      <w:r w:rsidRPr="009825CE">
        <w:rPr>
          <w:rFonts w:ascii="Times New Roman" w:hAnsi="Times New Roman" w:cs="Times New Roman"/>
          <w:lang w:val="fr-FR"/>
        </w:rPr>
        <w:fldChar w:fldCharType="end"/>
      </w:r>
      <w:r w:rsidRPr="009825CE">
        <w:rPr>
          <w:rFonts w:ascii="Times New Roman" w:hAnsi="Times New Roman" w:cs="Times New Roman"/>
        </w:rPr>
        <w:t>. The electron affinity (EA), ionization potential (IP), chemical potential (μ), chemical hardness (η), electronegativity (χ), softness (S), and electrophilicity (ω) have been calculated using the difference between the HOMO and LUMO energies (Eg)</w:t>
      </w:r>
      <w:r w:rsidR="00493309" w:rsidRPr="009825CE">
        <w:rPr>
          <w:rFonts w:ascii="Times New Roman" w:hAnsi="Times New Roman" w:cs="Times New Roman"/>
        </w:rPr>
        <w:t>.</w:t>
      </w:r>
    </w:p>
    <w:p w14:paraId="615E9540" w14:textId="77777777" w:rsidR="00493309" w:rsidRPr="00C64CA0" w:rsidRDefault="00493309" w:rsidP="00493309">
      <w:pPr>
        <w:rPr>
          <w:b/>
          <w:bCs/>
        </w:rPr>
      </w:pPr>
      <w:r w:rsidRPr="00C64CA0">
        <w:rPr>
          <w:b/>
          <w:bCs/>
        </w:rPr>
        <w:t>Results and Discussion</w:t>
      </w:r>
    </w:p>
    <w:p w14:paraId="3ACB7AAC" w14:textId="34F22593" w:rsidR="009825CE" w:rsidRPr="009825CE" w:rsidRDefault="009825CE" w:rsidP="009825CE">
      <w:pPr>
        <w:jc w:val="both"/>
        <w:rPr>
          <w:rFonts w:ascii="Times New Roman" w:hAnsi="Times New Roman" w:cs="Times New Roman"/>
          <w:iCs/>
        </w:rPr>
      </w:pPr>
      <w:r w:rsidRPr="009825CE">
        <w:rPr>
          <w:rFonts w:ascii="Times New Roman" w:hAnsi="Times New Roman" w:cs="Times New Roman"/>
        </w:rPr>
        <w:t>Small organic solar cells have been deeply analyzed in term of their optical properties in solid phase with Tamm-</w:t>
      </w:r>
      <w:proofErr w:type="spellStart"/>
      <w:r w:rsidRPr="009825CE">
        <w:rPr>
          <w:rFonts w:ascii="Times New Roman" w:hAnsi="Times New Roman" w:cs="Times New Roman"/>
        </w:rPr>
        <w:t>Dancoff</w:t>
      </w:r>
      <w:proofErr w:type="spellEnd"/>
      <w:r w:rsidRPr="009825CE">
        <w:rPr>
          <w:rFonts w:ascii="Times New Roman" w:hAnsi="Times New Roman" w:cs="Times New Roman"/>
        </w:rPr>
        <w:t xml:space="preserve"> Approximation. The maximum absorption wavelength (</w:t>
      </w:r>
      <m:oMath>
        <m:sSub>
          <m:sSubPr>
            <m:ctrlPr>
              <w:rPr>
                <w:rFonts w:ascii="Cambria Math" w:hAnsi="Cambria Math" w:cs="Times New Roman"/>
                <w:iCs/>
              </w:rPr>
            </m:ctrlPr>
          </m:sSubPr>
          <m:e>
            <m:r>
              <m:rPr>
                <m:sty m:val="p"/>
              </m:rPr>
              <w:rPr>
                <w:rFonts w:ascii="Cambria Math" w:hAnsi="Cambria Math" w:cs="Times New Roman"/>
              </w:rPr>
              <m:t>λ</m:t>
            </m:r>
          </m:e>
          <m:sub>
            <m:r>
              <m:rPr>
                <m:sty m:val="p"/>
              </m:rPr>
              <w:rPr>
                <w:rFonts w:ascii="Cambria Math" w:hAnsi="Cambria Math" w:cs="Times New Roman"/>
              </w:rPr>
              <m:t>max</m:t>
            </m:r>
          </m:sub>
        </m:sSub>
      </m:oMath>
      <w:r w:rsidRPr="009825CE">
        <w:rPr>
          <w:rFonts w:ascii="Times New Roman" w:hAnsi="Times New Roman" w:cs="Times New Roman"/>
          <w:iCs/>
        </w:rPr>
        <w:t>) during optical transitions, vertical excitation energy (</w:t>
      </w:r>
      <m:oMath>
        <m:sSub>
          <m:sSubPr>
            <m:ctrlPr>
              <w:rPr>
                <w:rFonts w:ascii="Cambria Math" w:hAnsi="Cambria Math" w:cs="Times New Roman"/>
                <w:iCs/>
              </w:rPr>
            </m:ctrlPr>
          </m:sSubPr>
          <m:e>
            <m:r>
              <m:rPr>
                <m:sty m:val="p"/>
              </m:rPr>
              <w:rPr>
                <w:rFonts w:ascii="Cambria Math" w:hAnsi="Cambria Math" w:cs="Times New Roman"/>
              </w:rPr>
              <m:t>E</m:t>
            </m:r>
          </m:e>
          <m:sub>
            <m:r>
              <m:rPr>
                <m:sty m:val="p"/>
              </m:rPr>
              <w:rPr>
                <w:rFonts w:ascii="Cambria Math" w:hAnsi="Cambria Math" w:cs="Times New Roman"/>
              </w:rPr>
              <m:t>exc</m:t>
            </m:r>
          </m:sub>
        </m:sSub>
      </m:oMath>
      <w:r w:rsidRPr="009825CE">
        <w:rPr>
          <w:rFonts w:ascii="Times New Roman" w:hAnsi="Times New Roman" w:cs="Times New Roman"/>
          <w:iCs/>
        </w:rPr>
        <w:t xml:space="preserve">) for </w:t>
      </w:r>
      <w:r w:rsidRPr="009825CE">
        <w:rPr>
          <w:rFonts w:ascii="Cambria Math" w:hAnsi="Cambria Math" w:cs="Cambria Math"/>
          <w:iCs/>
        </w:rPr>
        <w:t>𝜋</w:t>
      </w:r>
      <w:r w:rsidRPr="009825CE">
        <w:rPr>
          <w:rFonts w:ascii="Times New Roman" w:hAnsi="Times New Roman" w:cs="Times New Roman"/>
          <w:iCs/>
        </w:rPr>
        <w:t>-</w:t>
      </w:r>
      <w:r w:rsidRPr="009825CE">
        <w:rPr>
          <w:rFonts w:ascii="Cambria Math" w:hAnsi="Cambria Math" w:cs="Cambria Math"/>
          <w:iCs/>
        </w:rPr>
        <w:t>𝜋</w:t>
      </w:r>
      <w:r w:rsidRPr="009825CE">
        <w:rPr>
          <w:rFonts w:ascii="Times New Roman" w:hAnsi="Times New Roman" w:cs="Times New Roman"/>
          <w:iCs/>
        </w:rPr>
        <w:t>* singlet transitions, adiabatic energy (</w:t>
      </w:r>
      <m:oMath>
        <m:sSub>
          <m:sSubPr>
            <m:ctrlPr>
              <w:rPr>
                <w:rFonts w:ascii="Cambria Math" w:hAnsi="Cambria Math" w:cs="Times New Roman"/>
                <w:iCs/>
              </w:rPr>
            </m:ctrlPr>
          </m:sSubPr>
          <m:e>
            <m:r>
              <m:rPr>
                <m:sty m:val="p"/>
              </m:rPr>
              <w:rPr>
                <w:rFonts w:ascii="Cambria Math" w:hAnsi="Cambria Math" w:cs="Times New Roman"/>
              </w:rPr>
              <m:t>E</m:t>
            </m:r>
          </m:e>
          <m:sub>
            <m:r>
              <w:rPr>
                <w:rFonts w:ascii="Cambria Math" w:hAnsi="Cambria Math" w:cs="Times New Roman"/>
              </w:rPr>
              <m:t>a</m:t>
            </m:r>
          </m:sub>
        </m:sSub>
      </m:oMath>
      <w:r w:rsidRPr="009825CE">
        <w:rPr>
          <w:rFonts w:ascii="Times New Roman" w:hAnsi="Times New Roman" w:cs="Times New Roman"/>
          <w:iCs/>
        </w:rPr>
        <w:t>), vertical emission energy from S</w:t>
      </w:r>
      <w:r w:rsidRPr="009825CE">
        <w:rPr>
          <w:rFonts w:ascii="Times New Roman" w:hAnsi="Times New Roman" w:cs="Times New Roman"/>
          <w:iCs/>
          <w:vertAlign w:val="subscript"/>
        </w:rPr>
        <w:t>1</w:t>
      </w:r>
      <w:r w:rsidRPr="009825CE">
        <w:rPr>
          <w:rFonts w:ascii="Times New Roman" w:hAnsi="Times New Roman" w:cs="Times New Roman"/>
          <w:iCs/>
        </w:rPr>
        <w:t xml:space="preserve"> to S</w:t>
      </w:r>
      <w:r w:rsidRPr="009825CE">
        <w:rPr>
          <w:rFonts w:ascii="Times New Roman" w:hAnsi="Times New Roman" w:cs="Times New Roman"/>
          <w:iCs/>
          <w:vertAlign w:val="subscript"/>
        </w:rPr>
        <w:t>0</w:t>
      </w:r>
      <w:r w:rsidRPr="009825CE">
        <w:rPr>
          <w:rFonts w:ascii="Times New Roman" w:hAnsi="Times New Roman" w:cs="Times New Roman"/>
          <w:iCs/>
        </w:rPr>
        <w:t xml:space="preserve"> ground state, oscillator strength for excitations (</w:t>
      </w:r>
      <m:oMath>
        <m:sSub>
          <m:sSubPr>
            <m:ctrlPr>
              <w:rPr>
                <w:rFonts w:ascii="Cambria Math" w:hAnsi="Cambria Math" w:cs="Times New Roman"/>
                <w:iCs/>
              </w:rPr>
            </m:ctrlPr>
          </m:sSubPr>
          <m:e>
            <m:r>
              <w:rPr>
                <w:rFonts w:ascii="Cambria Math" w:hAnsi="Cambria Math" w:cs="Times New Roman"/>
              </w:rPr>
              <m:t>f</m:t>
            </m:r>
          </m:e>
          <m:sub>
            <m:r>
              <m:rPr>
                <m:sty m:val="p"/>
              </m:rPr>
              <w:rPr>
                <w:rFonts w:ascii="Cambria Math" w:hAnsi="Cambria Math" w:cs="Times New Roman"/>
              </w:rPr>
              <m:t>exc</m:t>
            </m:r>
          </m:sub>
        </m:sSub>
      </m:oMath>
      <w:r w:rsidRPr="009825CE">
        <w:rPr>
          <w:rFonts w:ascii="Times New Roman" w:hAnsi="Times New Roman" w:cs="Times New Roman"/>
          <w:iCs/>
        </w:rPr>
        <w:t>) and emission (</w:t>
      </w:r>
      <m:oMath>
        <m:sSub>
          <m:sSubPr>
            <m:ctrlPr>
              <w:rPr>
                <w:rFonts w:ascii="Cambria Math" w:hAnsi="Cambria Math" w:cs="Times New Roman"/>
                <w:iCs/>
              </w:rPr>
            </m:ctrlPr>
          </m:sSubPr>
          <m:e>
            <m:r>
              <w:rPr>
                <w:rFonts w:ascii="Cambria Math" w:hAnsi="Cambria Math" w:cs="Times New Roman"/>
              </w:rPr>
              <m:t>f</m:t>
            </m:r>
          </m:e>
          <m:sub>
            <m:r>
              <m:rPr>
                <m:sty m:val="p"/>
              </m:rPr>
              <w:rPr>
                <w:rFonts w:ascii="Cambria Math" w:hAnsi="Cambria Math" w:cs="Times New Roman"/>
              </w:rPr>
              <m:t>exc</m:t>
            </m:r>
          </m:sub>
        </m:sSub>
      </m:oMath>
      <w:r w:rsidRPr="009825CE">
        <w:rPr>
          <w:rFonts w:ascii="Times New Roman" w:hAnsi="Times New Roman" w:cs="Times New Roman"/>
          <w:iCs/>
        </w:rPr>
        <w:t>), dissolution energy (</w:t>
      </w:r>
      <m:oMath>
        <m:sSub>
          <m:sSubPr>
            <m:ctrlPr>
              <w:rPr>
                <w:rFonts w:ascii="Cambria Math" w:hAnsi="Cambria Math" w:cs="Times New Roman"/>
                <w:iCs/>
              </w:rPr>
            </m:ctrlPr>
          </m:sSubPr>
          <m:e>
            <m:r>
              <w:rPr>
                <w:rFonts w:ascii="Cambria Math" w:hAnsi="Cambria Math" w:cs="Times New Roman"/>
              </w:rPr>
              <m:t>∆</m:t>
            </m:r>
            <m:r>
              <m:rPr>
                <m:sty m:val="p"/>
              </m:rPr>
              <w:rPr>
                <w:rFonts w:ascii="Cambria Math" w:hAnsi="Cambria Math" w:cs="Times New Roman"/>
              </w:rPr>
              <m:t>E</m:t>
            </m:r>
          </m:e>
          <m:sub>
            <m:r>
              <m:rPr>
                <m:sty m:val="p"/>
              </m:rPr>
              <w:rPr>
                <w:rFonts w:ascii="Cambria Math" w:hAnsi="Cambria Math" w:cs="Times New Roman"/>
              </w:rPr>
              <m:t>D</m:t>
            </m:r>
          </m:sub>
        </m:sSub>
      </m:oMath>
      <w:r w:rsidRPr="009825CE">
        <w:rPr>
          <w:rFonts w:ascii="Times New Roman" w:hAnsi="Times New Roman" w:cs="Times New Roman"/>
          <w:iCs/>
        </w:rPr>
        <w:t xml:space="preserve">) and transition coefficients (TCs) from HOMO to </w:t>
      </w:r>
      <w:r w:rsidRPr="009825CE">
        <w:rPr>
          <w:rFonts w:ascii="Times New Roman" w:hAnsi="Times New Roman" w:cs="Times New Roman"/>
          <w:iCs/>
        </w:rPr>
        <w:lastRenderedPageBreak/>
        <w:t>LUMO energy levels during molecular orbitals (MOs) transitions have been calculated in optical properties which provided the deep understandings about the emission rate (</w:t>
      </w:r>
      <m:oMath>
        <m:sSub>
          <m:sSubPr>
            <m:ctrlPr>
              <w:rPr>
                <w:rFonts w:ascii="Cambria Math" w:hAnsi="Cambria Math" w:cs="Times New Roman"/>
                <w:iCs/>
              </w:rPr>
            </m:ctrlPr>
          </m:sSubPr>
          <m:e>
            <m:r>
              <m:rPr>
                <m:sty m:val="p"/>
              </m:rPr>
              <w:rPr>
                <w:rFonts w:ascii="Cambria Math" w:hAnsi="Cambria Math" w:cs="Times New Roman"/>
              </w:rPr>
              <m:t>K</m:t>
            </m:r>
          </m:e>
          <m:sub>
            <m:r>
              <m:rPr>
                <m:sty m:val="p"/>
              </m:rPr>
              <w:rPr>
                <w:rFonts w:ascii="Cambria Math" w:hAnsi="Cambria Math" w:cs="Times New Roman"/>
              </w:rPr>
              <m:t>R</m:t>
            </m:r>
          </m:sub>
        </m:sSub>
        <m:sSup>
          <m:sSupPr>
            <m:ctrlPr>
              <w:rPr>
                <w:rFonts w:ascii="Cambria Math" w:hAnsi="Cambria Math" w:cs="Times New Roman"/>
                <w:iCs/>
              </w:rPr>
            </m:ctrlPr>
          </m:sSupPr>
          <m:e>
            <m:r>
              <m:rPr>
                <m:sty m:val="p"/>
              </m:rPr>
              <w:rPr>
                <w:rFonts w:ascii="Cambria Math" w:hAnsi="Cambria Math" w:cs="Times New Roman"/>
              </w:rPr>
              <m:t xml:space="preserve"> s</m:t>
            </m:r>
          </m:e>
          <m:sup>
            <m:r>
              <w:rPr>
                <w:rFonts w:ascii="Cambria Math" w:hAnsi="Cambria Math" w:cs="Times New Roman"/>
              </w:rPr>
              <m:t>-1</m:t>
            </m:r>
          </m:sup>
        </m:sSup>
      </m:oMath>
      <w:r w:rsidRPr="009825CE">
        <w:rPr>
          <w:rFonts w:ascii="Times New Roman" w:hAnsi="Times New Roman" w:cs="Times New Roman"/>
          <w:iCs/>
        </w:rPr>
        <w:t>) and photoexcitation nature of small organic solar cells structures. The complete optical results are shown in Table 3 and 4.</w:t>
      </w:r>
    </w:p>
    <w:p w14:paraId="2B2DF8C5" w14:textId="77777777" w:rsidR="009825CE" w:rsidRPr="009825CE" w:rsidRDefault="009825CE" w:rsidP="009825CE">
      <w:pPr>
        <w:jc w:val="both"/>
        <w:rPr>
          <w:rFonts w:ascii="Times New Roman" w:hAnsi="Times New Roman" w:cs="Times New Roman"/>
          <w:iCs/>
        </w:rPr>
      </w:pPr>
      <w:r w:rsidRPr="009825CE">
        <w:rPr>
          <w:rFonts w:ascii="Times New Roman" w:hAnsi="Times New Roman" w:cs="Times New Roman"/>
          <w:iCs/>
        </w:rPr>
        <w:t xml:space="preserve">The reduction of one phenyl ring (DPA) from triphenyl amine (TPA) donor unit lowered the 229 nm absorption wavelength (blue shift) due to small conjugation at both sides of NDI units at different </w:t>
      </w:r>
      <w:proofErr w:type="gramStart"/>
      <w:r w:rsidRPr="009825CE">
        <w:rPr>
          <w:rFonts w:ascii="Times New Roman" w:hAnsi="Times New Roman" w:cs="Times New Roman"/>
          <w:iCs/>
        </w:rPr>
        <w:t>site</w:t>
      </w:r>
      <w:proofErr w:type="gramEnd"/>
      <w:r w:rsidRPr="009825CE">
        <w:rPr>
          <w:rFonts w:ascii="Times New Roman" w:hAnsi="Times New Roman" w:cs="Times New Roman"/>
          <w:iCs/>
        </w:rPr>
        <w:t xml:space="preserve"> of attachments (NDI-</w:t>
      </w:r>
      <w:r w:rsidRPr="009825CE">
        <w:rPr>
          <w:rFonts w:ascii="Times New Roman" w:hAnsi="Times New Roman" w:cs="Times New Roman"/>
          <w:i/>
        </w:rPr>
        <w:t>a</w:t>
      </w:r>
      <w:r w:rsidRPr="009825CE">
        <w:rPr>
          <w:rFonts w:ascii="Times New Roman" w:hAnsi="Times New Roman" w:cs="Times New Roman"/>
          <w:iCs/>
        </w:rPr>
        <w:t>-TPA and NDI-</w:t>
      </w:r>
      <w:r w:rsidRPr="009825CE">
        <w:rPr>
          <w:rFonts w:ascii="Times New Roman" w:hAnsi="Times New Roman" w:cs="Times New Roman"/>
          <w:i/>
        </w:rPr>
        <w:t>a</w:t>
      </w:r>
      <w:r w:rsidRPr="009825CE">
        <w:rPr>
          <w:rFonts w:ascii="Times New Roman" w:hAnsi="Times New Roman" w:cs="Times New Roman"/>
          <w:iCs/>
        </w:rPr>
        <w:t xml:space="preserve">-DPA). The average 234 nm absorption wavelength has </w:t>
      </w:r>
      <w:proofErr w:type="gramStart"/>
      <w:r w:rsidRPr="009825CE">
        <w:rPr>
          <w:rFonts w:ascii="Times New Roman" w:hAnsi="Times New Roman" w:cs="Times New Roman"/>
          <w:iCs/>
        </w:rPr>
        <w:t>been decreased</w:t>
      </w:r>
      <w:proofErr w:type="gramEnd"/>
      <w:r w:rsidRPr="009825CE">
        <w:rPr>
          <w:rFonts w:ascii="Times New Roman" w:hAnsi="Times New Roman" w:cs="Times New Roman"/>
          <w:iCs/>
        </w:rPr>
        <w:t xml:space="preserve"> from shifting of TPA to DPA units in the case of both symmetrical and unsymmetrical positions of attachments. Here, the results about the same and different sites of attachments around the NDI units are very interesting that even with the same number of atoms and same conjugation effects, the donor units with different positions increased the 18 nm absorption wavelength in the case of TPA and 27 nm in the case of DPA units which explained that small conjugation effects with altering the positions in small organic structures showed the red shift in absorption spectrum. Also, the larger absorption values lowered the vertical excitation energies as shown below.</w:t>
      </w:r>
    </w:p>
    <w:p w14:paraId="092B68C2" w14:textId="6B32AA1F" w:rsidR="00493309" w:rsidRPr="00B030CC" w:rsidRDefault="009825CE" w:rsidP="009825CE">
      <m:oMath>
        <m:r>
          <w:rPr>
            <w:rFonts w:ascii="Cambria Math" w:hAnsi="Cambria Math"/>
          </w:rPr>
          <m:t xml:space="preserve">     </m:t>
        </m:r>
        <m:sSub>
          <m:sSubPr>
            <m:ctrlPr>
              <w:rPr>
                <w:rFonts w:ascii="Cambria Math" w:hAnsi="Cambria Math"/>
              </w:rPr>
            </m:ctrlPr>
          </m:sSubPr>
          <m:e>
            <m:r>
              <m:rPr>
                <m:sty m:val="p"/>
              </m:rPr>
              <w:rPr>
                <w:rFonts w:ascii="Cambria Math" w:hAnsi="Cambria Math"/>
              </w:rPr>
              <m:t>λ</m:t>
            </m:r>
          </m:e>
          <m:sub>
            <m:r>
              <m:rPr>
                <m:sty m:val="p"/>
              </m:rPr>
              <w:rPr>
                <w:rFonts w:ascii="Cambria Math" w:hAnsi="Cambria Math"/>
              </w:rPr>
              <m:t>max</m:t>
            </m:r>
          </m:sub>
        </m:sSub>
        <m:r>
          <m:rPr>
            <m:sty m:val="p"/>
          </m:rPr>
          <w:rPr>
            <w:rFonts w:ascii="Cambria Math" w:hAnsi="Cambria Math"/>
          </w:rPr>
          <m:t xml:space="preserve">= </m:t>
        </m:r>
        <m:f>
          <m:fPr>
            <m:type m:val="skw"/>
            <m:ctrlPr>
              <w:rPr>
                <w:rFonts w:ascii="Cambria Math" w:hAnsi="Cambria Math"/>
              </w:rPr>
            </m:ctrlPr>
          </m:fPr>
          <m:num>
            <m:r>
              <m:rPr>
                <m:sty m:val="p"/>
              </m:rPr>
              <w:rPr>
                <w:rFonts w:ascii="Cambria Math" w:hAnsi="Cambria Math"/>
              </w:rPr>
              <m:t>1240</m:t>
            </m:r>
          </m:num>
          <m:den>
            <m:sSub>
              <m:sSubPr>
                <m:ctrlPr>
                  <w:rPr>
                    <w:rFonts w:ascii="Cambria Math" w:hAnsi="Cambria Math"/>
                  </w:rPr>
                </m:ctrlPr>
              </m:sSubPr>
              <m:e>
                <m:r>
                  <m:rPr>
                    <m:sty m:val="p"/>
                  </m:rPr>
                  <w:rPr>
                    <w:rFonts w:ascii="Cambria Math" w:hAnsi="Cambria Math"/>
                  </w:rPr>
                  <m:t>E</m:t>
                </m:r>
              </m:e>
              <m:sub>
                <m:r>
                  <m:rPr>
                    <m:sty m:val="p"/>
                  </m:rPr>
                  <w:rPr>
                    <w:rFonts w:ascii="Cambria Math" w:hAnsi="Cambria Math"/>
                  </w:rPr>
                  <m:t>exc</m:t>
                </m:r>
              </m:sub>
            </m:sSub>
          </m:den>
        </m:f>
        <m:r>
          <w:rPr>
            <w:rFonts w:ascii="Cambria Math" w:hAnsi="Cambria Math"/>
          </w:rPr>
          <m:t xml:space="preserve">                (18)</m:t>
        </m:r>
      </m:oMath>
      <w:r w:rsidRPr="009825CE">
        <w:t xml:space="preserve">     </w:t>
      </w:r>
    </w:p>
    <w:sectPr w:rsidR="00493309" w:rsidRPr="00B030CC" w:rsidSect="0003255C">
      <w:type w:val="continuous"/>
      <w:pgSz w:w="12240" w:h="15840" w:code="1"/>
      <w:pgMar w:top="641" w:right="1361" w:bottom="1520" w:left="1678" w:header="680" w:footer="1327" w:gutter="0"/>
      <w:cols w:space="708"/>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rawingGridVerticalSpacing w:val="163"/>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BBA"/>
    <w:rsid w:val="0003255C"/>
    <w:rsid w:val="000F2C71"/>
    <w:rsid w:val="00205DBE"/>
    <w:rsid w:val="00306995"/>
    <w:rsid w:val="003251BC"/>
    <w:rsid w:val="003A47D6"/>
    <w:rsid w:val="00493309"/>
    <w:rsid w:val="00552C6E"/>
    <w:rsid w:val="005B257C"/>
    <w:rsid w:val="009825CE"/>
    <w:rsid w:val="00B030CC"/>
    <w:rsid w:val="00EE55C1"/>
    <w:rsid w:val="00EF7B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AB545"/>
  <w15:chartTrackingRefBased/>
  <w15:docId w15:val="{D8C93C2B-E473-4CFE-BAA3-D439A4966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7B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7B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7B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7B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7B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7B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7B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7B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7B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7B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7B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7B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7B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7B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7B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7B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7BBA"/>
    <w:rPr>
      <w:rFonts w:eastAsiaTheme="majorEastAsia" w:cstheme="majorBidi"/>
      <w:color w:val="272727" w:themeColor="text1" w:themeTint="D8"/>
    </w:rPr>
  </w:style>
  <w:style w:type="paragraph" w:styleId="Title">
    <w:name w:val="Title"/>
    <w:basedOn w:val="Normal"/>
    <w:next w:val="Normal"/>
    <w:link w:val="TitleChar"/>
    <w:uiPriority w:val="10"/>
    <w:qFormat/>
    <w:rsid w:val="00EF7B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7B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7B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7B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7BBA"/>
    <w:pPr>
      <w:spacing w:before="160"/>
      <w:jc w:val="center"/>
    </w:pPr>
    <w:rPr>
      <w:i/>
      <w:iCs/>
      <w:color w:val="404040" w:themeColor="text1" w:themeTint="BF"/>
    </w:rPr>
  </w:style>
  <w:style w:type="character" w:customStyle="1" w:styleId="QuoteChar">
    <w:name w:val="Quote Char"/>
    <w:basedOn w:val="DefaultParagraphFont"/>
    <w:link w:val="Quote"/>
    <w:uiPriority w:val="29"/>
    <w:rsid w:val="00EF7BBA"/>
    <w:rPr>
      <w:i/>
      <w:iCs/>
      <w:color w:val="404040" w:themeColor="text1" w:themeTint="BF"/>
    </w:rPr>
  </w:style>
  <w:style w:type="paragraph" w:styleId="ListParagraph">
    <w:name w:val="List Paragraph"/>
    <w:basedOn w:val="Normal"/>
    <w:uiPriority w:val="34"/>
    <w:qFormat/>
    <w:rsid w:val="00EF7BBA"/>
    <w:pPr>
      <w:ind w:left="720"/>
      <w:contextualSpacing/>
    </w:pPr>
  </w:style>
  <w:style w:type="character" w:styleId="IntenseEmphasis">
    <w:name w:val="Intense Emphasis"/>
    <w:basedOn w:val="DefaultParagraphFont"/>
    <w:uiPriority w:val="21"/>
    <w:qFormat/>
    <w:rsid w:val="00EF7BBA"/>
    <w:rPr>
      <w:i/>
      <w:iCs/>
      <w:color w:val="0F4761" w:themeColor="accent1" w:themeShade="BF"/>
    </w:rPr>
  </w:style>
  <w:style w:type="paragraph" w:styleId="IntenseQuote">
    <w:name w:val="Intense Quote"/>
    <w:basedOn w:val="Normal"/>
    <w:next w:val="Normal"/>
    <w:link w:val="IntenseQuoteChar"/>
    <w:uiPriority w:val="30"/>
    <w:qFormat/>
    <w:rsid w:val="00EF7B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7BBA"/>
    <w:rPr>
      <w:i/>
      <w:iCs/>
      <w:color w:val="0F4761" w:themeColor="accent1" w:themeShade="BF"/>
    </w:rPr>
  </w:style>
  <w:style w:type="character" w:styleId="IntenseReference">
    <w:name w:val="Intense Reference"/>
    <w:basedOn w:val="DefaultParagraphFont"/>
    <w:uiPriority w:val="32"/>
    <w:qFormat/>
    <w:rsid w:val="00EF7B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2909</Words>
  <Characters>16584</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sana abbas</dc:creator>
  <cp:keywords/>
  <dc:description/>
  <cp:lastModifiedBy>sana abbas</cp:lastModifiedBy>
  <cp:revision>4</cp:revision>
  <dcterms:created xsi:type="dcterms:W3CDTF">2025-12-03T22:09:00Z</dcterms:created>
  <dcterms:modified xsi:type="dcterms:W3CDTF">2025-12-03T22:33:00Z</dcterms:modified>
</cp:coreProperties>
</file>