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Parameters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Netmask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CIDR /26 means that the first 26 bits of the IP address are used for the network portion, and the remaining 6 bits are for the host portion.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binary, the netmask 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11111111.11111111.11111111.11000000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Converting this to decimal: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255.255.255.192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Netmask: 255.255.255.192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Network Address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network address is calculated by performing a bitwise AND operation between the given IP address (192.168.0.0) and the netmask (255.255.255.192).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 Address in binary: 11000000.10101000.00000000.00000000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Netmask in binary: 11111111.11111111.11111111.11000000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Bitwise AND result: 11000000.10101000.00000000.00000000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Converting the result back to decimal: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192.168.0.0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Network Address: 192.168.0.0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Broadcast Address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broadcast address is calculated by setting all the host bits (the bits not covered by the netmask) to 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Netmask in binary: 11111111.11111111.11111111.11000000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Inverted Netmask: 00000000.00000000.00000000.00111111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Network Address: 11000000.10101000.00000000.00000000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Bitwise OR result: 11000000.10101000.00000000.00111111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Converting the result back to decimal: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192.168.0.63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Broadcast Address: 192.168.0.63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Number of Hosts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number of usable hosts in a subnet is calculated using the formula: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Number of Hosts = 2^(32 - subnet bits) - 2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Here, 32 - 26 = 6 (6 host bits).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Total hosts: 2^6 = 64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Usable hosts: 64 - 2 = 62 (subtracting 2 for the network and broadcast addresses).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Number of Hosts: 62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