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address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ether: 00:0c:29:97:17:77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ARP table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interfaces and associated IP addresses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table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open (listening) TCP ports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338513" cy="451681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4516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