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62D66" w14:textId="179EA46B" w:rsidR="007918CA" w:rsidRPr="00325B5F" w:rsidRDefault="007918CA" w:rsidP="00325B5F">
      <w:pPr>
        <w:jc w:val="center"/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  <w:lang w:val="en-US"/>
        </w:rPr>
      </w:pPr>
      <w:r w:rsidRPr="00325B5F">
        <w:rPr>
          <w:rFonts w:ascii="Times New Roman" w:hAnsi="Times New Roman" w:cs="Times New Roman"/>
          <w:b/>
          <w:bCs/>
          <w:color w:val="404040" w:themeColor="text1" w:themeTint="BF"/>
          <w:sz w:val="40"/>
          <w:szCs w:val="40"/>
          <w:lang w:val="en-US"/>
        </w:rPr>
        <w:t>Supply Chain Analysis Project Report</w:t>
      </w:r>
    </w:p>
    <w:p w14:paraId="52055CA8" w14:textId="44438401" w:rsidR="007918CA" w:rsidRPr="00325B5F" w:rsidRDefault="007918CA" w:rsidP="00E74519">
      <w:pPr>
        <w:jc w:val="both"/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</w:pPr>
      <w:r w:rsidRPr="00325B5F">
        <w:rPr>
          <w:rFonts w:ascii="Times New Roman" w:hAnsi="Times New Roman" w:cs="Times New Roman"/>
          <w:noProof/>
          <w:color w:val="000000" w:themeColor="text1"/>
          <w:sz w:val="36"/>
          <w:szCs w:val="36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2BFC4B" wp14:editId="5E4BF836">
                <wp:simplePos x="0" y="0"/>
                <wp:positionH relativeFrom="column">
                  <wp:posOffset>0</wp:posOffset>
                </wp:positionH>
                <wp:positionV relativeFrom="paragraph">
                  <wp:posOffset>361950</wp:posOffset>
                </wp:positionV>
                <wp:extent cx="5854700" cy="0"/>
                <wp:effectExtent l="0" t="0" r="0" b="0"/>
                <wp:wrapNone/>
                <wp:docPr id="12011449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47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A4D87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28.5pt" to="461pt,2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  <w:r w:rsidRPr="00325B5F">
        <w:rPr>
          <w:rFonts w:ascii="Times New Roman" w:hAnsi="Times New Roman" w:cs="Times New Roman"/>
          <w:color w:val="000000" w:themeColor="text1"/>
          <w:sz w:val="36"/>
          <w:szCs w:val="36"/>
          <w:lang w:val="en-US"/>
        </w:rPr>
        <w:t>Table of Contents</w:t>
      </w:r>
    </w:p>
    <w:p w14:paraId="332466B2" w14:textId="5556785C" w:rsidR="007918CA" w:rsidRPr="00325B5F" w:rsidRDefault="007918CA" w:rsidP="00E7451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</w:pPr>
      <w:r w:rsidRPr="00325B5F"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  <w:t>Executive Summary</w:t>
      </w:r>
    </w:p>
    <w:p w14:paraId="566EE203" w14:textId="41057285" w:rsidR="007918CA" w:rsidRPr="00325B5F" w:rsidRDefault="007918CA" w:rsidP="00E7451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</w:pPr>
      <w:r w:rsidRPr="00325B5F"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  <w:t>Business Context &amp; Objectives</w:t>
      </w:r>
    </w:p>
    <w:p w14:paraId="404DB5CD" w14:textId="27E9FC2A" w:rsidR="007918CA" w:rsidRPr="00325B5F" w:rsidRDefault="007918CA" w:rsidP="00E7451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</w:pPr>
      <w:r w:rsidRPr="00325B5F"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  <w:t>Key Performance Indicators (KPIs)</w:t>
      </w:r>
    </w:p>
    <w:p w14:paraId="180EAB36" w14:textId="3B0ADC1B" w:rsidR="007918CA" w:rsidRPr="00325B5F" w:rsidRDefault="007918CA" w:rsidP="00E7451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</w:pPr>
      <w:r w:rsidRPr="00325B5F"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  <w:t>Profitability Analysis</w:t>
      </w:r>
    </w:p>
    <w:p w14:paraId="4BD9B20A" w14:textId="137FF4E1" w:rsidR="007918CA" w:rsidRPr="00325B5F" w:rsidRDefault="007918CA" w:rsidP="00E74519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</w:pPr>
      <w:r w:rsidRPr="00325B5F"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  <w:t>Profitability Distribution</w:t>
      </w:r>
    </w:p>
    <w:p w14:paraId="7FFD8840" w14:textId="1DC60889" w:rsidR="00E74519" w:rsidRPr="00325B5F" w:rsidRDefault="00E74519" w:rsidP="00E74519">
      <w:pPr>
        <w:pStyle w:val="ListParagraph"/>
        <w:numPr>
          <w:ilvl w:val="1"/>
          <w:numId w:val="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</w:pPr>
      <w:r w:rsidRPr="00325B5F"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  <w:t>Delay Distribution &amp; Profit vs. Delay Days</w:t>
      </w:r>
    </w:p>
    <w:p w14:paraId="6F885EA5" w14:textId="256EBA69" w:rsidR="00E74519" w:rsidRPr="00325B5F" w:rsidRDefault="00E74519" w:rsidP="00E7451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</w:pPr>
      <w:r w:rsidRPr="00325B5F"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  <w:t>Bottleneck Detection</w:t>
      </w:r>
    </w:p>
    <w:p w14:paraId="70A476BD" w14:textId="5C231148" w:rsidR="00E74519" w:rsidRPr="00325B5F" w:rsidRDefault="00E74519" w:rsidP="00E7451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</w:pPr>
      <w:r w:rsidRPr="00325B5F"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  <w:t>Root Cause Analysis</w:t>
      </w:r>
    </w:p>
    <w:p w14:paraId="7ECFA04E" w14:textId="5F2AE4F3" w:rsidR="00E74519" w:rsidRPr="00325B5F" w:rsidRDefault="00E74519" w:rsidP="00E7451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</w:pPr>
      <w:r w:rsidRPr="00325B5F"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  <w:t>Time-Based Delay Patterns</w:t>
      </w:r>
    </w:p>
    <w:p w14:paraId="5EB98EA4" w14:textId="4DEEA571" w:rsidR="00E74519" w:rsidRPr="00325B5F" w:rsidRDefault="00E74519" w:rsidP="00E7451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</w:pPr>
      <w:r w:rsidRPr="00325B5F"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  <w:t>Strategic Recommendations</w:t>
      </w:r>
    </w:p>
    <w:p w14:paraId="7F68D3AB" w14:textId="6F55FB5B" w:rsidR="007918CA" w:rsidRPr="00325B5F" w:rsidRDefault="00E74519" w:rsidP="00E74519">
      <w:pPr>
        <w:pStyle w:val="ListParagraph"/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</w:pPr>
      <w:r w:rsidRPr="00325B5F"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  <w:t>Conclusion</w:t>
      </w:r>
    </w:p>
    <w:p w14:paraId="3B3FDDB2" w14:textId="77777777" w:rsidR="00E74519" w:rsidRPr="00E74519" w:rsidRDefault="00E74519" w:rsidP="00E74519">
      <w:pPr>
        <w:spacing w:after="0"/>
        <w:jc w:val="both"/>
        <w:rPr>
          <w:rFonts w:ascii="Times New Roman" w:hAnsi="Times New Roman" w:cs="Times New Roman"/>
          <w:color w:val="0D0D0D" w:themeColor="text1" w:themeTint="F2"/>
          <w:sz w:val="32"/>
          <w:szCs w:val="32"/>
          <w:lang w:val="en-US"/>
        </w:rPr>
      </w:pPr>
    </w:p>
    <w:p w14:paraId="63CD3AA0" w14:textId="78D3812E" w:rsidR="00E74519" w:rsidRPr="00325B5F" w:rsidRDefault="00E74519" w:rsidP="00E74519">
      <w:pPr>
        <w:spacing w:after="0"/>
        <w:jc w:val="both"/>
        <w:rPr>
          <w:rFonts w:ascii="Times New Roman" w:hAnsi="Times New Roman" w:cs="Times New Roman"/>
          <w:b/>
          <w:bCs/>
          <w:color w:val="262626" w:themeColor="text1" w:themeTint="D9"/>
          <w:sz w:val="32"/>
          <w:szCs w:val="32"/>
          <w:lang w:val="en-US"/>
        </w:rPr>
      </w:pPr>
      <w:r w:rsidRPr="00325B5F">
        <w:rPr>
          <w:rFonts w:ascii="Times New Roman" w:hAnsi="Times New Roman" w:cs="Times New Roman"/>
          <w:b/>
          <w:bCs/>
          <w:color w:val="262626" w:themeColor="text1" w:themeTint="D9"/>
          <w:sz w:val="32"/>
          <w:szCs w:val="32"/>
          <w:lang w:val="en-US"/>
        </w:rPr>
        <w:t>Executive Summary</w:t>
      </w:r>
    </w:p>
    <w:p w14:paraId="7355E8BD" w14:textId="24C421B4" w:rsidR="00E74519" w:rsidRPr="00325B5F" w:rsidRDefault="00E74519" w:rsidP="00E74519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This report presents a comprehensive analysis of the delivery operations of a global e-commerce company managing end-to-end order fulfillment across multiple regions. The analysis covers 172,765 orders spanning January 2015 through January 2018, focusing on identifying root causes of chronic late deliveries, quantifying their </w:t>
      </w: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financial</w:t>
      </w: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impact, and establishing a data-driven framework for improvement.</w:t>
      </w:r>
    </w:p>
    <w:tbl>
      <w:tblPr>
        <w:tblStyle w:val="TableGrid"/>
        <w:tblpPr w:leftFromText="180" w:rightFromText="180" w:vertAnchor="page" w:horzAnchor="margin" w:tblpY="12316"/>
        <w:tblW w:w="0" w:type="auto"/>
        <w:tblLook w:val="04A0" w:firstRow="1" w:lastRow="0" w:firstColumn="1" w:lastColumn="0" w:noHBand="0" w:noVBand="1"/>
      </w:tblPr>
      <w:tblGrid>
        <w:gridCol w:w="4493"/>
        <w:gridCol w:w="4493"/>
      </w:tblGrid>
      <w:tr w:rsidR="00325B5F" w:rsidRPr="00E74519" w14:paraId="7F050261" w14:textId="77777777" w:rsidTr="00325B5F">
        <w:trPr>
          <w:trHeight w:val="476"/>
        </w:trPr>
        <w:tc>
          <w:tcPr>
            <w:tcW w:w="4493" w:type="dxa"/>
            <w:shd w:val="clear" w:color="auto" w:fill="0D0D0D" w:themeFill="text1" w:themeFillTint="F2"/>
          </w:tcPr>
          <w:p w14:paraId="00A92282" w14:textId="77777777" w:rsidR="00325B5F" w:rsidRPr="00E74519" w:rsidRDefault="00325B5F" w:rsidP="00325B5F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36"/>
                <w:szCs w:val="36"/>
                <w:lang w:val="en-US"/>
              </w:rPr>
            </w:pPr>
            <w:r w:rsidRPr="00E74519">
              <w:rPr>
                <w:rFonts w:ascii="Times New Roman" w:hAnsi="Times New Roman" w:cs="Times New Roman"/>
                <w:color w:val="FFFFFF" w:themeColor="background1"/>
                <w:sz w:val="36"/>
                <w:szCs w:val="36"/>
                <w:lang w:val="en-US"/>
              </w:rPr>
              <w:t>Key Finding</w:t>
            </w:r>
          </w:p>
        </w:tc>
        <w:tc>
          <w:tcPr>
            <w:tcW w:w="4493" w:type="dxa"/>
            <w:shd w:val="clear" w:color="auto" w:fill="0D0D0D" w:themeFill="text1" w:themeFillTint="F2"/>
          </w:tcPr>
          <w:p w14:paraId="739D925D" w14:textId="77777777" w:rsidR="00325B5F" w:rsidRPr="00E74519" w:rsidRDefault="00325B5F" w:rsidP="00325B5F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36"/>
                <w:szCs w:val="36"/>
                <w:lang w:val="en-US"/>
              </w:rPr>
            </w:pPr>
            <w:r w:rsidRPr="00E74519">
              <w:rPr>
                <w:rFonts w:ascii="Times New Roman" w:hAnsi="Times New Roman" w:cs="Times New Roman"/>
                <w:color w:val="FFFFFF" w:themeColor="background1"/>
                <w:sz w:val="36"/>
                <w:szCs w:val="36"/>
                <w:lang w:val="en-US"/>
              </w:rPr>
              <w:t>Metric</w:t>
            </w:r>
          </w:p>
        </w:tc>
      </w:tr>
      <w:tr w:rsidR="00325B5F" w:rsidRPr="00E74519" w14:paraId="5222D940" w14:textId="77777777" w:rsidTr="00325B5F">
        <w:trPr>
          <w:trHeight w:val="477"/>
        </w:trPr>
        <w:tc>
          <w:tcPr>
            <w:tcW w:w="4493" w:type="dxa"/>
          </w:tcPr>
          <w:p w14:paraId="7E392DB5" w14:textId="77777777" w:rsidR="00325B5F" w:rsidRPr="00E74519" w:rsidRDefault="00325B5F" w:rsidP="00325B5F">
            <w:pPr>
              <w:jc w:val="both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</w:pPr>
            <w:r w:rsidRPr="00E74519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  <w:t>Overall Late Delivery Rate</w:t>
            </w:r>
          </w:p>
        </w:tc>
        <w:tc>
          <w:tcPr>
            <w:tcW w:w="4493" w:type="dxa"/>
          </w:tcPr>
          <w:p w14:paraId="729B7D4D" w14:textId="77777777" w:rsidR="00325B5F" w:rsidRPr="00E74519" w:rsidRDefault="00325B5F" w:rsidP="00325B5F">
            <w:pPr>
              <w:jc w:val="both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</w:pPr>
            <w:r w:rsidRPr="00E74519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  <w:t>54.71%</w:t>
            </w:r>
          </w:p>
        </w:tc>
      </w:tr>
      <w:tr w:rsidR="00325B5F" w:rsidRPr="00E74519" w14:paraId="42102736" w14:textId="77777777" w:rsidTr="00325B5F">
        <w:trPr>
          <w:trHeight w:val="473"/>
        </w:trPr>
        <w:tc>
          <w:tcPr>
            <w:tcW w:w="4493" w:type="dxa"/>
          </w:tcPr>
          <w:p w14:paraId="1DF543D8" w14:textId="77777777" w:rsidR="00325B5F" w:rsidRPr="00E74519" w:rsidRDefault="00325B5F" w:rsidP="00325B5F">
            <w:pPr>
              <w:jc w:val="both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</w:pPr>
            <w:r w:rsidRPr="00E74519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  <w:t>On-Time Delivery Rate</w:t>
            </w:r>
          </w:p>
        </w:tc>
        <w:tc>
          <w:tcPr>
            <w:tcW w:w="4493" w:type="dxa"/>
          </w:tcPr>
          <w:p w14:paraId="653875E8" w14:textId="77777777" w:rsidR="00325B5F" w:rsidRPr="00E74519" w:rsidRDefault="00325B5F" w:rsidP="00325B5F">
            <w:pPr>
              <w:jc w:val="both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</w:pPr>
            <w:r w:rsidRPr="00E74519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  <w:t>45.29%</w:t>
            </w:r>
          </w:p>
        </w:tc>
      </w:tr>
      <w:tr w:rsidR="00325B5F" w:rsidRPr="00E74519" w14:paraId="378CE51B" w14:textId="77777777" w:rsidTr="00325B5F">
        <w:trPr>
          <w:trHeight w:val="480"/>
        </w:trPr>
        <w:tc>
          <w:tcPr>
            <w:tcW w:w="4493" w:type="dxa"/>
          </w:tcPr>
          <w:p w14:paraId="00BD2BF8" w14:textId="77777777" w:rsidR="00325B5F" w:rsidRPr="00E74519" w:rsidRDefault="00325B5F" w:rsidP="00325B5F">
            <w:pPr>
              <w:jc w:val="both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</w:pPr>
            <w:r w:rsidRPr="00E74519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  <w:t>Total Orders Analyzed</w:t>
            </w:r>
          </w:p>
        </w:tc>
        <w:tc>
          <w:tcPr>
            <w:tcW w:w="4493" w:type="dxa"/>
          </w:tcPr>
          <w:p w14:paraId="744C8B67" w14:textId="77777777" w:rsidR="00325B5F" w:rsidRPr="00E74519" w:rsidRDefault="00325B5F" w:rsidP="00325B5F">
            <w:pPr>
              <w:jc w:val="both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</w:pPr>
            <w:r w:rsidRPr="00E74519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  <w:t>1,72,765</w:t>
            </w:r>
          </w:p>
        </w:tc>
      </w:tr>
      <w:tr w:rsidR="00325B5F" w:rsidRPr="00E74519" w14:paraId="5AE7061D" w14:textId="77777777" w:rsidTr="00325B5F">
        <w:trPr>
          <w:trHeight w:val="462"/>
        </w:trPr>
        <w:tc>
          <w:tcPr>
            <w:tcW w:w="4493" w:type="dxa"/>
          </w:tcPr>
          <w:p w14:paraId="333E1766" w14:textId="77777777" w:rsidR="00325B5F" w:rsidRPr="00E74519" w:rsidRDefault="00325B5F" w:rsidP="00325B5F">
            <w:pPr>
              <w:jc w:val="both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</w:pPr>
            <w:r w:rsidRPr="00E74519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  <w:t>Total Profit (profitable orders)</w:t>
            </w:r>
          </w:p>
        </w:tc>
        <w:tc>
          <w:tcPr>
            <w:tcW w:w="4493" w:type="dxa"/>
          </w:tcPr>
          <w:p w14:paraId="70146EAE" w14:textId="77777777" w:rsidR="00325B5F" w:rsidRPr="00E74519" w:rsidRDefault="00325B5F" w:rsidP="00325B5F">
            <w:pPr>
              <w:jc w:val="both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</w:pPr>
            <w:r w:rsidRPr="00E74519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  <w:t>$7.5M</w:t>
            </w:r>
          </w:p>
        </w:tc>
      </w:tr>
      <w:tr w:rsidR="00325B5F" w:rsidRPr="00E74519" w14:paraId="3391DBCA" w14:textId="77777777" w:rsidTr="00325B5F">
        <w:trPr>
          <w:trHeight w:val="492"/>
        </w:trPr>
        <w:tc>
          <w:tcPr>
            <w:tcW w:w="4493" w:type="dxa"/>
          </w:tcPr>
          <w:p w14:paraId="6BE27EF1" w14:textId="77777777" w:rsidR="00325B5F" w:rsidRPr="00E74519" w:rsidRDefault="00325B5F" w:rsidP="00325B5F">
            <w:pPr>
              <w:jc w:val="both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</w:pPr>
            <w:r w:rsidRPr="00E74519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  <w:t>Profile at Risk (delayed orders)</w:t>
            </w:r>
          </w:p>
        </w:tc>
        <w:tc>
          <w:tcPr>
            <w:tcW w:w="4493" w:type="dxa"/>
          </w:tcPr>
          <w:p w14:paraId="6B2CDFC8" w14:textId="77777777" w:rsidR="00325B5F" w:rsidRPr="00E74519" w:rsidRDefault="00325B5F" w:rsidP="00325B5F">
            <w:pPr>
              <w:jc w:val="both"/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</w:pPr>
            <w:r w:rsidRPr="00E74519">
              <w:rPr>
                <w:rFonts w:ascii="Times New Roman" w:hAnsi="Times New Roman" w:cs="Times New Roman"/>
                <w:color w:val="262626" w:themeColor="text1" w:themeTint="D9"/>
                <w:sz w:val="32"/>
                <w:szCs w:val="32"/>
                <w:lang w:val="en-US"/>
              </w:rPr>
              <w:t>$2.1M</w:t>
            </w:r>
          </w:p>
        </w:tc>
      </w:tr>
    </w:tbl>
    <w:p w14:paraId="41CE9D8F" w14:textId="77777777" w:rsidR="00E74519" w:rsidRPr="00325B5F" w:rsidRDefault="00E74519" w:rsidP="00E74519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34D53E68" w14:textId="296661E9" w:rsidR="00E74519" w:rsidRPr="00325B5F" w:rsidRDefault="00E74519" w:rsidP="00E74519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The headline finding is stark: 54.71% of all orders are delivered late, costing the business $2.1M in eroded profitability on delayed orders alone. While total profit </w:t>
      </w: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from fulfilled orders reached $7.5M, the persistent late-delivery problem represents both a significant financial drain and a major risk to customer experience</w:t>
      </w: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. </w:t>
      </w:r>
    </w:p>
    <w:p w14:paraId="2A5A93A8" w14:textId="14D26667" w:rsidR="00E74519" w:rsidRPr="00325B5F" w:rsidRDefault="00E74519" w:rsidP="00E74519">
      <w:pPr>
        <w:spacing w:after="0" w:line="240" w:lineRule="auto"/>
        <w:jc w:val="both"/>
        <w:rPr>
          <w:rFonts w:ascii="Times New Roman" w:hAnsi="Times New Roman" w:cs="Times New Roman"/>
          <w:b/>
          <w:bCs/>
          <w:color w:val="262626" w:themeColor="text1" w:themeTint="D9"/>
          <w:sz w:val="32"/>
          <w:szCs w:val="32"/>
          <w:lang w:val="en-US"/>
        </w:rPr>
      </w:pPr>
      <w:r w:rsidRPr="00325B5F">
        <w:rPr>
          <w:rFonts w:ascii="Times New Roman" w:hAnsi="Times New Roman" w:cs="Times New Roman"/>
          <w:b/>
          <w:bCs/>
          <w:color w:val="262626" w:themeColor="text1" w:themeTint="D9"/>
          <w:sz w:val="32"/>
          <w:szCs w:val="32"/>
          <w:lang w:val="en-US"/>
        </w:rPr>
        <w:lastRenderedPageBreak/>
        <w:t>Business Context &amp; Objectives</w:t>
      </w:r>
    </w:p>
    <w:p w14:paraId="644B51F3" w14:textId="77777777" w:rsidR="00E74519" w:rsidRPr="00325B5F" w:rsidRDefault="00E74519" w:rsidP="00E74519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The company operates a global e-commerce platform selling products across categories including sporting goods, fitness equipment, outdoor gear, footwear, and apparel across multiple international regions.</w:t>
      </w:r>
    </w:p>
    <w:p w14:paraId="3893B2EA" w14:textId="77777777" w:rsidR="00E74519" w:rsidRPr="00325B5F" w:rsidRDefault="00E74519" w:rsidP="00E74519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5D89B0CE" w14:textId="7077E1D5" w:rsidR="00E74519" w:rsidRPr="00325B5F" w:rsidRDefault="00E74519" w:rsidP="00364E3F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Core Business Problem</w:t>
      </w: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:</w:t>
      </w:r>
    </w:p>
    <w:p w14:paraId="0650A60E" w14:textId="77777777" w:rsidR="00E74519" w:rsidRPr="00325B5F" w:rsidRDefault="00E74519" w:rsidP="00E74519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Actual shipping times frequently deviate from scheduled delivery windows, creating eroded customer trust, reduced order profitability, and an inability to make reliable commitments to buyers at point of purchase.</w:t>
      </w:r>
    </w:p>
    <w:p w14:paraId="5EFF2B0B" w14:textId="77777777" w:rsidR="00E74519" w:rsidRPr="00325B5F" w:rsidRDefault="00E74519" w:rsidP="00E74519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7E233B87" w14:textId="77777777" w:rsidR="00E74519" w:rsidRPr="00325B5F" w:rsidRDefault="00E74519" w:rsidP="00364E3F">
      <w:pPr>
        <w:pStyle w:val="ListParagraph"/>
        <w:numPr>
          <w:ilvl w:val="0"/>
          <w:numId w:val="4"/>
        </w:numPr>
        <w:spacing w:after="0" w:line="240" w:lineRule="auto"/>
        <w:ind w:left="36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Analytical Objectives</w:t>
      </w:r>
    </w:p>
    <w:p w14:paraId="782E2D18" w14:textId="0EF4D37E" w:rsidR="00E74519" w:rsidRPr="00325B5F" w:rsidRDefault="00E74519" w:rsidP="00364E3F">
      <w:pPr>
        <w:pStyle w:val="ListParagraph"/>
        <w:numPr>
          <w:ilvl w:val="0"/>
          <w:numId w:val="6"/>
        </w:numPr>
        <w:spacing w:after="0" w:line="240" w:lineRule="auto"/>
        <w:ind w:left="417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Understand the current state of delivery performance across all dimensions</w:t>
      </w:r>
      <w:r w:rsidR="00447734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.</w:t>
      </w:r>
    </w:p>
    <w:p w14:paraId="6B11359F" w14:textId="75043295" w:rsidR="00E74519" w:rsidRPr="00325B5F" w:rsidRDefault="00E74519" w:rsidP="00364E3F">
      <w:pPr>
        <w:pStyle w:val="ListParagraph"/>
        <w:numPr>
          <w:ilvl w:val="0"/>
          <w:numId w:val="6"/>
        </w:numPr>
        <w:spacing w:after="0" w:line="240" w:lineRule="auto"/>
        <w:ind w:left="417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Quantify the financial impact of delays on order profitability</w:t>
      </w:r>
      <w:r w:rsidR="00364E3F"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.</w:t>
      </w:r>
    </w:p>
    <w:p w14:paraId="30C4AA95" w14:textId="7CCA528E" w:rsidR="00E74519" w:rsidRPr="00325B5F" w:rsidRDefault="00E74519" w:rsidP="00364E3F">
      <w:pPr>
        <w:pStyle w:val="ListParagraph"/>
        <w:numPr>
          <w:ilvl w:val="0"/>
          <w:numId w:val="6"/>
        </w:numPr>
        <w:spacing w:after="0" w:line="240" w:lineRule="auto"/>
        <w:ind w:left="417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Identify the primary operational bottlenecks driving late deliveries</w:t>
      </w:r>
      <w:r w:rsidR="00364E3F"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.</w:t>
      </w:r>
    </w:p>
    <w:p w14:paraId="03D0D081" w14:textId="77777777" w:rsidR="00E74519" w:rsidRPr="00325B5F" w:rsidRDefault="00E74519" w:rsidP="00364E3F">
      <w:pPr>
        <w:pStyle w:val="ListParagraph"/>
        <w:numPr>
          <w:ilvl w:val="0"/>
          <w:numId w:val="6"/>
        </w:numPr>
        <w:spacing w:after="0" w:line="240" w:lineRule="auto"/>
        <w:ind w:left="417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Deliver actionable recommendations to improve on-time delivery and profitability</w:t>
      </w:r>
    </w:p>
    <w:p w14:paraId="050B8106" w14:textId="77777777" w:rsidR="00364E3F" w:rsidRDefault="00364E3F" w:rsidP="00364E3F">
      <w:pPr>
        <w:pStyle w:val="ListParagraph"/>
        <w:spacing w:after="0"/>
        <w:jc w:val="both"/>
        <w:rPr>
          <w:rFonts w:ascii="Times New Roman" w:hAnsi="Times New Roman" w:cs="Times New Roman"/>
          <w:color w:val="0D0D0D" w:themeColor="text1" w:themeTint="F2"/>
          <w:sz w:val="36"/>
          <w:szCs w:val="36"/>
          <w:lang w:val="en-US"/>
        </w:rPr>
      </w:pPr>
    </w:p>
    <w:p w14:paraId="2DF7F321" w14:textId="1C370019" w:rsidR="00364E3F" w:rsidRPr="00325B5F" w:rsidRDefault="00364E3F" w:rsidP="00364E3F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en-US"/>
        </w:rPr>
      </w:pPr>
      <w:r w:rsidRPr="00325B5F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en-US"/>
        </w:rPr>
        <w:t xml:space="preserve">Key Performance </w:t>
      </w:r>
      <w:r w:rsidRPr="00325B5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lang w:val="en-US"/>
        </w:rPr>
        <w:t>Indicators</w:t>
      </w:r>
      <w:r w:rsidRPr="00325B5F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en-US"/>
        </w:rPr>
        <w:t xml:space="preserve"> (KPIs)</w:t>
      </w:r>
    </w:p>
    <w:p w14:paraId="262BE70D" w14:textId="44BCB431" w:rsidR="00364E3F" w:rsidRPr="00325B5F" w:rsidRDefault="00364E3F" w:rsidP="00364E3F">
      <w:pPr>
        <w:pStyle w:val="ListParagraph"/>
        <w:spacing w:after="0"/>
        <w:ind w:left="0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325B5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The following KPIs were computed directly from the cleaned dataset to establish a performance baseline.</w:t>
      </w:r>
    </w:p>
    <w:tbl>
      <w:tblPr>
        <w:tblStyle w:val="TableGrid"/>
        <w:tblpPr w:leftFromText="180" w:rightFromText="180" w:vertAnchor="text" w:horzAnchor="margin" w:tblpY="90"/>
        <w:tblW w:w="9132" w:type="dxa"/>
        <w:tblLook w:val="04A0" w:firstRow="1" w:lastRow="0" w:firstColumn="1" w:lastColumn="0" w:noHBand="0" w:noVBand="1"/>
      </w:tblPr>
      <w:tblGrid>
        <w:gridCol w:w="2283"/>
        <w:gridCol w:w="2283"/>
        <w:gridCol w:w="2283"/>
        <w:gridCol w:w="2283"/>
      </w:tblGrid>
      <w:tr w:rsidR="00325B5F" w14:paraId="471000B8" w14:textId="77777777" w:rsidTr="00447734">
        <w:trPr>
          <w:trHeight w:val="522"/>
        </w:trPr>
        <w:tc>
          <w:tcPr>
            <w:tcW w:w="2283" w:type="dxa"/>
            <w:vAlign w:val="center"/>
          </w:tcPr>
          <w:p w14:paraId="3A715F8E" w14:textId="77777777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  <w:t>Total Orders</w:t>
            </w:r>
          </w:p>
        </w:tc>
        <w:tc>
          <w:tcPr>
            <w:tcW w:w="2283" w:type="dxa"/>
            <w:vAlign w:val="center"/>
          </w:tcPr>
          <w:p w14:paraId="2A6B9537" w14:textId="77777777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  <w:t>Late Deliveries</w:t>
            </w:r>
          </w:p>
        </w:tc>
        <w:tc>
          <w:tcPr>
            <w:tcW w:w="2283" w:type="dxa"/>
            <w:vAlign w:val="center"/>
          </w:tcPr>
          <w:p w14:paraId="7C483585" w14:textId="77777777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  <w:t>Late Delivery %</w:t>
            </w:r>
          </w:p>
        </w:tc>
        <w:tc>
          <w:tcPr>
            <w:tcW w:w="2283" w:type="dxa"/>
            <w:vAlign w:val="center"/>
          </w:tcPr>
          <w:p w14:paraId="793A27A6" w14:textId="77777777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  <w:t>On-Time Delivery %</w:t>
            </w:r>
          </w:p>
        </w:tc>
      </w:tr>
      <w:tr w:rsidR="00325B5F" w14:paraId="6699047D" w14:textId="77777777" w:rsidTr="00447734">
        <w:trPr>
          <w:trHeight w:val="760"/>
        </w:trPr>
        <w:tc>
          <w:tcPr>
            <w:tcW w:w="2283" w:type="dxa"/>
            <w:vAlign w:val="center"/>
          </w:tcPr>
          <w:p w14:paraId="1251DF90" w14:textId="2236570E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002060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002060"/>
                <w:sz w:val="28"/>
                <w:szCs w:val="28"/>
                <w:lang w:val="en-US"/>
              </w:rPr>
              <w:t>1,72,765</w:t>
            </w:r>
          </w:p>
        </w:tc>
        <w:tc>
          <w:tcPr>
            <w:tcW w:w="2283" w:type="dxa"/>
            <w:vAlign w:val="center"/>
          </w:tcPr>
          <w:p w14:paraId="43222CE6" w14:textId="1F0BC94D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C00000"/>
                <w:sz w:val="28"/>
                <w:szCs w:val="28"/>
                <w:lang w:val="en-US"/>
                <w14:textFill>
                  <w14:gradFill>
                    <w14:gsLst>
                      <w14:gs w14:pos="0">
                        <w14:srgbClr w14:val="C0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0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00000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 w:rsidRPr="00325B5F">
              <w:rPr>
                <w:rFonts w:ascii="Segoe UI" w:hAnsi="Segoe UI" w:cs="Segoe UI"/>
                <w:b/>
                <w:bCs/>
                <w:color w:val="C00000"/>
                <w:sz w:val="28"/>
                <w:szCs w:val="28"/>
                <w:lang w:val="en-US"/>
                <w14:textFill>
                  <w14:gradFill>
                    <w14:gsLst>
                      <w14:gs w14:pos="0">
                        <w14:srgbClr w14:val="C0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0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00000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94,523</w:t>
            </w:r>
          </w:p>
        </w:tc>
        <w:tc>
          <w:tcPr>
            <w:tcW w:w="2283" w:type="dxa"/>
            <w:vAlign w:val="center"/>
          </w:tcPr>
          <w:p w14:paraId="4501F49B" w14:textId="71D4CAB6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002060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002060"/>
                <w:sz w:val="28"/>
                <w:szCs w:val="28"/>
                <w:lang w:val="en-US"/>
              </w:rPr>
              <w:t>54.71%</w:t>
            </w:r>
          </w:p>
        </w:tc>
        <w:tc>
          <w:tcPr>
            <w:tcW w:w="2283" w:type="dxa"/>
            <w:vAlign w:val="center"/>
          </w:tcPr>
          <w:p w14:paraId="7DD81B37" w14:textId="0B719272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385623" w:themeColor="accent6" w:themeShade="80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385623" w:themeColor="accent6" w:themeShade="80"/>
                <w:sz w:val="28"/>
                <w:szCs w:val="28"/>
                <w:lang w:val="en-US"/>
              </w:rPr>
              <w:t>45.29%</w:t>
            </w:r>
          </w:p>
        </w:tc>
      </w:tr>
      <w:tr w:rsidR="00325B5F" w14:paraId="5BE5B2D3" w14:textId="77777777" w:rsidTr="00447734">
        <w:trPr>
          <w:trHeight w:val="193"/>
        </w:trPr>
        <w:tc>
          <w:tcPr>
            <w:tcW w:w="2283" w:type="dxa"/>
            <w:vAlign w:val="center"/>
          </w:tcPr>
          <w:p w14:paraId="174E24D3" w14:textId="77777777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  <w:t>Total Profitable</w:t>
            </w:r>
          </w:p>
          <w:p w14:paraId="2BE77E55" w14:textId="77777777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  <w:t>Orders</w:t>
            </w:r>
          </w:p>
        </w:tc>
        <w:tc>
          <w:tcPr>
            <w:tcW w:w="2283" w:type="dxa"/>
            <w:vAlign w:val="center"/>
          </w:tcPr>
          <w:p w14:paraId="6AE647E3" w14:textId="77777777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  <w:t>Total Loss Due to Delays</w:t>
            </w:r>
          </w:p>
        </w:tc>
        <w:tc>
          <w:tcPr>
            <w:tcW w:w="2283" w:type="dxa"/>
            <w:vAlign w:val="center"/>
          </w:tcPr>
          <w:p w14:paraId="1F60B478" w14:textId="77777777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  <w:t>90th Percentile Delay</w:t>
            </w:r>
          </w:p>
        </w:tc>
        <w:tc>
          <w:tcPr>
            <w:tcW w:w="2283" w:type="dxa"/>
            <w:vAlign w:val="center"/>
          </w:tcPr>
          <w:p w14:paraId="5BF833BD" w14:textId="77777777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262626" w:themeColor="text1" w:themeTint="D9"/>
                <w:sz w:val="28"/>
                <w:szCs w:val="28"/>
                <w:lang w:val="en-US"/>
              </w:rPr>
              <w:t>Avg Order Profit</w:t>
            </w:r>
          </w:p>
        </w:tc>
      </w:tr>
      <w:tr w:rsidR="00325B5F" w14:paraId="03A0C9E7" w14:textId="77777777" w:rsidTr="00447734">
        <w:trPr>
          <w:trHeight w:val="1171"/>
        </w:trPr>
        <w:tc>
          <w:tcPr>
            <w:tcW w:w="2283" w:type="dxa"/>
            <w:vAlign w:val="center"/>
          </w:tcPr>
          <w:p w14:paraId="1EBA435C" w14:textId="19B683E3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1F3864" w:themeColor="accent1" w:themeShade="80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1F3864" w:themeColor="accent1" w:themeShade="80"/>
                <w:sz w:val="28"/>
                <w:szCs w:val="28"/>
                <w:lang w:val="en-US"/>
              </w:rPr>
              <w:t>$7.5 M</w:t>
            </w:r>
          </w:p>
        </w:tc>
        <w:tc>
          <w:tcPr>
            <w:tcW w:w="2283" w:type="dxa"/>
            <w:vAlign w:val="center"/>
          </w:tcPr>
          <w:p w14:paraId="066CC7E1" w14:textId="09EE601A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C00000"/>
                <w:sz w:val="28"/>
                <w:szCs w:val="28"/>
                <w:lang w:val="en-US"/>
                <w14:textFill>
                  <w14:gradFill>
                    <w14:gsLst>
                      <w14:gs w14:pos="0">
                        <w14:srgbClr w14:val="C0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0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00000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</w:pPr>
            <w:r w:rsidRPr="00325B5F">
              <w:rPr>
                <w:rFonts w:ascii="Segoe UI" w:hAnsi="Segoe UI" w:cs="Segoe UI"/>
                <w:b/>
                <w:bCs/>
                <w:color w:val="C00000"/>
                <w:sz w:val="28"/>
                <w:szCs w:val="28"/>
                <w:lang w:val="en-US"/>
                <w14:textFill>
                  <w14:gradFill>
                    <w14:gsLst>
                      <w14:gs w14:pos="0">
                        <w14:srgbClr w14:val="C00000">
                          <w14:shade w14:val="30000"/>
                          <w14:satMod w14:val="115000"/>
                        </w14:srgbClr>
                      </w14:gs>
                      <w14:gs w14:pos="50000">
                        <w14:srgbClr w14:val="C00000">
                          <w14:shade w14:val="67500"/>
                          <w14:satMod w14:val="115000"/>
                        </w14:srgbClr>
                      </w14:gs>
                      <w14:gs w14:pos="100000">
                        <w14:srgbClr w14:val="C00000">
                          <w14:shade w14:val="100000"/>
                          <w14:satMod w14:val="115000"/>
                        </w14:srgbClr>
                      </w14:gs>
                    </w14:gsLst>
                    <w14:lin w14:ang="2700000" w14:scaled="0"/>
                  </w14:gradFill>
                </w14:textFill>
              </w:rPr>
              <w:t>$2.1 M</w:t>
            </w:r>
          </w:p>
        </w:tc>
        <w:tc>
          <w:tcPr>
            <w:tcW w:w="2283" w:type="dxa"/>
            <w:vAlign w:val="center"/>
          </w:tcPr>
          <w:p w14:paraId="34DECE5B" w14:textId="18E9879C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002060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002060"/>
                <w:sz w:val="28"/>
                <w:szCs w:val="28"/>
                <w:lang w:val="en-US"/>
              </w:rPr>
              <w:t>3 Days</w:t>
            </w:r>
          </w:p>
        </w:tc>
        <w:tc>
          <w:tcPr>
            <w:tcW w:w="2283" w:type="dxa"/>
            <w:vAlign w:val="center"/>
          </w:tcPr>
          <w:p w14:paraId="153093BF" w14:textId="52042E0F" w:rsidR="00325B5F" w:rsidRPr="00325B5F" w:rsidRDefault="00325B5F" w:rsidP="00325B5F">
            <w:pPr>
              <w:jc w:val="center"/>
              <w:rPr>
                <w:rFonts w:ascii="Segoe UI" w:hAnsi="Segoe UI" w:cs="Segoe UI"/>
                <w:b/>
                <w:bCs/>
                <w:color w:val="385623" w:themeColor="accent6" w:themeShade="80"/>
                <w:sz w:val="28"/>
                <w:szCs w:val="28"/>
                <w:lang w:val="en-US"/>
              </w:rPr>
            </w:pPr>
            <w:r w:rsidRPr="00325B5F">
              <w:rPr>
                <w:rFonts w:ascii="Segoe UI" w:hAnsi="Segoe UI" w:cs="Segoe UI"/>
                <w:b/>
                <w:bCs/>
                <w:color w:val="385623" w:themeColor="accent6" w:themeShade="80"/>
                <w:sz w:val="28"/>
                <w:szCs w:val="28"/>
                <w:lang w:val="en-US"/>
              </w:rPr>
              <w:t>$22.03</w:t>
            </w:r>
          </w:p>
        </w:tc>
      </w:tr>
    </w:tbl>
    <w:p w14:paraId="283F81B8" w14:textId="7D62BF02" w:rsidR="00447734" w:rsidRPr="00447734" w:rsidRDefault="00447734" w:rsidP="00447734">
      <w:pPr>
        <w:pStyle w:val="ListParagraph"/>
        <w:numPr>
          <w:ilvl w:val="0"/>
          <w:numId w:val="8"/>
        </w:numPr>
        <w:spacing w:after="0"/>
        <w:ind w:left="283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44773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Late Delivery Rate at 54.71%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- </w:t>
      </w:r>
      <w:r w:rsidRPr="0044773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More than half of all orders arrive late. This is not an edge-case problem- it is the default experience for the majority of customers.</w:t>
      </w:r>
    </w:p>
    <w:p w14:paraId="31C408DA" w14:textId="16C8A66C" w:rsidR="00447734" w:rsidRPr="00447734" w:rsidRDefault="00447734" w:rsidP="00447734">
      <w:pPr>
        <w:pStyle w:val="ListParagraph"/>
        <w:numPr>
          <w:ilvl w:val="0"/>
          <w:numId w:val="8"/>
        </w:numPr>
        <w:spacing w:after="0"/>
        <w:ind w:left="283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44773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$2.1M Profit at Risk</w:t>
      </w:r>
      <w:r w:rsidRPr="0044773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- </w:t>
      </w:r>
      <w:r w:rsidRPr="0044773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Orders that experienced delays collectively generated $2.1M in profit that is under constant pressure from further operational deterioration.</w:t>
      </w:r>
    </w:p>
    <w:p w14:paraId="4414B558" w14:textId="2D2D845C" w:rsidR="00447734" w:rsidRPr="00447734" w:rsidRDefault="00447734" w:rsidP="00447734">
      <w:pPr>
        <w:pStyle w:val="ListParagraph"/>
        <w:numPr>
          <w:ilvl w:val="0"/>
          <w:numId w:val="8"/>
        </w:numPr>
        <w:spacing w:after="0"/>
        <w:ind w:left="283"/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44773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90th Percentile Delay = 3 Days</w:t>
      </w:r>
      <w:r w:rsidRPr="0044773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- </w:t>
      </w:r>
      <w:r w:rsidRPr="0044773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Even the most extreme cases are contained within 3 days of lateness, suggesting the problem is systemic and process-driven rather than catastrophic.</w:t>
      </w:r>
    </w:p>
    <w:p w14:paraId="1B0FF977" w14:textId="79577A15" w:rsidR="00B94DD5" w:rsidRPr="00325B5F" w:rsidRDefault="00B94DD5" w:rsidP="00B94DD5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lang w:val="en-US"/>
        </w:rPr>
      </w:pPr>
      <w:r w:rsidRPr="00325B5F">
        <w:rPr>
          <w:rFonts w:ascii="Times New Roman" w:hAnsi="Times New Roman" w:cs="Times New Roman"/>
          <w:b/>
          <w:bCs/>
          <w:color w:val="0D0D0D" w:themeColor="text1" w:themeTint="F2"/>
          <w:sz w:val="32"/>
          <w:szCs w:val="32"/>
          <w:lang w:val="en-US"/>
        </w:rPr>
        <w:lastRenderedPageBreak/>
        <w:t>Profitability Analysis</w:t>
      </w:r>
    </w:p>
    <w:p w14:paraId="73D71286" w14:textId="77777777" w:rsidR="00447734" w:rsidRDefault="00B94DD5" w:rsidP="00B94DD5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4.1 Profitability Distribution</w:t>
      </w: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:</w:t>
      </w:r>
    </w:p>
    <w:p w14:paraId="4FB7A6E5" w14:textId="10B1109D" w:rsidR="00B94DD5" w:rsidRPr="00325B5F" w:rsidRDefault="00447734" w:rsidP="00B94DD5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325B5F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2A21B518" wp14:editId="409E0574">
            <wp:simplePos x="0" y="0"/>
            <wp:positionH relativeFrom="column">
              <wp:posOffset>1273810</wp:posOffset>
            </wp:positionH>
            <wp:positionV relativeFrom="page">
              <wp:posOffset>2463800</wp:posOffset>
            </wp:positionV>
            <wp:extent cx="3750310" cy="2645410"/>
            <wp:effectExtent l="0" t="0" r="2540" b="2540"/>
            <wp:wrapTopAndBottom/>
            <wp:docPr id="17724792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031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4DD5"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Order-level profitability was classified into three tiers based on Order Profit Per Order. While 80.7% of orders are profitable, the 18.7% loss-making share represents a meaningful drag that is disproportionately concentrated among delayed shipments.</w:t>
      </w:r>
    </w:p>
    <w:p w14:paraId="55604972" w14:textId="69EE6F9B" w:rsidR="00447734" w:rsidRPr="00325B5F" w:rsidRDefault="00B94DD5" w:rsidP="00447734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4.2 Delay Distribution &amp; Profit vs. Delay Days</w:t>
      </w:r>
    </w:p>
    <w:p w14:paraId="5B1C34DF" w14:textId="4D27DA6B" w:rsidR="00325B5F" w:rsidRDefault="00447734" w:rsidP="00325B5F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325B5F">
        <w:rPr>
          <w:noProof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382A381" wp14:editId="53E800D1">
            <wp:simplePos x="0" y="0"/>
            <wp:positionH relativeFrom="column">
              <wp:posOffset>57150</wp:posOffset>
            </wp:positionH>
            <wp:positionV relativeFrom="page">
              <wp:posOffset>6181725</wp:posOffset>
            </wp:positionV>
            <wp:extent cx="5731510" cy="2514600"/>
            <wp:effectExtent l="0" t="0" r="2540" b="0"/>
            <wp:wrapTopAndBottom/>
            <wp:docPr id="1364940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94DD5" w:rsidRP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The delay distribution shows that 31.0% of all orders arrive exactly 1 day late the single largest cohort. Combined, orders delayed by 1-4 days account for 54.7% of all order volume, directly mapping to the overall</w:t>
      </w:r>
      <w:r w:rsidR="00325B5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.</w:t>
      </w:r>
    </w:p>
    <w:p w14:paraId="6269F9E8" w14:textId="757ED70B" w:rsidR="00B94DD5" w:rsidRDefault="00325B5F" w:rsidP="00B94DD5">
      <w:pPr>
        <w:jc w:val="center"/>
        <w:rPr>
          <w:rFonts w:ascii="Times New Roman" w:hAnsi="Times New Roman" w:cs="Times New Roman"/>
          <w:i/>
          <w:iCs/>
          <w:color w:val="262626" w:themeColor="text1" w:themeTint="D9"/>
          <w:sz w:val="22"/>
          <w:szCs w:val="22"/>
          <w:lang w:val="en-US"/>
        </w:rPr>
      </w:pPr>
      <w:r w:rsidRPr="00325B5F">
        <w:rPr>
          <w:rFonts w:ascii="Times New Roman" w:hAnsi="Times New Roman" w:cs="Times New Roman"/>
          <w:i/>
          <w:iCs/>
          <w:color w:val="262626" w:themeColor="text1" w:themeTint="D9"/>
          <w:sz w:val="22"/>
          <w:szCs w:val="22"/>
          <w:lang w:val="en-US"/>
        </w:rPr>
        <w:t>Delay Distribution (left) and Profit Analysis by Delay Days (right)</w:t>
      </w:r>
    </w:p>
    <w:p w14:paraId="08EF8147" w14:textId="26F61301" w:rsidR="00447734" w:rsidRDefault="00447734" w:rsidP="00447734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447734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A critical observation: mean profit per order remains stable at approximately $21-$23 across all delay levels. The profitability problem is therefore driven by </w:t>
      </w:r>
      <w:r w:rsidRPr="00447734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lastRenderedPageBreak/>
        <w:t>volume of delayed orders, not by individual order economics making systemic throughput improvement the highest-leverage intervention</w:t>
      </w:r>
      <w:r w:rsidRPr="00447734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.</w:t>
      </w:r>
    </w:p>
    <w:p w14:paraId="06B9A6F0" w14:textId="0F42EABC" w:rsidR="00447734" w:rsidRPr="00325B5F" w:rsidRDefault="00447734" w:rsidP="00447734">
      <w:pPr>
        <w:pStyle w:val="ListParagraph"/>
        <w:spacing w:after="0"/>
        <w:ind w:left="0"/>
        <w:jc w:val="both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en-US"/>
        </w:rPr>
        <w:t>Bottleneck Detection</w:t>
      </w:r>
    </w:p>
    <w:p w14:paraId="0A99C71C" w14:textId="50857A5B" w:rsidR="00447734" w:rsidRDefault="00447734" w:rsidP="00447734">
      <w:pPr>
        <w:jc w:val="both"/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8902A54" wp14:editId="47B0F686">
            <wp:simplePos x="0" y="0"/>
            <wp:positionH relativeFrom="column">
              <wp:posOffset>0</wp:posOffset>
            </wp:positionH>
            <wp:positionV relativeFrom="page">
              <wp:posOffset>2333625</wp:posOffset>
            </wp:positionV>
            <wp:extent cx="5731510" cy="3086100"/>
            <wp:effectExtent l="0" t="0" r="2540" b="0"/>
            <wp:wrapTopAndBottom/>
            <wp:docPr id="2046027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4773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Delay percentage was computed across six key operational dimensions. The charts below reveal where the fulfilment process breaks down most severely.</w:t>
      </w:r>
    </w:p>
    <w:p w14:paraId="25A34E9B" w14:textId="4C96193F" w:rsidR="00447734" w:rsidRDefault="00447734" w:rsidP="00447734">
      <w:pPr>
        <w:jc w:val="center"/>
        <w:rPr>
          <w:rFonts w:ascii="Times New Roman" w:hAnsi="Times New Roman" w:cs="Times New Roman"/>
          <w:i/>
          <w:iCs/>
          <w:color w:val="262626" w:themeColor="text1" w:themeTint="D9"/>
          <w:sz w:val="22"/>
          <w:szCs w:val="22"/>
          <w:lang w:val="en-US"/>
        </w:rPr>
      </w:pPr>
      <w:r w:rsidRPr="00325B5F">
        <w:rPr>
          <w:rFonts w:ascii="Times New Roman" w:hAnsi="Times New Roman" w:cs="Times New Roman"/>
          <w:i/>
          <w:iCs/>
          <w:color w:val="262626" w:themeColor="text1" w:themeTint="D9"/>
          <w:sz w:val="22"/>
          <w:szCs w:val="22"/>
          <w:lang w:val="en-US"/>
        </w:rPr>
        <w:t xml:space="preserve"> Delay </w:t>
      </w:r>
      <w:r>
        <w:rPr>
          <w:rFonts w:ascii="Times New Roman" w:hAnsi="Times New Roman" w:cs="Times New Roman"/>
          <w:i/>
          <w:iCs/>
          <w:color w:val="262626" w:themeColor="text1" w:themeTint="D9"/>
          <w:sz w:val="22"/>
          <w:szCs w:val="22"/>
          <w:lang w:val="en-US"/>
        </w:rPr>
        <w:t>% across six operational categories – Region, Segment, Shipping Mode, Order Status, Payment Type, Department</w:t>
      </w:r>
    </w:p>
    <w:p w14:paraId="093581C7" w14:textId="77777777" w:rsidR="00FD6A6F" w:rsidRDefault="00447734" w:rsidP="00447734">
      <w:pPr>
        <w:pStyle w:val="ListParagraph"/>
        <w:numPr>
          <w:ilvl w:val="0"/>
          <w:numId w:val="9"/>
        </w:numPr>
        <w:ind w:left="360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Shipping Mode is the #1 Lever</w:t>
      </w:r>
      <w:r w:rsidR="00FD6A6F"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-  </w:t>
      </w: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First Class: 100% delay rate. Second Class: 79.8%. Standard Class: 39.8%. Same Day: 0%. The mode assignment logic is the most impactful single variable to fix.</w:t>
      </w:r>
    </w:p>
    <w:p w14:paraId="006A8640" w14:textId="0E94B6E2" w:rsidR="00FD6A6F" w:rsidRDefault="00447734" w:rsidP="00447734">
      <w:pPr>
        <w:pStyle w:val="ListParagraph"/>
        <w:numPr>
          <w:ilvl w:val="0"/>
          <w:numId w:val="9"/>
        </w:numPr>
        <w:ind w:left="360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Regional Spread is Narrow (55-59%)</w:t>
      </w:r>
      <w:r w:rsidR="00FD6A6F"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-</w:t>
      </w:r>
      <w:r w:rsid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</w:t>
      </w: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Central Africa leads at 58.7% but all regions cluster between 55-59%. This rules out a </w:t>
      </w:r>
      <w:r w:rsidR="00770DDE"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localized</w:t>
      </w: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logistics failure and confirms a company-wide systemic issue.</w:t>
      </w:r>
    </w:p>
    <w:p w14:paraId="051CF0C4" w14:textId="77777777" w:rsidR="00FD6A6F" w:rsidRDefault="00447734" w:rsidP="00447734">
      <w:pPr>
        <w:pStyle w:val="ListParagraph"/>
        <w:numPr>
          <w:ilvl w:val="0"/>
          <w:numId w:val="9"/>
        </w:numPr>
        <w:ind w:left="360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Customer Segments Nearly Identical (54.5-55.4%)</w:t>
      </w:r>
      <w:r w:rsid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- </w:t>
      </w: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No segment receives preferential service. All customers - Consumer, Corporate,</w:t>
      </w:r>
      <w:r w:rsidR="00FD6A6F"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</w:t>
      </w:r>
      <w:r w:rsidR="00FD6A6F"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Home Office</w:t>
      </w: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experience the same broken delivery promise. </w:t>
      </w:r>
    </w:p>
    <w:p w14:paraId="6D54ABB4" w14:textId="0B0E8F43" w:rsidR="00447734" w:rsidRDefault="00447734" w:rsidP="00447734">
      <w:pPr>
        <w:pStyle w:val="ListParagraph"/>
        <w:numPr>
          <w:ilvl w:val="0"/>
          <w:numId w:val="9"/>
        </w:numPr>
        <w:ind w:left="360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Health &amp; Beauty (56.9%) and Pet Shop (56.6%) Lead by Department</w:t>
      </w: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-</w:t>
      </w:r>
      <w:r w:rsid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</w:t>
      </w: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These departments marginally outpace others in delay rate, warranting an inventory and carrier audit for these product categories.</w:t>
      </w:r>
    </w:p>
    <w:p w14:paraId="71B79102" w14:textId="77777777" w:rsidR="00FD6A6F" w:rsidRDefault="00FD6A6F" w:rsidP="00FD6A6F">
      <w:pPr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4FF163AD" w14:textId="77777777" w:rsidR="00FD6A6F" w:rsidRDefault="00FD6A6F" w:rsidP="00FD6A6F">
      <w:pPr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146C5603" w14:textId="77777777" w:rsidR="00FD6A6F" w:rsidRDefault="00FD6A6F" w:rsidP="00FD6A6F">
      <w:pPr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147EF94B" w14:textId="5FD3CA9F" w:rsidR="00FD6A6F" w:rsidRDefault="00FD6A6F" w:rsidP="00FD6A6F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en-US"/>
        </w:rPr>
      </w:pPr>
      <w:r w:rsidRPr="00FD6A6F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en-US"/>
        </w:rPr>
        <w:lastRenderedPageBreak/>
        <w:t>Root Cause Analysis</w:t>
      </w:r>
    </w:p>
    <w:p w14:paraId="7BD7B551" w14:textId="48DEB40B" w:rsidR="00FD6A6F" w:rsidRDefault="00FD6A6F" w:rsidP="00FD6A6F">
      <w:pPr>
        <w:pStyle w:val="ListParagraph"/>
        <w:ind w:left="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Central Africa was selected for deep-dive root cause analysis as the highest-delay region (58.7%). The chart below ranks the top 10 driver factors by delay percentage within this region.</w:t>
      </w:r>
    </w:p>
    <w:p w14:paraId="644BFAB2" w14:textId="39220CFE" w:rsidR="00447734" w:rsidRDefault="00FD6A6F" w:rsidP="00FD6A6F">
      <w:pPr>
        <w:pStyle w:val="ListParagraph"/>
        <w:ind w:left="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EF4AA2" wp14:editId="7CA35EA0">
            <wp:extent cx="5731510" cy="3358515"/>
            <wp:effectExtent l="0" t="0" r="2540" b="0"/>
            <wp:docPr id="13532226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ED75F" w14:textId="77777777" w:rsidR="00FD6A6F" w:rsidRPr="00FD6A6F" w:rsidRDefault="00FD6A6F" w:rsidP="00FD6A6F">
      <w:pPr>
        <w:pStyle w:val="ListParagraph"/>
        <w:spacing w:after="0"/>
        <w:ind w:left="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5D3863D9" w14:textId="03562063" w:rsidR="00447734" w:rsidRPr="00FD6A6F" w:rsidRDefault="00FD6A6F" w:rsidP="00FD6A6F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en-US"/>
        </w:rPr>
      </w:pPr>
      <w:r w:rsidRPr="00FD6A6F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en-US"/>
        </w:rPr>
        <w:t>Time-Based Delay Patterns</w:t>
      </w:r>
    </w:p>
    <w:p w14:paraId="30E279D6" w14:textId="6E639387" w:rsidR="00447734" w:rsidRDefault="00FD6A6F" w:rsidP="00447734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AB6077E" wp14:editId="00036A29">
            <wp:simplePos x="0" y="0"/>
            <wp:positionH relativeFrom="column">
              <wp:posOffset>-76200</wp:posOffset>
            </wp:positionH>
            <wp:positionV relativeFrom="page">
              <wp:posOffset>6705600</wp:posOffset>
            </wp:positionV>
            <wp:extent cx="5876925" cy="2466975"/>
            <wp:effectExtent l="0" t="0" r="9525" b="9525"/>
            <wp:wrapTopAndBottom/>
            <wp:docPr id="10912895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Three temporal dimensions were </w:t>
      </w:r>
      <w:r w:rsidR="00770DDE"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analyzed</w:t>
      </w: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: month of year, day of week, and hour of day. While delay rates are relatively stable across all dimensions (53-57%), specific peaks highlight opportunities for targeted capacity planning.</w:t>
      </w:r>
    </w:p>
    <w:p w14:paraId="65C01282" w14:textId="448BFA01" w:rsidR="00FD6A6F" w:rsidRDefault="00FD6A6F" w:rsidP="00447734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5C3B7171" w14:textId="77777777" w:rsidR="00FD6A6F" w:rsidRDefault="00FD6A6F" w:rsidP="00447734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396417D5" w14:textId="1C44BDC9" w:rsidR="00FD6A6F" w:rsidRDefault="00FD6A6F" w:rsidP="00FD6A6F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lastRenderedPageBreak/>
        <w:t>Peak Delay Months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–</w:t>
      </w: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August &amp; September (55.4%) and December (55.2%)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–</w:t>
      </w:r>
    </w:p>
    <w:p w14:paraId="3A33D807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August and September are the highest months at 55.4%, with December close behind. These reflect mid-year promotions and Q4 holiday surge overwhelming fulfilment capacity. July represents a notable low-point (~53.75%), confirming seasonal variation is plannable.</w:t>
      </w:r>
    </w:p>
    <w:p w14:paraId="71F36798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2A1E0C54" w14:textId="717FF65D" w:rsidR="00FD6A6F" w:rsidRDefault="00FD6A6F" w:rsidP="00FD6A6F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Day-of-Week Variance is Minimal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–</w:t>
      </w:r>
    </w:p>
    <w:p w14:paraId="6A04C36D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Monday (55.5%) and Sunday (55.2%) are the peak days, but the spread across the week is less than 1 percentage point. Day-of-week is not a meaningful lever for operational intervention.</w:t>
      </w:r>
    </w:p>
    <w:p w14:paraId="53CA0A2F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015E85EE" w14:textId="7C57ACB9" w:rsidR="00FD6A6F" w:rsidRDefault="00FD6A6F" w:rsidP="00FD6A6F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Intra-Day Peaks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- </w:t>
      </w: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Hour 21 (57.1%), Hour 11 (56.7%), Hour 12 (56.0%)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–</w:t>
      </w:r>
    </w:p>
    <w:p w14:paraId="47B6A1C7" w14:textId="4A8A3243" w:rsidR="00FD6A6F" w:rsidRDefault="00FD6A6F" w:rsidP="00FD6A6F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Late-evening orders (hour 21) have the highest delay rate at 57.1%, likely reflecting processing cutoff windows. Midday peaks suggest bottlenecks during peak-volume hours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.</w:t>
      </w:r>
    </w:p>
    <w:p w14:paraId="30D9CDD2" w14:textId="79AE5786" w:rsidR="00FD6A6F" w:rsidRPr="00FD6A6F" w:rsidRDefault="00FD6A6F" w:rsidP="00FD6A6F">
      <w:pPr>
        <w:pStyle w:val="ListParagraph"/>
        <w:ind w:left="0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en-US"/>
        </w:rPr>
        <w:t>Strategic Recommendations</w:t>
      </w:r>
    </w:p>
    <w:p w14:paraId="256E084C" w14:textId="3DB209E6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Based on the findings across all analytical dimensions, the following </w:t>
      </w:r>
      <w:r w:rsidR="00770DDE"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prioritized</w:t>
      </w: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actions are recommended:</w:t>
      </w:r>
    </w:p>
    <w:p w14:paraId="00272504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78C3AD71" w14:textId="186D41A0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1. Immediately Audit First Class &amp; </w:t>
      </w:r>
      <w:r w:rsidR="00770DDE"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Second-Class</w:t>
      </w: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Shipping Capacity</w:t>
      </w:r>
    </w:p>
    <w:p w14:paraId="05E1C197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40CC712E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First Class shipping has a 100% delay rate and Second Class 79.8%. These modes operate in complete contradiction to their brand promise. Conduct an immediate carrier SLA audit. Until resolved, consider suspending First Class or repricing to reflect actual performance.</w:t>
      </w:r>
    </w:p>
    <w:p w14:paraId="7E1EDBCE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47E43597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2. Deploy the Predictive Alert System</w:t>
      </w:r>
    </w:p>
    <w:p w14:paraId="18E8B029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31BAC141" w14:textId="77777777" w:rsidR="00FD6A6F" w:rsidRDefault="00FD6A6F" w:rsidP="00FD6A6F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The Random Forest model (74% accuracy, 78% precision on late orders) is ready for production piloting. Integrate it into the order management system to flag high-risk orders at confirmation and trigger proactive customer communication and priority handling queues.</w:t>
      </w:r>
    </w:p>
    <w:p w14:paraId="37DCC248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3. Resolve Payment Processing Bottlenecks</w:t>
      </w:r>
    </w:p>
    <w:p w14:paraId="2B16171A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09811D36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Orders in PAYMENT_REVIEW (55.3% overall; 80.0% in Central Africa) and PENDING_PAYMENT (55.0%) have significantly elevated delay rates. Introduce automated escalation for stalled payment reviews exceeding 2 hours.</w:t>
      </w:r>
    </w:p>
    <w:p w14:paraId="394A4F26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348D3B57" w14:textId="77777777" w:rsidR="00FD6A6F" w:rsidRDefault="00FD6A6F" w:rsidP="00FD6A6F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lastRenderedPageBreak/>
        <w:t>4. Develop Seasonal Surge Capacity Plans</w:t>
      </w:r>
    </w:p>
    <w:p w14:paraId="0129792A" w14:textId="67D6BFE9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August, October (55.4%), and December (55.2%) are peak delay months. Build pre-season capacity plans including temporary logistics partnerships, inventory pre-positioning, and adjusted delivery promise windows.</w:t>
      </w:r>
    </w:p>
    <w:p w14:paraId="2F19EE7D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72FBC9D3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5. Default to Standard Class for Eligible Orders</w:t>
      </w:r>
    </w:p>
    <w:p w14:paraId="407A9FE2" w14:textId="77777777" w:rsidR="00FD6A6F" w:rsidRPr="00FD6A6F" w:rsidRDefault="00FD6A6F" w:rsidP="00FD6A6F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3F8FC28C" w14:textId="3B54813C" w:rsidR="00FD6A6F" w:rsidRDefault="00FD6A6F" w:rsidP="00FD6A6F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FD6A6F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Standard Class achieves a 39.8% delay rate - far superior to First and Second Class. Re-evaluate shipping mode assignment logic to default eligible orders to Standard Class, particularly in regions and departments with poor premium mode performance.</w:t>
      </w:r>
    </w:p>
    <w:p w14:paraId="1D4781FE" w14:textId="77777777" w:rsidR="005E2AAE" w:rsidRPr="005E2AAE" w:rsidRDefault="005E2AAE" w:rsidP="005E2AAE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5E2AAE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6. Investigate High-Delay Departments in Africa</w:t>
      </w:r>
    </w:p>
    <w:p w14:paraId="5B52C025" w14:textId="77777777" w:rsidR="005E2AAE" w:rsidRPr="005E2AAE" w:rsidRDefault="005E2AAE" w:rsidP="005E2AAE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47FD859F" w14:textId="6E21517E" w:rsidR="005E2AAE" w:rsidRDefault="005E2AAE" w:rsidP="005E2AAE">
      <w:pPr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5E2AAE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Outdoors (61.3%) and Golf (60.8%) in Central Africa show significantly elevated delay rates. Conduct</w:t>
      </w:r>
      <w:r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 xml:space="preserve"> a warehouse-level audit of stock availability, pick-and-pack times, and carrier assignment for these product categories.</w:t>
      </w:r>
    </w:p>
    <w:p w14:paraId="07E99820" w14:textId="64D0D7A8" w:rsidR="005E2AAE" w:rsidRPr="005E2AAE" w:rsidRDefault="005E2AAE" w:rsidP="005E2AAE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en-US"/>
        </w:rPr>
      </w:pPr>
      <w:r w:rsidRPr="005E2AAE">
        <w:rPr>
          <w:rFonts w:ascii="Times New Roman" w:hAnsi="Times New Roman" w:cs="Times New Roman"/>
          <w:b/>
          <w:bCs/>
          <w:color w:val="0D0D0D" w:themeColor="text1" w:themeTint="F2"/>
          <w:sz w:val="36"/>
          <w:szCs w:val="36"/>
          <w:lang w:val="en-US"/>
        </w:rPr>
        <w:t>Conclusion</w:t>
      </w:r>
    </w:p>
    <w:p w14:paraId="1A84CD89" w14:textId="77777777" w:rsidR="005E2AAE" w:rsidRPr="005E2AAE" w:rsidRDefault="005E2AAE" w:rsidP="005E2AAE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5E2AAE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This analysis has surfaced a clear and urgent picture: a global e-commerce operation where the majority of orders (54.71%) fail to meet their promised delivery windows, costing $2.1M in at-risk profit and undermining customer trust at scale.</w:t>
      </w:r>
    </w:p>
    <w:p w14:paraId="73CDD177" w14:textId="77777777" w:rsidR="005E2AAE" w:rsidRPr="005E2AAE" w:rsidRDefault="005E2AAE" w:rsidP="005E2AAE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p w14:paraId="39E9B41F" w14:textId="77777777" w:rsidR="005E2AAE" w:rsidRPr="005E2AAE" w:rsidRDefault="005E2AAE" w:rsidP="005E2AAE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  <w:r w:rsidRPr="005E2AAE"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  <w:t>The root causes are identifiable and addressable. Shipping mode misconfiguration (First Class at 100% late, Second Class at 79.8%) is the dominant operational failure. Payment processing friction creates a secondary bottleneck. Seasonal volume spikes are not adequately planned for. And geographic disparities, while present, are secondary to the systemic company-wide pattern.</w:t>
      </w:r>
    </w:p>
    <w:p w14:paraId="2D45CB0F" w14:textId="4CF41845" w:rsidR="005E2AAE" w:rsidRPr="00FD6A6F" w:rsidRDefault="005E2AAE" w:rsidP="005E2AAE">
      <w:pPr>
        <w:spacing w:after="0" w:line="240" w:lineRule="auto"/>
        <w:jc w:val="both"/>
        <w:rPr>
          <w:rFonts w:ascii="Times New Roman" w:hAnsi="Times New Roman" w:cs="Times New Roman"/>
          <w:color w:val="262626" w:themeColor="text1" w:themeTint="D9"/>
          <w:sz w:val="28"/>
          <w:szCs w:val="28"/>
          <w:lang w:val="en-US"/>
        </w:rPr>
      </w:pPr>
    </w:p>
    <w:sectPr w:rsidR="005E2AAE" w:rsidRPr="00FD6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43815"/>
    <w:multiLevelType w:val="hybridMultilevel"/>
    <w:tmpl w:val="6482548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65301F"/>
    <w:multiLevelType w:val="hybridMultilevel"/>
    <w:tmpl w:val="D00C14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061B61"/>
    <w:multiLevelType w:val="hybridMultilevel"/>
    <w:tmpl w:val="390AB5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9E6456"/>
    <w:multiLevelType w:val="hybridMultilevel"/>
    <w:tmpl w:val="06321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D92665"/>
    <w:multiLevelType w:val="hybridMultilevel"/>
    <w:tmpl w:val="69600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6446C8"/>
    <w:multiLevelType w:val="hybridMultilevel"/>
    <w:tmpl w:val="6FCC4C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E56115"/>
    <w:multiLevelType w:val="hybridMultilevel"/>
    <w:tmpl w:val="6332101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6835485"/>
    <w:multiLevelType w:val="multilevel"/>
    <w:tmpl w:val="49CC8D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16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6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61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75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864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008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1520" w:hanging="2520"/>
      </w:pPr>
      <w:rPr>
        <w:rFonts w:hint="default"/>
      </w:rPr>
    </w:lvl>
  </w:abstractNum>
  <w:abstractNum w:abstractNumId="8" w15:restartNumberingAfterBreak="0">
    <w:nsid w:val="7C6E5D64"/>
    <w:multiLevelType w:val="hybridMultilevel"/>
    <w:tmpl w:val="F8E640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6509678">
    <w:abstractNumId w:val="5"/>
  </w:num>
  <w:num w:numId="2" w16cid:durableId="1335762492">
    <w:abstractNumId w:val="7"/>
  </w:num>
  <w:num w:numId="3" w16cid:durableId="530455703">
    <w:abstractNumId w:val="8"/>
  </w:num>
  <w:num w:numId="4" w16cid:durableId="283773492">
    <w:abstractNumId w:val="1"/>
  </w:num>
  <w:num w:numId="5" w16cid:durableId="2133281872">
    <w:abstractNumId w:val="6"/>
  </w:num>
  <w:num w:numId="6" w16cid:durableId="721634482">
    <w:abstractNumId w:val="0"/>
  </w:num>
  <w:num w:numId="7" w16cid:durableId="219831492">
    <w:abstractNumId w:val="3"/>
  </w:num>
  <w:num w:numId="8" w16cid:durableId="1795325451">
    <w:abstractNumId w:val="4"/>
  </w:num>
  <w:num w:numId="9" w16cid:durableId="2778344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8CA"/>
    <w:rsid w:val="00325B5F"/>
    <w:rsid w:val="00364E3F"/>
    <w:rsid w:val="00447734"/>
    <w:rsid w:val="005E2AAE"/>
    <w:rsid w:val="00770DDE"/>
    <w:rsid w:val="007918CA"/>
    <w:rsid w:val="00B94DD5"/>
    <w:rsid w:val="00D410D4"/>
    <w:rsid w:val="00E74519"/>
    <w:rsid w:val="00F20A4B"/>
    <w:rsid w:val="00FD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A7656"/>
  <w15:chartTrackingRefBased/>
  <w15:docId w15:val="{767CFFF3-BA00-4E56-A5AC-1E47DF79B8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8C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74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218828-8C23-4FE3-A924-C387A7D4E7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1296</Words>
  <Characters>7389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 Perween</dc:creator>
  <cp:keywords/>
  <dc:description/>
  <cp:lastModifiedBy>Sana Perween</cp:lastModifiedBy>
  <cp:revision>2</cp:revision>
  <dcterms:created xsi:type="dcterms:W3CDTF">2026-09-12T06:24:00Z</dcterms:created>
  <dcterms:modified xsi:type="dcterms:W3CDTF">2026-09-12T07:56:00Z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0b5d6a8c-942f-4ff8-9f22-42ba7a532dcb</vt:lpwstr>
  </property>
</Properties>
</file>