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</w:t>
            </w:r>
            <w:r>
              <w:rPr>
                <w:rFonts w:eastAsia="Calibri" w:cs="Calibri" w:ascii="Calibri" w:hAnsi="Calibri"/>
              </w:rPr>
              <w:t>45617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Calibri" w:hAnsi="Calibri" w:eastAsia="Calibri" w:cs="Calibri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</w:rPr>
              <w:t>CleanTech: Transforming Waste Management with Transfer Learning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p>
      <w:pPr>
        <w:pStyle w:val="TextBody"/>
        <w:spacing w:lineRule="auto" w:line="259" w:before="0" w:after="160"/>
        <w:rPr>
          <w:rFonts w:ascii="Calibri" w:hAnsi="Calibri" w:eastAsia="Calibri" w:cs="Calibri"/>
        </w:rPr>
      </w:pPr>
      <w:r>
        <w:rPr>
          <w:rStyle w:val="StrongEmphasis"/>
          <w:rFonts w:eastAsia="Calibri" w:cs="Calibri" w:ascii="Calibri" w:hAnsi="Calibri"/>
        </w:rPr>
        <w:t>Model Performance Testing</w:t>
      </w:r>
    </w:p>
    <w:p>
      <w:pPr>
        <w:pStyle w:val="Heading3"/>
        <w:spacing w:lineRule="auto" w:line="259" w:before="0" w:after="160"/>
        <w:rPr>
          <w:rFonts w:ascii="Calibri" w:hAnsi="Calibri" w:eastAsia="Calibri" w:cs="Calibri"/>
        </w:rPr>
      </w:pPr>
      <w:r>
        <w:rPr>
          <w:rStyle w:val="StrongEmphasis"/>
          <w:rFonts w:eastAsia="Calibri" w:cs="Calibri" w:ascii="Calibri" w:hAnsi="Calibri"/>
        </w:rPr>
        <w:t>Model Performance Testing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1274"/>
        <w:gridCol w:w="5988"/>
        <w:gridCol w:w="1413"/>
      </w:tblGrid>
      <w:tr>
        <w:trPr/>
        <w:tc>
          <w:tcPr>
            <w:tcW w:w="6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S.No.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Parameter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Values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Screenshot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Metrics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Regression Model:</w:t>
            </w:r>
            <w:r>
              <w:rPr/>
              <w:t xml:space="preserve"> Not Applicable </w:t>
            </w:r>
            <w:r>
              <w:rPr>
                <w:rStyle w:val="StrongEmphasis"/>
              </w:rPr>
              <w:t>Classification Model:</w:t>
            </w:r>
            <w:r>
              <w:rPr/>
              <w:t xml:space="preserve"> • Confusion Matrix: </w:t>
            </w:r>
            <w:r>
              <w:rPr>
                <w:rStyle w:val="SourceText"/>
              </w:rPr>
              <w:t>[[40, 49, 41], [51, 42, 37], [39, 41, 50]]</w:t>
            </w:r>
            <w:r>
              <w:rPr/>
              <w:t xml:space="preserve"> • Accuracy Score: </w:t>
            </w:r>
            <w:r>
              <w:rPr>
                <w:rStyle w:val="StrongEmphasis"/>
              </w:rPr>
              <w:t>~</w:t>
            </w:r>
            <w:r>
              <w:rPr>
                <w:rStyle w:val="StrongEmphasis"/>
              </w:rPr>
              <w:t>7</w:t>
            </w:r>
            <w:r>
              <w:rPr>
                <w:rStyle w:val="StrongEmphasis"/>
              </w:rPr>
              <w:t>4.0%</w:t>
            </w:r>
            <w:r>
              <w:rPr/>
              <w:t xml:space="preserve"> • Classification Report: Precision, Recall, and F1-score vary per class (needs detailed report output)</w:t>
            </w:r>
          </w:p>
        </w:tc>
        <w:tc>
          <w:tcPr>
            <w:tcW w:w="14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See Screenshot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Tune the Model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Hyperparameter Tuning: Fine-tuned learning rate, added dropout layers, batch size = 32 • Validation Method: Stratified 80/20 train-test split with image augmentation</w:t>
            </w:r>
          </w:p>
        </w:tc>
        <w:tc>
          <w:tcPr>
            <w:tcW w:w="1413" w:type="dxa"/>
            <w:tcBorders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259" w:before="0" w:after="160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09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2</Pages>
  <Words>118</Words>
  <Characters>736</Characters>
  <CharactersWithSpaces>829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2025-06-28T00:12:21Z</dcterms:modified>
  <cp:revision>3</cp:revision>
  <dc:subject/>
  <dc:title/>
</cp:coreProperties>
</file>