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LTVIP2025TMID45617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/>
            </w:pPr>
            <w:bookmarkStart w:id="0" w:name="projectTitle"/>
            <w:bookmarkEnd w:id="0"/>
            <w:r>
              <w:rPr/>
              <w:t>CleanTech: Transforming Waste Management with Transfer Learning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>
          <w:b/>
          <w:b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9"/>
        <w:gridCol w:w="2018"/>
        <w:gridCol w:w="6399"/>
      </w:tblGrid>
      <w:tr>
        <w:trPr>
          <w:tblHeader w:val="true"/>
        </w:trPr>
        <w:tc>
          <w:tcPr>
            <w:tcW w:w="6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 Statement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Inefficient and inaccurate waste classification leads to poor waste management and environmental pollution.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Idea / Solution Description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transfer learning on pre-trained deep learning models to classify waste images into biodegradable, recyclable, and trash categories accurately and efficiently.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Novelty / Uniqueness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Applying transfer learning reduces training time and data requirements while achieving high accuracy in waste classification compared to traditional methods.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Social Impact / Customer Satisfaction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Improves waste segregation, promoting recycling and reducing landfill waste, thereby contributing to environmental sustainability and enhanced customer satisfaction.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Business Model (Revenue Model)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Subscription-based SaaS model for municipalities and waste management companies, plus licensing the technology for commercial use.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0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Scalability of the Solution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The model can be easily adapted to new waste categories and scaled to process large volumes of images across different regions and platforms.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171</Words>
  <Characters>1126</Characters>
  <CharactersWithSpaces>1266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2025-06-28T00:32:12Z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